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FIN205 – Data Technologies for Financial Modelling</w:t>
      </w:r>
    </w:p>
    <w:p w:rsidR="00000000" w:rsidDel="00000000" w:rsidP="00000000" w:rsidRDefault="00000000" w:rsidRPr="00000000" w14:paraId="00000002">
      <w:pPr>
        <w:spacing w:line="360" w:lineRule="auto"/>
        <w:jc w:val="center"/>
        <w:rPr>
          <w:rFonts w:ascii="Calibri" w:cs="Calibri" w:eastAsia="Calibri" w:hAnsi="Calibri"/>
        </w:rPr>
      </w:pPr>
      <w:r w:rsidDel="00000000" w:rsidR="00000000" w:rsidRPr="00000000">
        <w:rPr>
          <w:rFonts w:ascii="Calibri" w:cs="Calibri" w:eastAsia="Calibri" w:hAnsi="Calibri"/>
          <w:sz w:val="32"/>
          <w:szCs w:val="32"/>
          <w:rtl w:val="0"/>
        </w:rPr>
        <w:t xml:space="preserve">MARKET INSIGHTS </w:t>
      </w:r>
      <w:r w:rsidDel="00000000" w:rsidR="00000000" w:rsidRPr="00000000">
        <w:rPr>
          <w:rtl w:val="0"/>
        </w:rPr>
      </w:r>
    </w:p>
    <w:p w:rsidR="00000000" w:rsidDel="00000000" w:rsidP="00000000" w:rsidRDefault="00000000" w:rsidRPr="00000000" w14:paraId="00000003">
      <w:pPr>
        <w:spacing w:line="360" w:lineRule="auto"/>
        <w:jc w:val="center"/>
        <w:rPr>
          <w:rFonts w:ascii="Calibri" w:cs="Calibri" w:eastAsia="Calibri" w:hAnsi="Calibri"/>
        </w:rPr>
      </w:pPr>
      <w:r w:rsidDel="00000000" w:rsidR="00000000" w:rsidRPr="00000000">
        <w:rPr>
          <w:rFonts w:ascii="Calibri" w:cs="Calibri" w:eastAsia="Calibri" w:hAnsi="Calibri"/>
          <w:rtl w:val="0"/>
        </w:rPr>
        <w:t xml:space="preserve">By</w:t>
      </w:r>
    </w:p>
    <w:p w:rsidR="00000000" w:rsidDel="00000000" w:rsidP="00000000" w:rsidRDefault="00000000" w:rsidRPr="00000000" w14:paraId="00000004">
      <w:pPr>
        <w:spacing w:line="360" w:lineRule="auto"/>
        <w:jc w:val="center"/>
        <w:rPr>
          <w:rFonts w:ascii="Calibri" w:cs="Calibri" w:eastAsia="Calibri" w:hAnsi="Calibri"/>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Germaine Chia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M2372695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Ooi Zhi Wei Kenji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B2471041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Nurul Amirah Binte Ismaon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W2372066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Jimmy Liew Chee Meng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Y2510769</w:t>
            </w:r>
          </w:p>
        </w:tc>
      </w:tr>
    </w:tbl>
    <w:p w:rsidR="00000000" w:rsidDel="00000000" w:rsidP="00000000" w:rsidRDefault="00000000" w:rsidRPr="00000000" w14:paraId="0000000F">
      <w:pPr>
        <w:jc w:val="center"/>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0">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Introduction</w:t>
      </w:r>
    </w:p>
    <w:p w:rsidR="00000000" w:rsidDel="00000000" w:rsidP="00000000" w:rsidRDefault="00000000" w:rsidRPr="00000000" w14:paraId="0000001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Welcome to our financial analysis blog created by analysts of FIN205 – Data Technologies for Financial Modelling. Our team consists of students who collaborate to research companies, analyse financial data, and present insights.</w:t>
      </w:r>
    </w:p>
    <w:p w:rsidR="00000000" w:rsidDel="00000000" w:rsidP="00000000" w:rsidRDefault="00000000" w:rsidRPr="00000000" w14:paraId="0000001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this blog, we take on the role of financial analysts who observe the market, analyze companies and share what we learn with you in a clear and organised way. Financial markets are constantly evolving due to economic changes, technological advancements and many other factors. To understand these changes, we need to do more than just read market news. We also need to look at financial statements, figure out financial ratios, and use valuation models.</w:t>
      </w:r>
    </w:p>
    <w:p w:rsidR="00000000" w:rsidDel="00000000" w:rsidP="00000000" w:rsidRDefault="00000000" w:rsidRPr="00000000" w14:paraId="0000001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this blog, we've decided to focus on two prominent technological companies: Nvidia and Apple. Both companies play key roles in the global technological economy, although they focus on different areas of innovation. Nvidia is well-known for its leadership in graphics processing units (GPUs) and artificial intelligence computing, whereas Apple is known for its extensive ecosystem of consumer devices and digital services.</w:t>
      </w:r>
    </w:p>
    <w:p w:rsidR="00000000" w:rsidDel="00000000" w:rsidP="00000000" w:rsidRDefault="00000000" w:rsidRPr="00000000" w14:paraId="0000001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 focusing on these two organisations, we hope to learn how differing business models, growth plans, and market conditions affect financial performance.</w:t>
      </w:r>
    </w:p>
    <w:p w:rsidR="00000000" w:rsidDel="00000000" w:rsidP="00000000" w:rsidRDefault="00000000" w:rsidRPr="00000000" w14:paraId="00000015">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Disclaimer:</w:t>
      </w:r>
      <w:r w:rsidDel="00000000" w:rsidR="00000000" w:rsidRPr="00000000">
        <w:rPr>
          <w:rFonts w:ascii="Calibri" w:cs="Calibri" w:eastAsia="Calibri" w:hAnsi="Calibri"/>
          <w:sz w:val="24"/>
          <w:szCs w:val="24"/>
          <w:rtl w:val="0"/>
        </w:rPr>
        <w:t xml:space="preserve"> Everything in this blog is strictly for learning purposes only and should not be taken as financial advice.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spacing w:after="240" w:before="240" w:lineRule="auto"/>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Technology Market Overview </w:t>
      </w:r>
    </w:p>
    <w:p w:rsidR="00000000" w:rsidDel="00000000" w:rsidP="00000000" w:rsidRDefault="00000000" w:rsidRPr="00000000" w14:paraId="00000018">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technology sector remains one of the most important and fastest-growing parts of the global economy. Rapid changes in fields like artificial intelligence, cloud computing, and advanced semiconductor technology push innovation and change the way we use digital products in our daily lives and how businesses work. Technology companies often demonstrate strong revenue growth due to scalable business models and global demand for digital products and services. This growth potential makes the sector particularly appealing to investors seeking long-term capital appreciation.</w:t>
      </w:r>
    </w:p>
    <w:p w:rsidR="00000000" w:rsidDel="00000000" w:rsidP="00000000" w:rsidRDefault="00000000" w:rsidRPr="00000000" w14:paraId="0000001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However, the industry is also highly competitive and constantly evolving. Technology companies must deal with challenges such as rapid technological changes, shifting consumer preferences, and global supply chain pressures. Because of this, it is important to understand the broader industry trends when analysing individual companies.</w:t>
      </w:r>
    </w:p>
    <w:p w:rsidR="00000000" w:rsidDel="00000000" w:rsidP="00000000" w:rsidRDefault="00000000" w:rsidRPr="00000000" w14:paraId="0000001A">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Overview of NVIDIA</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NVIDIA is primarily a semiconductor company that designs graphics processing units (GPUs) and computing platforms used in gaming, artificial intelligence, data centres and autonomous technologies.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Its GPUs have become essential infrastructure for modern artificial intelligence systems, particularly in training large machine learning models and powering data centres. As demand for AI computing continues to grow, NVIDIA has positioned itself as a critical supplier of high-performance chips.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large portion of NVIDIA’s revenue now comes from data centre solutions, which support cloud computing and AI workloads. This segment includes GPU used in Artificial intelligence training, cloud computing, machine learning, large language models and data centre infrastructure. Major technology companies use NVDIA GPUs to power AI workload and computing systems.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Financial Analysis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NVIDIA has also demonstrated exceptional financial performance in recent years mainly driven by increasing growth of AI and data center demand. In recent years it reported a revenue of $130Billion in 2025 and $60.9 Billion in 2024 showcasing an astonishing increase of over 100% compared to the previous year in 2023. This surge reflects the company's ability to scale efficiently and proves that NVIDIA holds a strong positioning within the AI ecosystem where its high performance GPUs are used by major cloud providers and enterprises. The company’s data center alone contributes roughly 75% of total revenue indicating a shift from traditional gaming focused business model to a dominant player in AI infrastructure.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profitability, NVIDIA has an net income increasing to $72.9Billion from around $29.8Billion in the prior year, this sharp increase reflects the company’s ability to scale. NVIDIA's gross margins remain consistently at around 70%+ while operating margin exceeds 60% indicating that the company operates with excellent cost efficiency.  Such high margins suggest that NVDIA’s products are strong in demand and highly differentiated from others.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From a financial health point of view, the company maintains a sturdy balance sheet supported by strong cash flows. The company generated around $60Billion in free cash flow signifying financial flexibility to invest in research and development  and return value to shareholders that will put the company in a better position in the foreseeable future. Additionally, the return on equity exceeds 60% demonstrating high efficient use of capital and reinforcing its position as a high quality growth company. However, despite these strong fundamentals, there are important risks that investors should consider. NVIDIA currently trades at a price-to-earnings (P/E) ratio of around 45, which is relatively high compared to traditional firms. This suggests that the market has already priced in strong future growth expectations.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summarise, NVDIA's financial performance reflects a company in a hyper growth phase supported by strong revenue expansions and high profitability with its fundamentals making it an attractive investment opportunity.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hyperlink r:id="rId6">
        <w:r w:rsidDel="00000000" w:rsidR="00000000" w:rsidRPr="00000000">
          <w:rPr>
            <w:rFonts w:ascii="Calibri" w:cs="Calibri" w:eastAsia="Calibri" w:hAnsi="Calibri"/>
            <w:color w:val="1155cc"/>
            <w:sz w:val="24"/>
            <w:szCs w:val="24"/>
            <w:u w:val="single"/>
            <w:rtl w:val="0"/>
          </w:rPr>
          <w:t xml:space="preserve">NVIDIA Corporation - home. (n.d.). https://investor.nvidia.com/home/default.aspx</w:t>
        </w:r>
      </w:hyperlink>
      <w:r w:rsidDel="00000000" w:rsidR="00000000" w:rsidRPr="00000000">
        <w:rPr>
          <w:rtl w:val="0"/>
        </w:rPr>
      </w:r>
    </w:p>
    <w:p w:rsidR="00000000" w:rsidDel="00000000" w:rsidP="00000000" w:rsidRDefault="00000000" w:rsidRPr="00000000" w14:paraId="0000002F">
      <w:pPr>
        <w:spacing w:after="240" w:before="240" w:lineRule="auto"/>
        <w:ind w:left="0" w:firstLine="0"/>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NVIDIA Corporation - Financial Reports</w:t>
      </w:r>
      <w:r w:rsidDel="00000000" w:rsidR="00000000" w:rsidRPr="00000000">
        <w:rPr>
          <w:rFonts w:ascii="Calibri" w:cs="Calibri" w:eastAsia="Calibri" w:hAnsi="Calibri"/>
          <w:sz w:val="24"/>
          <w:szCs w:val="24"/>
          <w:rtl w:val="0"/>
        </w:rPr>
        <w:t xml:space="preserve">. Available at: </w:t>
      </w:r>
      <w:hyperlink r:id="rId7">
        <w:r w:rsidDel="00000000" w:rsidR="00000000" w:rsidRPr="00000000">
          <w:rPr>
            <w:rFonts w:ascii="Calibri" w:cs="Calibri" w:eastAsia="Calibri" w:hAnsi="Calibri"/>
            <w:color w:val="1155cc"/>
            <w:sz w:val="24"/>
            <w:szCs w:val="24"/>
            <w:u w:val="single"/>
            <w:rtl w:val="0"/>
          </w:rPr>
          <w:t xml:space="preserve">https://investor.nvidia.com/financial-info/financial-reports/default.aspx</w:t>
        </w:r>
      </w:hyperlink>
      <w:r w:rsidDel="00000000" w:rsidR="00000000" w:rsidRPr="00000000">
        <w:rPr>
          <w:rFonts w:ascii="Calibri" w:cs="Calibri" w:eastAsia="Calibri" w:hAnsi="Calibri"/>
          <w:sz w:val="24"/>
          <w:szCs w:val="24"/>
          <w:rtl w:val="0"/>
        </w:rPr>
        <w:t xml:space="preserve"> (Accessed: 18 March 2026).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Overview of Apple </w:t>
      </w:r>
    </w:p>
    <w:p w:rsidR="00000000" w:rsidDel="00000000" w:rsidP="00000000" w:rsidRDefault="00000000" w:rsidRPr="00000000" w14:paraId="0000003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we all know, Apple is one of the most well-known tech companies in the world. The company is widely known for popular products such as the iPhone, Mac computers, iPad, and Apple Watch, which have become an important part of everyday life for many consumers like you and me. </w:t>
      </w:r>
    </w:p>
    <w:p w:rsidR="00000000" w:rsidDel="00000000" w:rsidP="00000000" w:rsidRDefault="00000000" w:rsidRPr="00000000" w14:paraId="0000003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Financial Analysis </w:t>
      </w:r>
    </w:p>
    <w:p w:rsidR="00000000" w:rsidDel="00000000" w:rsidP="00000000" w:rsidRDefault="00000000" w:rsidRPr="00000000" w14:paraId="0000003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fiscal year 2025, Apple recorded $416.2 billion in total revenue; this was an increase from $391.0 billion in 2024. Net income also rose to $112.0 billion. This shows the company’s ability to convert large sales volumes into strong profitability. The company’s gross margin was approximately 46.9%, reflecting Apple’s ability to maintain premium pricing while controlling production costs. These figures are definitely impressive and demonstrate Apple’s strong financial performance. </w:t>
      </w:r>
    </w:p>
    <w:p w:rsidR="00000000" w:rsidDel="00000000" w:rsidP="00000000" w:rsidRDefault="00000000" w:rsidRPr="00000000" w14:paraId="000000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 let's analyze where we should credit the huge revenue increase. A key driver of Apple’s revenue comes from its product segments, particularly the iPhone. In a recent fiscal quarter, Apple generated $102.5 billion in revenue, with $49.02 billion coming from iPhone sales alone. However, other segments definitely contributed significantly as well, with services revenue contributing $28.75 billion, Mac revenue of $8.73 billion, iPad revenue of $6.95 billion, and wearables and accessories revenue of $9.01 billion.</w:t>
      </w:r>
    </w:p>
    <w:p w:rsidR="00000000" w:rsidDel="00000000" w:rsidP="00000000" w:rsidRDefault="00000000" w:rsidRPr="00000000" w14:paraId="0000003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Profitability metrics</w:t>
      </w:r>
    </w:p>
    <w:p w:rsidR="00000000" w:rsidDel="00000000" w:rsidP="00000000" w:rsidRDefault="00000000" w:rsidRPr="00000000" w14:paraId="0000003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first quarter of 2025, the company reported $124.3 billion in revenue and $36.3 billion in net income. These figures resulted in earnings per share (EPS) being $2.40, which is a 4% increase in revenue and a 10% increase in earnings per share year-over-year. This proved that Apple continued earnings growth despite operating in a mature smartphone market. </w:t>
      </w:r>
    </w:p>
    <w:p w:rsidR="00000000" w:rsidDel="00000000" w:rsidP="00000000" w:rsidRDefault="00000000" w:rsidRPr="00000000" w14:paraId="0000003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Another important factor of Apple’s financial strength is its capital management strategy. The company returns a substantial portion of its profits to shareholders through dividends and share repurchases. Apple currently pays a quarterly dividend of approximately $0.26 per share and regularly repurchases billions of dollars of its own stock, which increases earnings per share and supports shareholder value. </w:t>
      </w:r>
    </w:p>
    <w:p w:rsidR="00000000" w:rsidDel="00000000" w:rsidP="00000000" w:rsidRDefault="00000000" w:rsidRPr="00000000" w14:paraId="0000003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brings us to our next point, Apple’s P/E ratio, which measures how much investors are willing to pay for each dollar of earnings. Apple’s PE ratio has ranged between 28 and 32 in recent years, which is relatively moderate compared with other high-growth technology companies. This suggests that investors view Apple as a stable technology firm with reliable earnings rather than a purely high-growth speculative stock.</w:t>
      </w:r>
    </w:p>
    <w:p w:rsidR="00000000" w:rsidDel="00000000" w:rsidP="00000000" w:rsidRDefault="00000000" w:rsidRPr="00000000" w14:paraId="0000003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addition, Apple holds substantial cash reserves and marketable securities, giving the company strong liquidity and the flexibility to invest in new technologies such as artificial intelligence and advanced semiconductor design. </w:t>
      </w:r>
    </w:p>
    <w:p w:rsidR="00000000" w:rsidDel="00000000" w:rsidP="00000000" w:rsidRDefault="00000000" w:rsidRPr="00000000" w14:paraId="0000003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Another important valuation measure is the Price-to-Sales (P/S) ratio, which compares the company’s market value to its total revenue. Apple’s P/S ratio is typically around 7 to 8, reflecting strong investor confidence in the company’s long-term earnings potential and brand strength. Investors are willing to pay a premium for Apple shares due to its stable revenue streams, loyal customer base, and continued expansion into services and emerging technologies.</w:t>
      </w:r>
    </w:p>
    <w:p w:rsidR="00000000" w:rsidDel="00000000" w:rsidP="00000000" w:rsidRDefault="00000000" w:rsidRPr="00000000" w14:paraId="0000003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Overall, these financial ratios indicate that Apple maintains strong profitability, efficient capital management, and solid financial stability. While its valuation ratios suggest that the stock is not inexpensive, the company’s consistent earnings growth, strong brand ecosystem, and high returns on capital support its premium valuation in the technology sector.</w:t>
      </w:r>
    </w:p>
    <w:p w:rsidR="00000000" w:rsidDel="00000000" w:rsidP="00000000" w:rsidRDefault="00000000" w:rsidRPr="00000000" w14:paraId="00000040">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rPr>
          <w:rFonts w:ascii="Calibri" w:cs="Calibri" w:eastAsia="Calibri" w:hAnsi="Calibri"/>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44">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Comparison between Nvidia &amp; Apple</w:t>
      </w:r>
    </w:p>
    <w:p w:rsidR="00000000" w:rsidDel="00000000" w:rsidP="00000000" w:rsidRDefault="00000000" w:rsidRPr="00000000" w14:paraId="00000045">
      <w:pPr>
        <w:rPr>
          <w:rFonts w:ascii="Calibri" w:cs="Calibri" w:eastAsia="Calibri" w:hAnsi="Calibri"/>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3555"/>
        <w:gridCol w:w="3120"/>
        <w:tblGridChange w:id="0">
          <w:tblGrid>
            <w:gridCol w:w="2685"/>
            <w:gridCol w:w="3555"/>
            <w:gridCol w:w="3120"/>
          </w:tblGrid>
        </w:tblGridChange>
      </w:tblGrid>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Aspects of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NVIDIA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APPLE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Revenue Growth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&gt;100%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106.45%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Gross Margin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46.90%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ROE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&gt;60%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28-32</w:t>
            </w:r>
          </w:p>
        </w:tc>
      </w:tr>
    </w:tbl>
    <w:p w:rsidR="00000000" w:rsidDel="00000000" w:rsidP="00000000" w:rsidRDefault="00000000" w:rsidRPr="00000000" w14:paraId="0000005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With regards to the table above which are data extracted from the analysis done above on both NVIDIA and APPLE, there are 4 main aspects that we can compare between NVIDIA and APPLE. </w:t>
      </w:r>
    </w:p>
    <w:p w:rsidR="00000000" w:rsidDel="00000000" w:rsidP="00000000" w:rsidRDefault="00000000" w:rsidRPr="00000000" w14:paraId="0000005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Both NVIDIA and APPLE reported over 100% growth in their revenue from 2024 to 2025, this means that the revenue made in 2025 is more than doubled of what they made in 2024. This showcases strong continued growth in demand for their products as well as the continuous growth in the technology market. One big contributing reason for such an increased growth rate for NVIDIA is likely due to NVIDIA’s early implementation and investment in AI for their chips. Meanwhile, one big contributing reason for APPLE’s high revenue growth rate is due to the release of better and more improved electronics such as the iPhone 17 line. </w:t>
      </w:r>
    </w:p>
    <w:p w:rsidR="00000000" w:rsidDel="00000000" w:rsidP="00000000" w:rsidRDefault="00000000" w:rsidRPr="00000000" w14:paraId="0000005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terms of efficiency to control the costs incurred to produce their goods and services, NVIDIA outshines APPLE in this area with a higher gross margin compared to APPLE. What this means is that, for every dollar of revenue made, NVIDIA is able to make a higher gross profit (difference between revenue and costs of production) of $23.10. This shows that NVIDIA is better at controlling their production costs as compared to APPLE. </w:t>
      </w:r>
    </w:p>
    <w:p w:rsidR="00000000" w:rsidDel="00000000" w:rsidP="00000000" w:rsidRDefault="00000000" w:rsidRPr="00000000" w14:paraId="0000005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terms of (Return on Equity) ROE, NVIDIA churns out a higher ROE than APPLE by about 10%. This means that for every dollar of shareholder’s investment, NVIDIA is able to generate a higher net profit of $0.10. With a higher ROE, this makes NVIDIA a better organisation on making gains to return to its investors. </w:t>
      </w:r>
    </w:p>
    <w:p w:rsidR="00000000" w:rsidDel="00000000" w:rsidP="00000000" w:rsidRDefault="00000000" w:rsidRPr="00000000" w14:paraId="0000005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aspect of Price-earnings (P/E) Ratio, NVIDIA generates a higher P/E Ratio than APPLE. For every dollar of its earnings, NVIDIA sells its shares at $17 to $13 more than APPLE. In the technology market where the market grows quickly, a higher P/E ratio suggests greater confidence in investors on NVIDIA’s future earnings and returns on investors. The technology market is a fast growing market with quick developments and technological advancements, hence, a higher P/E ratio would mean that NVIDIA’s investors are confident in NVIDIA to take advantage of the growth and grow as a company which then later benefits the investors in terms of higher returns on investments.</w:t>
      </w:r>
    </w:p>
    <w:p w:rsidR="00000000" w:rsidDel="00000000" w:rsidP="00000000" w:rsidRDefault="00000000" w:rsidRPr="00000000" w14:paraId="0000005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Overall, with regards to the 4 aspects above, NVIDIA is in a stronger position in terms of growth and profitability. Additionally, NVIDIA is also in a better position in attracting potential investors, creating a strong perception of lower risks and greater rewards in investing in NVIDIA. </w:t>
      </w:r>
    </w:p>
    <w:p w:rsidR="00000000" w:rsidDel="00000000" w:rsidP="00000000" w:rsidRDefault="00000000" w:rsidRPr="00000000" w14:paraId="00000061">
      <w:pPr>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rFonts w:ascii="Calibri" w:cs="Calibri" w:eastAsia="Calibri" w:hAnsi="Calibri"/>
          <w:b w:val="1"/>
          <w:bCs w:val="1"/>
          <w:sz w:val="24"/>
          <w:szCs w:val="24"/>
          <w:u w:val="single"/>
        </w:rPr>
      </w:pPr>
      <w:bookmarkStart w:colFirst="0" w:colLast="0" w:name="_qhnx32eoezh4" w:id="0"/>
      <w:bookmarkEnd w:id="0"/>
      <w:r w:rsidDel="00000000" w:rsidR="00000000" w:rsidRPr="00000000">
        <w:rPr>
          <w:rFonts w:ascii="Calibri" w:cs="Calibri" w:eastAsia="Calibri" w:hAnsi="Calibri"/>
          <w:b w:val="1"/>
          <w:bCs w:val="1"/>
          <w:sz w:val="24"/>
          <w:szCs w:val="24"/>
          <w:u w:val="single"/>
          <w:rtl w:val="0"/>
        </w:rPr>
        <w:t xml:space="preserve">Financial Modelling</w:t>
      </w:r>
    </w:p>
    <w:p w:rsidR="00000000" w:rsidDel="00000000" w:rsidP="00000000" w:rsidRDefault="00000000" w:rsidRPr="00000000" w14:paraId="0000006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further evaluate the investment attractiveness of NVIDIA and APPLE, financial modelling is used to estimate their future performance and intrinsic value. While financial ratios provide insights based on past performance, financial modelling enables forward-looking analysis by projecting future cash flows under reasonable assumptions. This approach allows for scenario-based analysis, where changes in key assumptions can significantly impact valuation outcomes. Building on the earlier financial analysis and comparison, financial modelling is used to evaluate future performance.</w:t>
      </w:r>
    </w:p>
    <w:p w:rsidR="00000000" w:rsidDel="00000000" w:rsidP="00000000" w:rsidRDefault="00000000" w:rsidRPr="00000000" w14:paraId="00000064">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rFonts w:ascii="Calibri" w:cs="Calibri" w:eastAsia="Calibri" w:hAnsi="Calibri"/>
          <w:b w:val="1"/>
          <w:bCs w:val="1"/>
          <w:color w:val="000000"/>
          <w:sz w:val="24"/>
          <w:szCs w:val="24"/>
        </w:rPr>
      </w:pPr>
      <w:bookmarkStart w:colFirst="0" w:colLast="0" w:name="_filifud4zfvd" w:id="1"/>
      <w:bookmarkEnd w:id="1"/>
      <w:r w:rsidDel="00000000" w:rsidR="00000000" w:rsidRPr="00000000">
        <w:rPr>
          <w:rFonts w:ascii="Calibri" w:cs="Calibri" w:eastAsia="Calibri" w:hAnsi="Calibri"/>
          <w:b w:val="1"/>
          <w:bCs w:val="1"/>
          <w:color w:val="000000"/>
          <w:sz w:val="24"/>
          <w:szCs w:val="24"/>
          <w:rtl w:val="0"/>
        </w:rPr>
        <w:t xml:space="preserve">NVIDIA Financial Modelling</w:t>
      </w:r>
    </w:p>
    <w:p w:rsidR="00000000" w:rsidDel="00000000" w:rsidP="00000000" w:rsidRDefault="00000000" w:rsidRPr="00000000" w14:paraId="0000006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NVIDIA, the model is based on its position as a high-growth company driven by artificial intelligence and data centre demand. Key assumptions include revenue growth of approximately 25% to 35% in the short term, lower than the exceptionally high growth observed previously, and gradually stabilising at around 5% in the long term. Operating margins are expected to remain high at approximately 55% to 60%, reflecting strong pricing power and efficiency. In addition, NVIDIA is considered to carry higher risk due to its heavy reliance on sustained growth in AI demand.</w:t>
      </w:r>
    </w:p>
    <w:p w:rsidR="00000000" w:rsidDel="00000000" w:rsidP="00000000" w:rsidRDefault="00000000" w:rsidRPr="00000000" w14:paraId="0000006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Based on these assumptions, NVIDIA’s future cash flows are expected to increase significantly over the next few years. This is supported by strong demand for GPUs, its dominant position in the AI market, and its scalable business model. However, the model shows that NVIDIA’s valuation is highly sensitive to growth assumptions, indicating high valuation sensitivity. A slight slowdown in expected growth may lead to a significant decline in estimated value. This suggests that NVIDIA’s valuation is largely expectation-driven, making it more vulnerable to market corrections if projected growth is not achieved.</w:t>
      </w:r>
    </w:p>
    <w:p w:rsidR="00000000" w:rsidDel="00000000" w:rsidP="00000000" w:rsidRDefault="00000000" w:rsidRPr="00000000" w14:paraId="0000006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Overall, NVIDIA offers strong growth potential but reflects a clear risk-return trade-off, where higher expected returns are accompanied by higher uncertainty.</w:t>
      </w:r>
    </w:p>
    <w:p w:rsidR="00000000" w:rsidDel="00000000" w:rsidP="00000000" w:rsidRDefault="00000000" w:rsidRPr="00000000" w14:paraId="00000069">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rFonts w:ascii="Calibri" w:cs="Calibri" w:eastAsia="Calibri" w:hAnsi="Calibri"/>
          <w:b w:val="1"/>
          <w:bCs w:val="1"/>
          <w:color w:val="000000"/>
          <w:sz w:val="24"/>
          <w:szCs w:val="24"/>
        </w:rPr>
      </w:pPr>
      <w:bookmarkStart w:colFirst="0" w:colLast="0" w:name="_jdk1ptloi8ws" w:id="2"/>
      <w:bookmarkEnd w:id="2"/>
      <w:r w:rsidDel="00000000" w:rsidR="00000000" w:rsidRPr="00000000">
        <w:rPr>
          <w:rFonts w:ascii="Calibri" w:cs="Calibri" w:eastAsia="Calibri" w:hAnsi="Calibri"/>
          <w:b w:val="1"/>
          <w:bCs w:val="1"/>
          <w:color w:val="000000"/>
          <w:sz w:val="24"/>
          <w:szCs w:val="24"/>
          <w:rtl w:val="0"/>
        </w:rPr>
        <w:t xml:space="preserve">APPLE Financial Modelling</w:t>
      </w:r>
    </w:p>
    <w:p w:rsidR="00000000" w:rsidDel="00000000" w:rsidP="00000000" w:rsidRDefault="00000000" w:rsidRPr="00000000" w14:paraId="0000006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APPLE, a more conservative modelling approach is adopted, reflecting its position as a mature and stable company. Key assumptions include revenue growth of approximately 5% to 8%, with long-term growth at around 3%. Operating margins are expected to remain stable at approximately 30%, and the company is considered to carry lower risk due to its established business model.</w:t>
      </w:r>
    </w:p>
    <w:p w:rsidR="00000000" w:rsidDel="00000000" w:rsidP="00000000" w:rsidRDefault="00000000" w:rsidRPr="00000000" w14:paraId="0000006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Based on these assumptions, APPLE’s future cash flows are projected to grow steadily over time. This is supported by strong brand loyalty, recurring revenue from services, and its well-developed ecosystem. The valuation derived is relatively stable and less sensitive to changes in assumptions compared to NVIDIA. This reflects strong cash flow stability and higher earnings visibility. This indicates that APPLE’s valuation is supported by fundamental stability rather than aggressive growth expectations, making it more resilient under changing market conditions.</w:t>
      </w:r>
    </w:p>
    <w:p w:rsidR="00000000" w:rsidDel="00000000" w:rsidP="00000000" w:rsidRDefault="00000000" w:rsidRPr="00000000" w14:paraId="0000006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Overall, APPLE demonstrates consistent performance with lower investment risk.</w:t>
      </w:r>
    </w:p>
    <w:p w:rsidR="00000000" w:rsidDel="00000000" w:rsidP="00000000" w:rsidRDefault="00000000" w:rsidRPr="00000000" w14:paraId="0000006E">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rFonts w:ascii="Calibri" w:cs="Calibri" w:eastAsia="Calibri" w:hAnsi="Calibri"/>
          <w:b w:val="1"/>
          <w:bCs w:val="1"/>
          <w:color w:val="000000"/>
          <w:sz w:val="24"/>
          <w:szCs w:val="24"/>
        </w:rPr>
      </w:pPr>
      <w:bookmarkStart w:colFirst="0" w:colLast="0" w:name="_4bd52hwj1li2" w:id="3"/>
      <w:bookmarkEnd w:id="3"/>
      <w:r w:rsidDel="00000000" w:rsidR="00000000" w:rsidRPr="00000000">
        <w:rPr>
          <w:rFonts w:ascii="Calibri" w:cs="Calibri" w:eastAsia="Calibri" w:hAnsi="Calibri"/>
          <w:b w:val="1"/>
          <w:bCs w:val="1"/>
          <w:color w:val="000000"/>
          <w:sz w:val="24"/>
          <w:szCs w:val="24"/>
          <w:rtl w:val="0"/>
        </w:rPr>
        <w:t xml:space="preserve">Comparison of Financial Modelling Results</w:t>
      </w:r>
    </w:p>
    <w:p w:rsidR="00000000" w:rsidDel="00000000" w:rsidP="00000000" w:rsidRDefault="00000000" w:rsidRPr="00000000" w14:paraId="0000007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From the financial modelling analysis, clear differences can be observed between NVIDIA and APPLE. NVIDIA’s valuation is highly dependent on future growth expectations, making it more volatile and sensitive to changes in assumptions. In contrast, APPLE’s valuation is driven by stable and predictable cash flows, making it more resilient.</w:t>
      </w:r>
    </w:p>
    <w:p w:rsidR="00000000" w:rsidDel="00000000" w:rsidP="00000000" w:rsidRDefault="00000000" w:rsidRPr="00000000" w14:paraId="0000007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highlights the classic risk-return trade-off, where higher growth potential is associated with greater uncertainty. NVIDIA offers higher upside potential but with increased valuation sensitivity, while APPLE provides more stable and predictable performance due to its consistent cash flows.</w:t>
      </w:r>
    </w:p>
    <w:p w:rsidR="00000000" w:rsidDel="00000000" w:rsidP="00000000" w:rsidRDefault="00000000" w:rsidRPr="00000000" w14:paraId="0000007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Conclusion</w:t>
      </w:r>
      <w:r w:rsidDel="00000000" w:rsidR="00000000" w:rsidRPr="00000000">
        <w:rPr>
          <w:rtl w:val="0"/>
        </w:rPr>
      </w:r>
    </w:p>
    <w:p w:rsidR="00000000" w:rsidDel="00000000" w:rsidP="00000000" w:rsidRDefault="00000000" w:rsidRPr="00000000" w14:paraId="0000007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conclusion, this analysis has examined NVIDIA and APPLE from multiple perspectives, including market trends, financial performance, ratio analysis, and financial modelling. NVIDIA demonstrates strong growth driven by artificial intelligence and data centre demand, supported by high profitability and rapid revenue expansion. However, its valuation reflects high expectations, which increases investment risk.</w:t>
      </w:r>
    </w:p>
    <w:p w:rsidR="00000000" w:rsidDel="00000000" w:rsidP="00000000" w:rsidRDefault="00000000" w:rsidRPr="00000000" w14:paraId="0000007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contrast, APPLE shows consistent and stable financial performance, supported by strong profitability and effective capital management. While its growth is more moderate, it provides steady returns with lower volatility.</w:t>
      </w:r>
    </w:p>
    <w:p w:rsidR="00000000" w:rsidDel="00000000" w:rsidP="00000000" w:rsidRDefault="00000000" w:rsidRPr="00000000" w14:paraId="0000007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From an investment perspective, NVIDIA is suitable for investors seeking higher returns and willing to accept higher risk, while APPLE is more suitable for investors who prefer stability and consistent performance. Rather than viewing one company as strictly better than the other, investors should consider how each fits within a broader portfolio strategy. NVIDIA may serve as a growth-oriented asset, while APPLE provides stability and consistent returns, allowing for a more balanced investment approach.</w:t>
      </w:r>
    </w:p>
    <w:p w:rsidR="00000000" w:rsidDel="00000000" w:rsidP="00000000" w:rsidRDefault="00000000" w:rsidRPr="00000000" w14:paraId="0000007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Overall, this analysis highlights the importance of combining financial data, ratio analysis, and financial modelling to support well-informed investment decisions.</w:t>
      </w:r>
    </w:p>
    <w:p w:rsidR="00000000" w:rsidDel="00000000" w:rsidP="00000000" w:rsidRDefault="00000000" w:rsidRPr="00000000" w14:paraId="00000078">
      <w:pPr>
        <w:rPr>
          <w:rFonts w:ascii="Calibri" w:cs="Calibri" w:eastAsia="Calibri" w:hAnsi="Calibri"/>
        </w:rPr>
      </w:pPr>
      <w:r w:rsidDel="00000000" w:rsidR="00000000" w:rsidRPr="00000000">
        <w:rPr>
          <w:rtl w:val="0"/>
        </w:rPr>
      </w:r>
    </w:p>
    <w:p w:rsidR="00000000" w:rsidDel="00000000" w:rsidP="00000000" w:rsidRDefault="00000000" w:rsidRPr="00000000" w14:paraId="00000079">
      <w:pPr>
        <w:rPr>
          <w:rFonts w:ascii="Calibri" w:cs="Calibri" w:eastAsia="Calibri" w:hAnsi="Calibri"/>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nvestor.nvidia.com/home/default.aspx" TargetMode="External"/><Relationship Id="rId7" Type="http://schemas.openxmlformats.org/officeDocument/2006/relationships/hyperlink" Target="https://investor.nvidia.com/financial-info/financial-reports/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