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80"/>
        <w:jc w:val="left"/>
      </w:pPr>
      <w:r>
        <w:rPr>
          <w:rFonts w:ascii="Arial" w:cs="Arial" w:eastAsia="Arial" w:hAnsi="Arial"/>
          <w:b w:val="false"/>
          <w:bCs w:val="false"/>
          <w:i w:val="false"/>
          <w:iCs w:val="false"/>
          <w:color w:val="000000"/>
          <w:sz w:val="21"/>
          <w:szCs w:val="21"/>
        </w:rPr>
        <w:t xml:space="preserve">株式会社荏原製作所 ビジネスDDレポート（2026年5月）</w:t>
      </w:r>
    </w:p>
    <w:p>
      <w:pPr>
        <w:spacing w:after="120" w:before="240"/>
      </w:pPr>
      <w:r>
        <w:rPr>
          <w:rFonts w:ascii="Arial" w:cs="Arial" w:eastAsia="Arial" w:hAnsi="Arial"/>
          <w:b/>
          <w:bCs/>
          <w:color w:val="1F3A5F"/>
          <w:sz w:val="28"/>
          <w:szCs w:val="28"/>
        </w:rPr>
        <w:t xml:space="preserve">エグゼクティブサマリー</w:t>
      </w:r>
    </w:p>
    <w:p>
      <w:pPr>
        <w:spacing w:after="100" w:before="200"/>
      </w:pPr>
      <w:r>
        <w:rPr>
          <w:rFonts w:ascii="Arial" w:cs="Arial" w:eastAsia="Arial" w:hAnsi="Arial"/>
          <w:b/>
          <w:bCs/>
          <w:color w:val="2C4F7A"/>
          <w:sz w:val="25"/>
          <w:szCs w:val="25"/>
        </w:rPr>
        <w:t xml:space="preserve">主要観察事実（Key Observations）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連結売上収益はFY2021→FY2025で年平均+12.3%成長、営業利益は+16.7%成長と高い増益モメンタムを維持。FY2025は売上9,582億円・営業利益1,138億円・OPM 11.9%でいずれも過去最高更新</w:t>
      </w:r>
      <w:r>
        <w:rPr>
          <w:rFonts w:ascii="Arial" w:cs="Arial" w:eastAsia="Arial" w:hAnsi="Arial"/>
          <w:b w:val="false"/>
          <w:bCs w:val="false"/>
          <w:i w:val="false"/>
          <w:iCs w:val="false"/>
          <w:color w:val="000000"/>
          <w:sz w:val="20"/>
          <w:szCs w:val="20"/>
        </w:rPr>
        <w:t xml:space="preserve">[出典: 有報FY2025、決算短信FY2025]</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5セグメント体制（建築・産業／エネルギー／インフラ／環境／精密・電子）。FY2025セグメント営業利益のうち精密・電子が約49%・エネルギーが約22%を占め、半導体装置とエネルギー設備が利益貢献の主軸</w:t>
      </w:r>
      <w:r>
        <w:rPr>
          <w:rFonts w:ascii="Arial" w:cs="Arial" w:eastAsia="Arial" w:hAnsi="Arial"/>
          <w:b w:val="false"/>
          <w:bCs w:val="false"/>
          <w:i w:val="false"/>
          <w:iCs w:val="false"/>
          <w:color w:val="000000"/>
          <w:sz w:val="20"/>
          <w:szCs w:val="20"/>
        </w:rPr>
        <w:t xml:space="preserve">[出典: 有報FY2025セグメント注記]</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CMP装置：世界シェア37%（米AMAT 52.6%に次ぐ世界2位）。ロジック向けメタル系CMPで強みを持ち、AMATが優位なメモリ向けに機能拡張中</w:t>
      </w:r>
      <w:r>
        <w:rPr>
          <w:rFonts w:ascii="Arial" w:cs="Arial" w:eastAsia="Arial" w:hAnsi="Arial"/>
          <w:b w:val="false"/>
          <w:bCs w:val="false"/>
          <w:i w:val="false"/>
          <w:iCs w:val="false"/>
          <w:color w:val="000000"/>
          <w:sz w:val="20"/>
          <w:szCs w:val="20"/>
        </w:rPr>
        <w:t xml:space="preserve">[出典: ニュースイッチ2024、cmp-wafer-polishing.com]</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半導体ドライ真空ポンプ：世界2位（Atlas Copco/Edwardsが首位、Top3で80%シェア）。半導体製造装置エコシステム上、CMPと並ぶ二本柱</w:t>
      </w:r>
      <w:r>
        <w:rPr>
          <w:rFonts w:ascii="Arial" w:cs="Arial" w:eastAsia="Arial" w:hAnsi="Arial"/>
          <w:b w:val="false"/>
          <w:bCs w:val="false"/>
          <w:i w:val="false"/>
          <w:iCs w:val="false"/>
          <w:color w:val="000000"/>
          <w:sz w:val="20"/>
          <w:szCs w:val="20"/>
        </w:rPr>
        <w:t xml:space="preserve">[出典: SDKi 2024]</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産業用ポンプ：グローバル市場でGrundfosに次ぐ2位ポジション（建築・産業／エネルギー／インフラ等の事業の合算）。市場規模は約USD61B（2024）→USD79B（2029）でCAGR 5%程度の安定成長領域</w:t>
      </w:r>
      <w:r>
        <w:rPr>
          <w:rFonts w:ascii="Arial" w:cs="Arial" w:eastAsia="Arial" w:hAnsi="Arial"/>
          <w:b w:val="false"/>
          <w:bCs w:val="false"/>
          <w:i w:val="false"/>
          <w:iCs w:val="false"/>
          <w:color w:val="000000"/>
          <w:sz w:val="20"/>
          <w:szCs w:val="20"/>
        </w:rPr>
        <w:t xml:space="preserve">[出典: ResearchAndMarkets/MarketsandMarkets 2024-2025]</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顧客集中度は低い。売上収益の10%以上を占める単一顧客なし（FY2025有報明記）。地域別ではFY2025売上のうち日本約30%・中国約14%・アジアその他約16%・北米約10%（FY2023実績ベース推計、当期内訳は不開示）</w:t>
      </w:r>
      <w:r>
        <w:rPr>
          <w:rFonts w:ascii="Arial" w:cs="Arial" w:eastAsia="Arial" w:hAnsi="Arial"/>
          <w:b w:val="false"/>
          <w:bCs w:val="false"/>
          <w:i w:val="false"/>
          <w:iCs w:val="false"/>
          <w:color w:val="000000"/>
          <w:sz w:val="20"/>
          <w:szCs w:val="20"/>
        </w:rPr>
        <w:t xml:space="preserve">[出典: 有報FY2025、FY2023]</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資本構成：実質的な親会社・大株主は不在（信託銀行口座を除く実質保有でブラックロック7.31%、いちごトラストは前期末から主要株主から外れる方向）。独立系のPrime上場企業</w:t>
      </w:r>
      <w:r>
        <w:rPr>
          <w:rFonts w:ascii="Arial" w:cs="Arial" w:eastAsia="Arial" w:hAnsi="Arial"/>
          <w:b w:val="false"/>
          <w:bCs w:val="false"/>
          <w:i w:val="false"/>
          <w:iCs w:val="false"/>
          <w:color w:val="000000"/>
          <w:sz w:val="20"/>
          <w:szCs w:val="20"/>
        </w:rPr>
        <w:t xml:space="preserve">[出典: 有報FY2025大株主の状況]</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2026年2月13日付で長期ビジョン「E-Vision2035」（売上2兆円超、OPM 20%以上、ROIC 20%以上、ROE 25%以上、時価総額6兆円目標）と中計「E-Plan2028」（FY2028売上1.2兆円、OPM 14.5%以上）を新規開示</w:t>
      </w:r>
      <w:r>
        <w:rPr>
          <w:rFonts w:ascii="Arial" w:cs="Arial" w:eastAsia="Arial" w:hAnsi="Arial"/>
          <w:b w:val="false"/>
          <w:bCs w:val="false"/>
          <w:i w:val="false"/>
          <w:iCs w:val="false"/>
          <w:color w:val="000000"/>
          <w:sz w:val="20"/>
          <w:szCs w:val="20"/>
        </w:rPr>
        <w:t xml:space="preserve">[出典: 荏原E-Plan2028 IR資料 2026/2/13]</w:t>
      </w:r>
    </w:p>
    <w:p>
      <w:pPr>
        <w:spacing w:after="100" w:before="200"/>
      </w:pPr>
      <w:r>
        <w:rPr>
          <w:rFonts w:ascii="Arial" w:cs="Arial" w:eastAsia="Arial" w:hAnsi="Arial"/>
          <w:b/>
          <w:bCs/>
          <w:color w:val="2C4F7A"/>
          <w:sz w:val="25"/>
          <w:szCs w:val="25"/>
        </w:rPr>
        <w:t xml:space="preserve">観察されたリスク要因（Observed Risk Factors）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精密・電子セグメントの収益依存度上昇</w:t>
      </w:r>
      <w:r>
        <w:rPr>
          <w:rFonts w:ascii="Arial" w:cs="Arial" w:eastAsia="Arial" w:hAnsi="Arial"/>
          <w:b w:val="false"/>
          <w:bCs w:val="false"/>
          <w:i w:val="false"/>
          <w:iCs w:val="false"/>
          <w:color w:val="000000"/>
          <w:sz w:val="20"/>
          <w:szCs w:val="20"/>
        </w:rPr>
        <w:t xml:space="preserve">：FY2025連結営業利益のうち精密・電子が約49%。半導体投資サイクルの下振れ（メモリ需給・WFE投資調整）時に全社利益が大きく振れる構造[出典: 有報FY2025セグメント注記]</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環境セグメントの利益振れ</w:t>
      </w:r>
      <w:r>
        <w:rPr>
          <w:rFonts w:ascii="Arial" w:cs="Arial" w:eastAsia="Arial" w:hAnsi="Arial"/>
          <w:b w:val="false"/>
          <w:bCs w:val="false"/>
          <w:i w:val="false"/>
          <w:iCs w:val="false"/>
          <w:color w:val="000000"/>
          <w:sz w:val="20"/>
          <w:szCs w:val="20"/>
        </w:rPr>
        <w:t xml:space="preserve">：FY2024受注はEPC案件の規模縮小により減少、FY2025は持ち直し。プロジェクトベース型受注は単年で売上・利益のボラティリティが大きい[出典: 決算短信FY2024、FY2025]</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エネルギーセグメントの地政学リスク</w:t>
      </w:r>
      <w:r>
        <w:rPr>
          <w:rFonts w:ascii="Arial" w:cs="Arial" w:eastAsia="Arial" w:hAnsi="Arial"/>
          <w:b w:val="false"/>
          <w:bCs w:val="false"/>
          <w:i w:val="false"/>
          <w:iCs w:val="false"/>
          <w:color w:val="000000"/>
          <w:sz w:val="20"/>
          <w:szCs w:val="20"/>
        </w:rPr>
        <w:t xml:space="preserve">：石油・ガス向けカスタムポンプ・コンプレッサ事業（Elliott買収継承事業含む）は中東・北米油田開発が主要市場、エネルギー価格・地政学変動の影響大[出典: 有報FY2025事業セグメント概要]</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建築・産業セグメントの利益率</w:t>
      </w:r>
      <w:r>
        <w:rPr>
          <w:rFonts w:ascii="Arial" w:cs="Arial" w:eastAsia="Arial" w:hAnsi="Arial"/>
          <w:b w:val="false"/>
          <w:bCs w:val="false"/>
          <w:i w:val="false"/>
          <w:iCs w:val="false"/>
          <w:color w:val="000000"/>
          <w:sz w:val="20"/>
          <w:szCs w:val="20"/>
        </w:rPr>
        <w:t xml:space="preserve">：FY2024 OPM 4.3%、FY2025は6.3%まで回復するも依然として5セグメント中最下位水準。標準ポンプ事業の構造的な値上げ・原価改善余地[出典: irbank.netセグメント、有報FY2025]</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AMATとのCMPシェア競争激化</w:t>
      </w:r>
      <w:r>
        <w:rPr>
          <w:rFonts w:ascii="Arial" w:cs="Arial" w:eastAsia="Arial" w:hAnsi="Arial"/>
          <w:b w:val="false"/>
          <w:bCs w:val="false"/>
          <w:i w:val="false"/>
          <w:iCs w:val="false"/>
          <w:color w:val="000000"/>
          <w:sz w:val="20"/>
          <w:szCs w:val="20"/>
        </w:rPr>
        <w:t xml:space="preserve">：AMATが優位な3D NAND/DRAM向けで荏原が機能追加・販売拡大を狙う一方、AMATも防衛投資強化。ロジック微細化・先端パッケージ向けでは荏原優位だがメモリは劣勢が継続[出典: ニュースイッチ2024]</w:t>
      </w:r>
    </w:p>
    <w:p>
      <w:pPr>
        <w:spacing w:after="100" w:before="200"/>
      </w:pPr>
      <w:r>
        <w:rPr>
          <w:rFonts w:ascii="Arial" w:cs="Arial" w:eastAsia="Arial" w:hAnsi="Arial"/>
          <w:b/>
          <w:bCs/>
          <w:color w:val="2C4F7A"/>
          <w:sz w:val="25"/>
          <w:szCs w:val="25"/>
        </w:rPr>
        <w:t xml:space="preserve">追加DDで詰めるべき論点（Open Questions）</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CMP装置のロードマップ別シェア見通し</w:t>
      </w:r>
      <w:r>
        <w:rPr>
          <w:rFonts w:ascii="Arial" w:cs="Arial" w:eastAsia="Arial" w:hAnsi="Arial"/>
          <w:b w:val="false"/>
          <w:bCs w:val="false"/>
          <w:i w:val="false"/>
          <w:iCs w:val="false"/>
          <w:color w:val="000000"/>
          <w:sz w:val="20"/>
          <w:szCs w:val="20"/>
        </w:rPr>
        <w:t xml:space="preserve">：2nm/A系列ロジックでの採用、HBM・3D NAND向けのモジュール対応、メモリ向け新製品の量産時期</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建築・産業セグメントの事業ポートフォリオ</w:t>
      </w:r>
      <w:r>
        <w:rPr>
          <w:rFonts w:ascii="Arial" w:cs="Arial" w:eastAsia="Arial" w:hAnsi="Arial"/>
          <w:b w:val="false"/>
          <w:bCs w:val="false"/>
          <w:i w:val="false"/>
          <w:iCs w:val="false"/>
          <w:color w:val="000000"/>
          <w:sz w:val="20"/>
          <w:szCs w:val="20"/>
        </w:rPr>
        <w:t xml:space="preserve">：標準ポンプの値上げ実績と転嫁率、海外標準ポンプ拠点（伊・中・伯・印）の収益性、撤退・統合余地</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環境セグメントの戦略方向性</w:t>
      </w:r>
      <w:r>
        <w:rPr>
          <w:rFonts w:ascii="Arial" w:cs="Arial" w:eastAsia="Arial" w:hAnsi="Arial"/>
          <w:b w:val="false"/>
          <w:bCs w:val="false"/>
          <w:i w:val="false"/>
          <w:iCs w:val="false"/>
          <w:color w:val="000000"/>
          <w:sz w:val="20"/>
          <w:szCs w:val="20"/>
        </w:rPr>
        <w:t xml:space="preserve">：国内焼却プラント市場の更新需要に対する受注ポジション、海外案件の収益性、運営事業（O&amp;M／PFI）への移行可能性</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設備投資計画とフリーキャッシュフロー</w:t>
      </w:r>
      <w:r>
        <w:rPr>
          <w:rFonts w:ascii="Arial" w:cs="Arial" w:eastAsia="Arial" w:hAnsi="Arial"/>
          <w:b w:val="false"/>
          <w:bCs w:val="false"/>
          <w:i w:val="false"/>
          <w:iCs w:val="false"/>
          <w:color w:val="000000"/>
          <w:sz w:val="20"/>
          <w:szCs w:val="20"/>
        </w:rPr>
        <w:t xml:space="preserve">：FY2025設備投資1,007億円（前期比+72%）の内訳と回収見通し、E-Plan2028期間の累計CapEx・M&amp;A枠と株主還元の整合</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組織・ガバナンス論点</w:t>
      </w:r>
      <w:r>
        <w:rPr>
          <w:rFonts w:ascii="Arial" w:cs="Arial" w:eastAsia="Arial" w:hAnsi="Arial"/>
          <w:b w:val="false"/>
          <w:bCs w:val="false"/>
          <w:i w:val="false"/>
          <w:iCs w:val="false"/>
          <w:color w:val="000000"/>
          <w:sz w:val="20"/>
          <w:szCs w:val="20"/>
        </w:rPr>
        <w:t xml:space="preserve">：執行体制（2026年から細田CEO）、いちごトラスト退出後のガバナンス構成、株主還元方針（自己株取得・配当性向）の継続性、KMP（特に精密・電子事業のキーパーソン）リテンション</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想定ディール構造</w:t>
      </w:r>
      <w:r>
        <w:rPr>
          <w:rFonts w:ascii="Arial" w:cs="Arial" w:eastAsia="Arial" w:hAnsi="Arial"/>
          <w:b w:val="false"/>
          <w:bCs w:val="false"/>
          <w:i w:val="false"/>
          <w:iCs w:val="false"/>
          <w:color w:val="000000"/>
          <w:sz w:val="20"/>
          <w:szCs w:val="20"/>
        </w:rPr>
        <w:t xml:space="preserve">：時価総額約2.66兆円（2026/5/7）規模での全社買収はグローバルPE単独では困難。カーブアウト候補（建築・産業／環境の分離）か、半導体装置子会社化（戦略買収）が現実的な代替シナリオ</w:t>
      </w:r>
    </w:p>
    <w:p>
      <w:pPr>
        <w:spacing w:after="120" w:before="240"/>
      </w:pPr>
      <w:r>
        <w:rPr>
          <w:rFonts w:ascii="Arial" w:cs="Arial" w:eastAsia="Arial" w:hAnsi="Arial"/>
          <w:b/>
          <w:bCs/>
          <w:color w:val="1F3A5F"/>
          <w:sz w:val="28"/>
          <w:szCs w:val="28"/>
        </w:rPr>
        <w:t xml:space="preserve">① 事業概要</w:t>
      </w:r>
    </w:p>
    <w:p>
      <w:pPr>
        <w:spacing w:after="100" w:before="200"/>
      </w:pPr>
      <w:r>
        <w:rPr>
          <w:rFonts w:ascii="Arial" w:cs="Arial" w:eastAsia="Arial" w:hAnsi="Arial"/>
          <w:b/>
          <w:bCs/>
          <w:color w:val="2C4F7A"/>
          <w:sz w:val="25"/>
          <w:szCs w:val="25"/>
        </w:rPr>
        <w:t xml:space="preserve">1-1. 事業セグメント構造</w:t>
      </w:r>
    </w:p>
    <w:p>
      <w:pPr>
        <w:spacing w:after="80" w:before="0" w:line="280"/>
        <w:jc w:val="left"/>
      </w:pPr>
      <w:r>
        <w:rPr>
          <w:rFonts w:ascii="Arial" w:cs="Arial" w:eastAsia="Arial" w:hAnsi="Arial"/>
          <w:b w:val="false"/>
          <w:bCs w:val="false"/>
          <w:i w:val="false"/>
          <w:iCs w:val="false"/>
          <w:color w:val="000000"/>
          <w:sz w:val="21"/>
          <w:szCs w:val="21"/>
        </w:rPr>
        <w:t xml:space="preserve">荏原は対面市場別の5カンパニー制（建築・産業／エネルギー／インフラ／環境／精密・電子）。FY2022に旧「風水力」セグメントが3分割され、現体制に移行した。直近5期の連結ベース推移は以下のとおり、売上・利益とも一貫した成長を示す。</w:t>
      </w:r>
    </w:p>
    <w:p>
      <w:pPr>
        <w:spacing w:after="80" w:before="0" w:line="280"/>
        <w:jc w:val="left"/>
      </w:pPr>
      <w:r>
        <w:rPr>
          <w:rFonts w:ascii="Arial" w:cs="Arial" w:eastAsia="Arial" w:hAnsi="Arial"/>
          <w:b/>
          <w:bCs/>
          <w:i w:val="false"/>
          <w:iCs w:val="false"/>
          <w:color w:val="000000"/>
          <w:sz w:val="21"/>
          <w:szCs w:val="21"/>
        </w:rPr>
        <w:t xml:space="preserve">連結業績推移（5期、IFRS、百万円）</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指標</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FY2021</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FY2022</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FY2023</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FY2024</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603,213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680,870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759,328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866,668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958,285</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61,372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70,572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86,025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97,953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113,802</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11.9%</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親会社帰属当期利益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43,616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50,488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60,283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71,401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76,633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ROE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15.1%</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有報FY2021-FY2025、irbank.net]</w:t>
      </w:r>
    </w:p>
    <w:p>
      <w:pPr>
        <w:spacing w:after="80" w:before="0" w:line="280"/>
        <w:jc w:val="left"/>
      </w:pPr>
      <w:r>
        <w:rPr>
          <w:rFonts w:ascii="Arial" w:cs="Arial" w:eastAsia="Arial" w:hAnsi="Arial"/>
          <w:b/>
          <w:bCs/>
          <w:i w:val="false"/>
          <w:iCs w:val="false"/>
          <w:color w:val="000000"/>
          <w:sz w:val="21"/>
          <w:szCs w:val="21"/>
        </w:rPr>
        <w:t xml:space="preserve">必須テーブルA：5セグメント別業績推移（百万円、FY2022-FY2025）</w:t>
      </w:r>
    </w:p>
    <w:p>
      <w:pPr>
        <w:spacing w:after="80" w:before="0" w:line="280"/>
        <w:jc w:val="left"/>
      </w:pPr>
      <w:r>
        <w:rPr>
          <w:rFonts w:ascii="Arial" w:cs="Arial" w:eastAsia="Arial" w:hAnsi="Arial"/>
          <w:b w:val="false"/>
          <w:bCs w:val="false"/>
          <w:i w:val="false"/>
          <w:iCs w:val="false"/>
          <w:color w:val="000000"/>
          <w:sz w:val="21"/>
          <w:szCs w:val="21"/>
        </w:rPr>
        <w:t xml:space="preserve">注：FY2021以前は3セグメント体制（風水力／環境プラント／精密・電子）のため、5セグメント連続比較はFY2022以降。FY2022数値はFY2023有報で再分類されたもの。</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指標</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FY2022</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FY2023</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FY2024</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建築・産業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193,529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222,181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238,182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241,938</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11,401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15,737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10,341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15,251</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6,553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9,512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8,883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15,095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6.2%</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6,112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6,731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7,929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7,533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3.1%</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エネルギー</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143,605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167,229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210,434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217,845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16,936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22,347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28,008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25,943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11.9%</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2,666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6,513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7,671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14,535</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設備投資/売上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6.7%</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4,470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4,980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5,199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5,573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減価償却費/売上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2.6%</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インフラ</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46,258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50,178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51,118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57,143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3,924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4,604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3,697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4,680</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8.2%</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1,847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564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1,383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1,590</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2.8%</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1,380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944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971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1,426</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環境</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73,738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71,540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87,438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97,864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3,669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6,933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8,445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13,003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2,748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4,281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2,106</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設備投資/売上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843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770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879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1,264</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減価償却費/売上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精密・電子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売上収益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222,259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246,998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278,378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342,267</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36,183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38,285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50,133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57,773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営業利益率</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16.9%</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6,328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12,233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19,989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34,009</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設備投資/売上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9.9%</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7,385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7,656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8,367</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9,974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減価償却費/売上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2.9%</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有報FY2022-FY2025セグメント情報注記]</w:t>
      </w:r>
    </w:p>
    <w:p>
      <w:pPr>
        <w:spacing w:after="80" w:before="0" w:line="280"/>
        <w:jc w:val="left"/>
      </w:pPr>
      <w:r>
        <w:rPr>
          <w:rFonts w:ascii="Arial" w:cs="Arial" w:eastAsia="Arial" w:hAnsi="Arial"/>
          <w:b/>
          <w:bCs/>
          <w:i w:val="false"/>
          <w:iCs w:val="false"/>
          <w:color w:val="000000"/>
          <w:sz w:val="21"/>
          <w:szCs w:val="21"/>
        </w:rPr>
        <w:t xml:space="preserve">必須テーブルB：直近期（FY2025）セグメント構成比（独立小型テーブル）</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売上構成比</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営業利益（百万円）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営業利益構成比</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営業利益率</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建築・産業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241,938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15,251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エネルギー</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217,845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25,943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22.2%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11.9%</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インフラ</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57,143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4,680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8.2%</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環境</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97,864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13,003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精密・電子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342,267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35.7%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57,773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49.5%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16.9%</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合計（その他除く）</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957,059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116,652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12.2%</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有報FY2025セグメント注記。連結数値はその他△調整含めて売上958,285／営業利益113,802]</w:t>
      </w:r>
    </w:p>
    <w:p>
      <w:pPr>
        <w:spacing w:after="80" w:before="0" w:line="280"/>
        <w:jc w:val="left"/>
      </w:pPr>
      <w:r>
        <w:rPr>
          <w:rFonts w:ascii="Arial" w:cs="Arial" w:eastAsia="Arial" w:hAnsi="Arial"/>
          <w:b w:val="false"/>
          <w:bCs w:val="false"/>
          <w:i w:val="false"/>
          <w:iCs w:val="false"/>
          <w:color w:val="000000"/>
          <w:sz w:val="21"/>
          <w:szCs w:val="21"/>
        </w:rPr>
        <w:t xml:space="preserve">精密・電子は売上比35.7%に対し営業利益貢献は49.5%。利益貢献の半分が半導体装置事業に集中する構造である一方、エネルギーが利益22%を補完し、ポンプ・産機系の建築・産業／インフラ／環境の3セグメント合計で営業利益28%を稼ぐ収益分散が成立している。</w:t>
      </w:r>
    </w:p>
    <w:p>
      <w:pPr>
        <w:spacing w:after="100" w:before="200"/>
      </w:pPr>
      <w:r>
        <w:rPr>
          <w:rFonts w:ascii="Arial" w:cs="Arial" w:eastAsia="Arial" w:hAnsi="Arial"/>
          <w:b/>
          <w:bCs/>
          <w:color w:val="2C4F7A"/>
          <w:sz w:val="25"/>
          <w:szCs w:val="25"/>
        </w:rPr>
        <w:t xml:space="preserve">1-2. 製品・サービス</w:t>
      </w:r>
    </w:p>
    <w:p>
      <w:pPr>
        <w:spacing w:after="80" w:before="0" w:line="280"/>
        <w:jc w:val="left"/>
      </w:pPr>
      <w:r>
        <w:rPr>
          <w:rFonts w:ascii="Arial" w:cs="Arial" w:eastAsia="Arial" w:hAnsi="Arial"/>
          <w:b w:val="false"/>
          <w:bCs w:val="false"/>
          <w:i w:val="false"/>
          <w:iCs w:val="false"/>
          <w:color w:val="000000"/>
          <w:sz w:val="21"/>
          <w:szCs w:val="21"/>
        </w:rPr>
        <w:t xml:space="preserve">各セグメントの主力製品とエンドユース市場は次のとおり。</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主な対面市場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主な製品・サービス</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建築・産業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建築設備、産業設備</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標準ポンプ（陸上ポンプ、水中ポンプ、給水ポンプ）、冷熱機械、送風機</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エネルギー</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石油・ガス、電力、新エネルギー</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カスタムポンプ、コンプレッサ、タービン、クライオポンプ、エキスパンダ</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インフラ</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水インフラ</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カスタムポンプ（農業用、排水、上下水道）、トンネル用送風機</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環境</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固形廃棄物処理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都市ごみ焼却プラント、産業廃棄物焼却プラント</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精密・電子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半導体製造</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真空ポンプ（ドライ真空ポンプ）、CMP装置、めっき装置、排ガス処理装置</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有報FY2025セグメント概要]</w:t>
      </w:r>
    </w:p>
    <w:p>
      <w:pPr>
        <w:spacing w:after="80" w:before="0" w:line="280"/>
        <w:jc w:val="left"/>
      </w:pPr>
      <w:r>
        <w:rPr>
          <w:rFonts w:ascii="Arial" w:cs="Arial" w:eastAsia="Arial" w:hAnsi="Arial"/>
          <w:b w:val="false"/>
          <w:bCs w:val="false"/>
          <w:i w:val="false"/>
          <w:iCs w:val="false"/>
          <w:color w:val="000000"/>
          <w:sz w:val="21"/>
          <w:szCs w:val="21"/>
        </w:rPr>
        <w:t xml:space="preserve">技術的特徴として、エネルギーセグメントではElliott Company（米、2000年完全子会社化）由来のターボ機械技術、精密・電子セグメントでは1987年からの真空機器・1980年代後半からのCMP装置開発による国内外の量産実績が中核。建築・産業の標準ポンプは1965年の藤沢工場での量産化以降、国内・東南アジア・伯・伊・中印を含むグローバル供給網を構築。</w:t>
      </w:r>
    </w:p>
    <w:p>
      <w:pPr>
        <w:spacing w:after="100" w:before="200"/>
      </w:pPr>
      <w:r>
        <w:rPr>
          <w:rFonts w:ascii="Arial" w:cs="Arial" w:eastAsia="Arial" w:hAnsi="Arial"/>
          <w:b/>
          <w:bCs/>
          <w:color w:val="2C4F7A"/>
          <w:sz w:val="25"/>
          <w:szCs w:val="25"/>
        </w:rPr>
        <w:t xml:space="preserve">1-3. 顧客構造</w:t>
      </w:r>
    </w:p>
    <w:p>
      <w:pPr>
        <w:spacing w:after="80" w:before="0" w:line="280"/>
        <w:jc w:val="left"/>
      </w:pPr>
      <w:r>
        <w:rPr>
          <w:rFonts w:ascii="Arial" w:cs="Arial" w:eastAsia="Arial" w:hAnsi="Arial"/>
          <w:b/>
          <w:bCs/>
          <w:i w:val="false"/>
          <w:iCs w:val="false"/>
          <w:color w:val="000000"/>
          <w:sz w:val="21"/>
          <w:szCs w:val="21"/>
        </w:rPr>
        <w:t xml:space="preserve">顧客集中度は低水準</w:t>
      </w:r>
      <w:r>
        <w:rPr>
          <w:rFonts w:ascii="Arial" w:cs="Arial" w:eastAsia="Arial" w:hAnsi="Arial"/>
          <w:b w:val="false"/>
          <w:bCs w:val="false"/>
          <w:i w:val="false"/>
          <w:iCs w:val="false"/>
          <w:color w:val="000000"/>
          <w:sz w:val="21"/>
          <w:szCs w:val="21"/>
        </w:rPr>
        <w:t xml:space="preserve">：FY2025有報セグメント注記において「売上収益の10%以上を占める単一の外部顧客との取引はありません」と明記されており、過去5期一貫してこの状態。半導体装置（精密・電子）はTSMC・サムスン・Intel・SK Hynix・Micron・キオクシア等のグローバル半導体メーカーが主要顧客（仮説、有報内で具体名は非開示）、エネルギーは石油メジャー・LNG事業者・電力会社、環境は地方自治体（プラントEPC）、建築・産業は商社経由の汎用製品商流が中心と推定される。</w:t>
      </w:r>
    </w:p>
    <w:p>
      <w:pPr>
        <w:spacing w:after="80" w:before="0" w:line="280"/>
        <w:jc w:val="left"/>
      </w:pPr>
      <w:r>
        <w:rPr>
          <w:rFonts w:ascii="Arial" w:cs="Arial" w:eastAsia="Arial" w:hAnsi="Arial"/>
          <w:b/>
          <w:bCs/>
          <w:i w:val="false"/>
          <w:iCs w:val="false"/>
          <w:color w:val="000000"/>
          <w:sz w:val="21"/>
          <w:szCs w:val="21"/>
        </w:rPr>
        <w:t xml:space="preserve">地域別売上収益（百万円、過去5期）</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地域</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FY2021</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FY2022</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FY2023</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FY2024</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FY2025</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日本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247,447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253,821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271,301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中国</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111,395</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110,301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131,892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アジアその他</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121,723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137,170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139,700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北米</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44,216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57,688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80,922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その他</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78,428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121,888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135,512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合計</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603,213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680,870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759,328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866,668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958,285</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FY2024-FY2025の地域別内訳は本DD作業時点で確認した有報・短信PDFのテキスト抽出範囲では不開示（追加DDで決算説明会補足資料を要確認）。FY2023までで日本約36%・中国17%・アジアその他18%・北米11%・その他18%の構成。日本比率は緩やかに低下しグローバル化が進行。北米は2年で約2倍に伸長（精密・電子・エネルギーの北米拡大）。</w:t>
      </w:r>
    </w:p>
    <w:p>
      <w:pPr>
        <w:spacing w:after="80" w:before="0" w:line="280"/>
        <w:jc w:val="left"/>
      </w:pPr>
      <w:r>
        <w:rPr>
          <w:rFonts w:ascii="Arial" w:cs="Arial" w:eastAsia="Arial" w:hAnsi="Arial"/>
          <w:b w:val="false"/>
          <w:bCs w:val="false"/>
          <w:i w:val="false"/>
          <w:iCs w:val="false"/>
          <w:color w:val="000000"/>
          <w:sz w:val="21"/>
          <w:szCs w:val="21"/>
        </w:rPr>
        <w:t xml:space="preserve">[出典: 有報FY2022-FY2024セグメント注記「地域別情報」]</w:t>
      </w:r>
    </w:p>
    <w:p>
      <w:pPr>
        <w:spacing w:after="100" w:before="200"/>
      </w:pPr>
      <w:r>
        <w:rPr>
          <w:rFonts w:ascii="Arial" w:cs="Arial" w:eastAsia="Arial" w:hAnsi="Arial"/>
          <w:b/>
          <w:bCs/>
          <w:color w:val="2C4F7A"/>
          <w:sz w:val="25"/>
          <w:szCs w:val="25"/>
        </w:rPr>
        <w:t xml:space="preserve">1-4. バリューチェーン上のポジション</w:t>
      </w:r>
    </w:p>
    <w:p>
      <w:pPr>
        <w:spacing w:after="80" w:before="0" w:line="280"/>
        <w:jc w:val="left"/>
      </w:pPr>
      <w:r>
        <w:rPr>
          <w:rFonts w:ascii="Arial" w:cs="Arial" w:eastAsia="Arial" w:hAnsi="Arial"/>
          <w:b w:val="false"/>
          <w:bCs w:val="false"/>
          <w:i w:val="false"/>
          <w:iCs w:val="false"/>
          <w:color w:val="000000"/>
          <w:sz w:val="21"/>
          <w:szCs w:val="21"/>
        </w:rPr>
        <w:t xml:space="preserve">セグメントごとにバリューチェーン上の立ち位置が異なる。</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建築・産業／インフラ</w:t>
      </w:r>
      <w:r>
        <w:rPr>
          <w:rFonts w:ascii="Arial" w:cs="Arial" w:eastAsia="Arial" w:hAnsi="Arial"/>
          <w:b w:val="false"/>
          <w:bCs w:val="false"/>
          <w:i w:val="false"/>
          <w:iCs w:val="false"/>
          <w:color w:val="000000"/>
          <w:sz w:val="20"/>
          <w:szCs w:val="20"/>
        </w:rPr>
        <w:t xml:space="preserve">：自社設計・国内主要工場（藤沢、富津、熊本ほか）＋海外生産拠点（伊・中・伯・印）での量産。商社・代理店経由の販売が主体（Tier1機械メーカーとしての販売）</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エネルギー</w:t>
      </w:r>
      <w:r>
        <w:rPr>
          <w:rFonts w:ascii="Arial" w:cs="Arial" w:eastAsia="Arial" w:hAnsi="Arial"/>
          <w:b w:val="false"/>
          <w:bCs w:val="false"/>
          <w:i w:val="false"/>
          <w:iCs w:val="false"/>
          <w:color w:val="000000"/>
          <w:sz w:val="20"/>
          <w:szCs w:val="20"/>
        </w:rPr>
        <w:t xml:space="preserve">：プロジェクトEPC向けカスタムポンプ・ターボ機械を直販。Elliott社（米国子会社）が北米・中東石油メジャー向けの主要供給拠点。プロジェクト引合段階から仕様協議に参画するTier1サプライヤー</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環境</w:t>
      </w:r>
      <w:r>
        <w:rPr>
          <w:rFonts w:ascii="Arial" w:cs="Arial" w:eastAsia="Arial" w:hAnsi="Arial"/>
          <w:b w:val="false"/>
          <w:bCs w:val="false"/>
          <w:i w:val="false"/>
          <w:iCs w:val="false"/>
          <w:color w:val="000000"/>
          <w:sz w:val="20"/>
          <w:szCs w:val="20"/>
        </w:rPr>
        <w:t xml:space="preserve">：プラントEPCを直接受注（地方自治体・産廃事業者）。設計・建設・運営の上流から下流までインテグレーター</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精密・電子</w:t>
      </w:r>
      <w:r>
        <w:rPr>
          <w:rFonts w:ascii="Arial" w:cs="Arial" w:eastAsia="Arial" w:hAnsi="Arial"/>
          <w:b w:val="false"/>
          <w:bCs w:val="false"/>
          <w:i w:val="false"/>
          <w:iCs w:val="false"/>
          <w:color w:val="000000"/>
          <w:sz w:val="20"/>
          <w:szCs w:val="20"/>
        </w:rPr>
        <w:t xml:space="preserve">：半導体製造装置のキー装置サプライヤーとして、半導体メーカー（IDM/Foundry）にCMP装置・ドライ真空ポンプ・排ガス処理装置を直販。装置メーカー（AMAT、東京エレクトロン等）の競合・補完関係。藤沢、熊本、千葉等で量産</w:t>
      </w:r>
    </w:p>
    <w:p>
      <w:pPr>
        <w:spacing w:after="80" w:before="0" w:line="280"/>
        <w:jc w:val="left"/>
      </w:pPr>
      <w:r>
        <w:rPr>
          <w:rFonts w:ascii="Arial" w:cs="Arial" w:eastAsia="Arial" w:hAnsi="Arial"/>
          <w:b w:val="false"/>
          <w:bCs w:val="false"/>
          <w:i w:val="false"/>
          <w:iCs w:val="false"/>
          <w:color w:val="000000"/>
          <w:sz w:val="21"/>
          <w:szCs w:val="21"/>
        </w:rPr>
        <w:t xml:space="preserve">主要拠点：藤沢工場（精密機械・研究開発）、富津工場（コンプレッサ・タービン）、熊本工場（CMP装置、2025年新棟稼働）、袖ヶ浦工場、川崎工場、海外30+拠点。</w:t>
      </w:r>
    </w:p>
    <w:p>
      <w:pPr>
        <w:spacing w:after="80" w:before="0" w:line="280"/>
        <w:jc w:val="left"/>
      </w:pPr>
      <w:r>
        <w:rPr>
          <w:rFonts w:ascii="Arial" w:cs="Arial" w:eastAsia="Arial" w:hAnsi="Arial"/>
          <w:b w:val="false"/>
          <w:bCs w:val="false"/>
          <w:i w:val="false"/>
          <w:iCs w:val="false"/>
          <w:color w:val="000000"/>
          <w:sz w:val="21"/>
          <w:szCs w:val="21"/>
        </w:rPr>
        <w:t xml:space="preserve">[出典: 有報FY2025沿革・主要設備の状況、ニュースイッチ2024]</w:t>
      </w:r>
    </w:p>
    <w:p>
      <w:pPr>
        <w:spacing w:after="100" w:before="200"/>
      </w:pPr>
      <w:r>
        <w:rPr>
          <w:rFonts w:ascii="Arial" w:cs="Arial" w:eastAsia="Arial" w:hAnsi="Arial"/>
          <w:b/>
          <w:bCs/>
          <w:color w:val="2C4F7A"/>
          <w:sz w:val="25"/>
          <w:szCs w:val="25"/>
        </w:rPr>
        <w:t xml:space="preserve">1-5. 主要競合</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セグメント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上場区分</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売上規模（時点）</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営業利益率</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主領域</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強み・特徴</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建築・産業／インフラ／エネルギー（ポンプ計）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Grundfos</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非上場（デンマーク）</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約€4.5B（2024）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標準・水ポンプ全般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グローバル首位、サステナ・水関連集中、デジタル制御</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Xylem</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NYSE上場</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約$8.6B（2024）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約13%（2024）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スマート水ソリューション</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M&amp;Aで規模拡大（Evoqua統合）、北米強い</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Flowserve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NYSE上場</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約$4.6B（2024）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約11%（2024）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重工ポンプ（油ガス・化学）</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石油・化学プロセス向け重工ポンプ専門</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KSB</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フランクフルト上場</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約€3.0B（2024）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約7%（2024）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産業・水ポンプ</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欧州中心、長い歴史と保守ネットワーク</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環境（廃棄物処理プラント）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日立造船（Hitachi Zosen）</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東証Prime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約7,000億円（FY2024、連結）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ごみ焼却・水処理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スイスHitachi Zosen Inova経由で欧州市場強い</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同上</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タクマ</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東証Prime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約1,500億円（FY2024）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約10%（FY2024）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ごみ焼却</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国内シェア上位、O&amp;M移行</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同上</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三菱重工環境・化学エンジニアリング</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三菱重工子会社</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ごみ焼却・水処理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三菱重工グループ</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精密・電子（CMP）</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Applied Materials</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NASDAQ</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$27B（FY2024）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約30%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CMP・成膜・エッチング</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CMP世界首位（52.6%）、メモリ向け強い</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精密・電子（真空）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Atlas Copco（Edwards）</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ストックホルム上場</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SEK 173B（2024）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約21%（2024）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真空ポンプ</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真空首位、半導体・産業真空併営</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精密・電子（真空）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Pfeiffer Vacuum</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フランクフルト上場</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約€800M（2024）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真空ポンプ</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半導体・分析向け真空</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注：荏原はFY2025売上9,582億円・OPM 11.9%。グローバルポンプ業界では2位（Grundfosに次ぐ）、CMPで2位（AMATに次ぐ）、半導体ドライ真空ポンプで2位（Edwardsに次ぐ）の「グローバル2位ポジションのコングロマリット」。OPM水準ではAMATやAtlas Copco（Vacuum Technique部門 OPM 21%）に対し約10ポイント劣後。専業比較では収益性向上余地が示唆される。</w:t>
      </w:r>
    </w:p>
    <w:p>
      <w:pPr>
        <w:spacing w:after="80" w:before="0" w:line="280"/>
        <w:jc w:val="left"/>
      </w:pPr>
      <w:r>
        <w:rPr>
          <w:rFonts w:ascii="Arial" w:cs="Arial" w:eastAsia="Arial" w:hAnsi="Arial"/>
          <w:b w:val="false"/>
          <w:bCs w:val="false"/>
          <w:i w:val="false"/>
          <w:iCs w:val="false"/>
          <w:color w:val="000000"/>
          <w:sz w:val="21"/>
          <w:szCs w:val="21"/>
        </w:rPr>
        <w:t xml:space="preserve">[出典: deallab.info 2024、Atlas Copco IR 2024-2025、各社決算]</w:t>
      </w:r>
    </w:p>
    <w:p>
      <w:pPr>
        <w:spacing w:after="100" w:before="200"/>
      </w:pPr>
      <w:r>
        <w:rPr>
          <w:rFonts w:ascii="Arial" w:cs="Arial" w:eastAsia="Arial" w:hAnsi="Arial"/>
          <w:b/>
          <w:bCs/>
          <w:color w:val="2C4F7A"/>
          <w:sz w:val="25"/>
          <w:szCs w:val="25"/>
        </w:rPr>
        <w:t xml:space="preserve">1-6. 沿革・資本構成</w:t>
      </w:r>
    </w:p>
    <w:p>
      <w:pPr>
        <w:spacing w:after="80" w:before="0" w:line="280"/>
        <w:jc w:val="left"/>
      </w:pPr>
      <w:r>
        <w:rPr>
          <w:rFonts w:ascii="Arial" w:cs="Arial" w:eastAsia="Arial" w:hAnsi="Arial"/>
          <w:b/>
          <w:bCs/>
          <w:i w:val="false"/>
          <w:iCs w:val="false"/>
          <w:color w:val="000000"/>
          <w:sz w:val="21"/>
          <w:szCs w:val="21"/>
        </w:rPr>
        <w:t xml:space="preserve">沿革（主要マイルストーン）</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1912年 ゐのくち式機械事務所 創立（東京帝国大学 井口在屋博士主幹、畠山一清所長）</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1920年 荏原製作所 設立（渦巻ポンプ製造開始）</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1949年 東証一部・大証一部 上場</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1965年 藤沢工場で日本初の標準ポンプ量産体制確立</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1987年 藤沢工場精密機械工場で半導体産業向け真空機器の生産開始</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2000年 Elliott Company（米）を完全子会社化</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2005年 カンパニー制導入（風水力／環境／精密・電子の3カンパニー）</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2009年 グループ内水処理事業を水ing株式会社へ統合</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2022年 12月決算へ移行・5カンパニー制（建築・産業／エネルギー／インフラ／環境／精密・電子）</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2025年 熊本事業所新棟稼働（CMP装置生産能力増強）</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2026年2月 E-Vision2035・E-Plan2028 開示（細田修吾CEO体制）</w:t>
      </w:r>
    </w:p>
    <w:p>
      <w:pPr>
        <w:spacing w:after="80" w:before="0" w:line="280"/>
        <w:jc w:val="left"/>
      </w:pPr>
      <w:r>
        <w:rPr>
          <w:rFonts w:ascii="Arial" w:cs="Arial" w:eastAsia="Arial" w:hAnsi="Arial"/>
          <w:b w:val="false"/>
          <w:bCs w:val="false"/>
          <w:i w:val="false"/>
          <w:iCs w:val="false"/>
          <w:color w:val="000000"/>
          <w:sz w:val="21"/>
          <w:szCs w:val="21"/>
        </w:rPr>
        <w:t xml:space="preserve">[出典: 有報FY2025「沿革」]</w:t>
      </w:r>
    </w:p>
    <w:p>
      <w:pPr>
        <w:spacing w:after="80" w:before="0" w:line="280"/>
        <w:jc w:val="left"/>
      </w:pPr>
      <w:r>
        <w:rPr>
          <w:rFonts w:ascii="Arial" w:cs="Arial" w:eastAsia="Arial" w:hAnsi="Arial"/>
          <w:b/>
          <w:bCs/>
          <w:i w:val="false"/>
          <w:iCs w:val="false"/>
          <w:color w:val="000000"/>
          <w:sz w:val="21"/>
          <w:szCs w:val="21"/>
        </w:rPr>
        <w:t xml:space="preserve">大株主の状況（2025年12月31日現在、上位10名）</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順位</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株主</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所有株式数（千株）</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比率</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日本マスタートラスト信託銀行（信託口）</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77,966</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17.08%</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日本カストディ銀行（信託口）</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34,828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7.63%</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いちごトラスト・ピーティーイー・リミテッド</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23,765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5.20%</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BNYM AS AGT/CLTS NON TREATY JASDEC</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2.41%</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State Street Bank and Trust Company 505001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10,813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2.37%</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State Street Bank and Trust Company 505301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7,008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1.54%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JP Morgan Chase Bank 385781</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6,728</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1.47%</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BNYM AS AGT/CLTS 10 PERCENT</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6,208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1.36%</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日本証券金融</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5,170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1.13%</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日本生命保険相互会社</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5,093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1.12%</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上位10名合計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188,607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41.31%</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信託口・常任代理人形式の保有が多く、実質保有者は別途。ブラックロックグループ（共同保有）が大量保有報告書（2025/11/28時点）で33,798千株（7.31%）を報告。前期末で主要株主だったいちごトラスト（アクティビスト系シンガポールファンド）は当期末では主要株主の地位を一部解消との記載。実質的な親会社・支配株主は不在の独立系企業。</w:t>
      </w:r>
    </w:p>
    <w:p>
      <w:pPr>
        <w:spacing w:after="80" w:before="0" w:line="280"/>
        <w:jc w:val="left"/>
      </w:pPr>
      <w:r>
        <w:rPr>
          <w:rFonts w:ascii="Arial" w:cs="Arial" w:eastAsia="Arial" w:hAnsi="Arial"/>
          <w:b w:val="false"/>
          <w:bCs w:val="false"/>
          <w:i w:val="false"/>
          <w:iCs w:val="false"/>
          <w:color w:val="000000"/>
          <w:sz w:val="21"/>
          <w:szCs w:val="21"/>
        </w:rPr>
        <w:t xml:space="preserve">[出典: 有報FY2025「大株主の状況」]</w:t>
      </w:r>
    </w:p>
    <w:p>
      <w:pPr>
        <w:spacing w:after="120" w:before="240"/>
      </w:pPr>
      <w:r>
        <w:rPr>
          <w:rFonts w:ascii="Arial" w:cs="Arial" w:eastAsia="Arial" w:hAnsi="Arial"/>
          <w:b/>
          <w:bCs/>
          <w:color w:val="1F3A5F"/>
          <w:sz w:val="28"/>
          <w:szCs w:val="28"/>
        </w:rPr>
        <w:t xml:space="preserve">② 事業の堅牢性</w:t>
      </w:r>
    </w:p>
    <w:p>
      <w:pPr>
        <w:spacing w:after="100" w:before="200"/>
      </w:pPr>
      <w:r>
        <w:rPr>
          <w:rFonts w:ascii="Arial" w:cs="Arial" w:eastAsia="Arial" w:hAnsi="Arial"/>
          <w:b/>
          <w:bCs/>
          <w:color w:val="2C4F7A"/>
          <w:sz w:val="25"/>
          <w:szCs w:val="25"/>
        </w:rPr>
        <w:t xml:space="preserve">2-1. 市場性</w:t>
      </w:r>
    </w:p>
    <w:p>
      <w:pPr>
        <w:spacing w:after="80" w:before="0" w:line="280"/>
        <w:jc w:val="left"/>
      </w:pPr>
      <w:r>
        <w:rPr>
          <w:rFonts w:ascii="Arial" w:cs="Arial" w:eastAsia="Arial" w:hAnsi="Arial"/>
          <w:b/>
          <w:bCs/>
          <w:i w:val="false"/>
          <w:iCs w:val="false"/>
          <w:color w:val="000000"/>
          <w:sz w:val="21"/>
          <w:szCs w:val="21"/>
        </w:rPr>
        <w:t xml:space="preserve">3つのコア市場（産業ポンプ／半導体製造装置／環境プラント）はいずれもCAGR 5-10%で成長基調にあり、市場性そのものは堅牢である</w:t>
      </w:r>
      <w:r>
        <w:rPr>
          <w:rFonts w:ascii="Arial" w:cs="Arial" w:eastAsia="Arial" w:hAnsi="Arial"/>
          <w:b w:val="false"/>
          <w:bCs w:val="false"/>
          <w:i w:val="false"/>
          <w:iCs w:val="false"/>
          <w:color w:val="000000"/>
          <w:sz w:val="21"/>
          <w:szCs w:val="21"/>
        </w:rPr>
        <w:t xml:space="preserve">（観察事実）。</w:t>
      </w:r>
    </w:p>
    <w:p>
      <w:pPr>
        <w:spacing w:after="80" w:before="160"/>
      </w:pPr>
      <w:r>
        <w:rPr>
          <w:rFonts w:ascii="Arial" w:cs="Arial" w:eastAsia="Arial" w:hAnsi="Arial"/>
          <w:b/>
          <w:bCs/>
          <w:color w:val="404040"/>
          <w:sz w:val="23"/>
          <w:szCs w:val="23"/>
        </w:rPr>
        <w:t xml:space="preserve">産業ポンプ市場（建築・産業／エネルギー／インフラ計）</w:t>
      </w:r>
    </w:p>
    <w:p>
      <w:pPr>
        <w:spacing w:after="80" w:before="0" w:line="280"/>
        <w:jc w:val="left"/>
      </w:pPr>
      <w:r>
        <w:rPr>
          <w:rFonts w:ascii="Arial" w:cs="Arial" w:eastAsia="Arial" w:hAnsi="Arial"/>
          <w:b w:val="false"/>
          <w:bCs w:val="false"/>
          <w:i w:val="false"/>
          <w:iCs w:val="false"/>
          <w:color w:val="000000"/>
          <w:sz w:val="21"/>
          <w:szCs w:val="21"/>
        </w:rPr>
        <w:t xml:space="preserve">世界の産業用ポンプ市場は2024年USD 46.4-70.5B、2029年にはUSD 79Bに達する見通しでCAGR 5.2%（仮置）。市場ドライバーは(a)新興国（アジア・中東）の都市化に伴う水インフラ・建築設備需要、(b)エネルギー転換に伴う水素・LNG・CCS関連プロセスポンプ需要、(c)欧米先進国の老朽化インフラ更新需要、の3点が中心である。</w:t>
      </w:r>
    </w:p>
    <w:p>
      <w:pPr>
        <w:spacing w:after="80" w:before="0" w:line="280"/>
        <w:jc w:val="left"/>
      </w:pPr>
      <w:r>
        <w:rPr>
          <w:rFonts w:ascii="Arial" w:cs="Arial" w:eastAsia="Arial" w:hAnsi="Arial"/>
          <w:b w:val="false"/>
          <w:bCs w:val="false"/>
          <w:i w:val="false"/>
          <w:iCs w:val="false"/>
          <w:color w:val="000000"/>
          <w:sz w:val="21"/>
          <w:szCs w:val="21"/>
        </w:rPr>
        <w:t xml:space="preserve">近年の動向としては、サステナビリティ訴求の高効率ポンプ（IE3/IE4規格）への置換、デジタルモニタリング機能搭載、水処理用フッ素規制（PFAS）対応が新たな単価上昇要因となっている。価格ドライバーとしては鋼材・銅・鋳鉄等の素材価格の高止まりに加え、インフレ圧力下での値上げ転嫁が継続。</w:t>
      </w:r>
    </w:p>
    <w:p>
      <w:pPr>
        <w:spacing w:after="80" w:before="0" w:line="280"/>
        <w:jc w:val="left"/>
      </w:pPr>
      <w:r>
        <w:rPr>
          <w:rFonts w:ascii="Arial" w:cs="Arial" w:eastAsia="Arial" w:hAnsi="Arial"/>
          <w:b w:val="false"/>
          <w:bCs w:val="false"/>
          <w:i w:val="false"/>
          <w:iCs w:val="false"/>
          <w:color w:val="000000"/>
          <w:sz w:val="21"/>
          <w:szCs w:val="21"/>
        </w:rPr>
        <w:t xml:space="preserve">将来見通し（仮説）として、2030年までの市場規模は$80B程度（CAGR 4-5%）、エネルギー転換関連と新興国インフラがけん引する。日本国内は人口減少で建築設備市場は緩やかに縮小するが、上下水道更新需要が下支え。</w:t>
      </w:r>
    </w:p>
    <w:p>
      <w:pPr>
        <w:spacing w:after="80" w:before="0" w:line="280"/>
        <w:jc w:val="left"/>
      </w:pPr>
      <w:r>
        <w:rPr>
          <w:rFonts w:ascii="Arial" w:cs="Arial" w:eastAsia="Arial" w:hAnsi="Arial"/>
          <w:b/>
          <w:bCs/>
          <w:i w:val="false"/>
          <w:iCs w:val="false"/>
          <w:color w:val="000000"/>
          <w:sz w:val="21"/>
          <w:szCs w:val="21"/>
        </w:rPr>
        <w:t xml:space="preserve">市場規模・成長率テーブル</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市場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直近規模（年）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期間</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実績/予測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CAGR</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出典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産業用ポンプ</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$61.3B（2024）</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2024→2029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5.2%</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ResearchAndMarkets 2025</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産業用ポンプ</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$46.4B（2024）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2025→2034</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GMI 2024</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ポンプ全体</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$79B（2029想定）</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MarketsandMarkets</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160"/>
      </w:pPr>
      <w:r>
        <w:rPr>
          <w:rFonts w:ascii="Arial" w:cs="Arial" w:eastAsia="Arial" w:hAnsi="Arial"/>
          <w:b/>
          <w:bCs/>
          <w:color w:val="404040"/>
          <w:sz w:val="23"/>
          <w:szCs w:val="23"/>
        </w:rPr>
        <w:t xml:space="preserve">半導体製造装置（CMP・ドライ真空ポンプ）市場</w:t>
      </w:r>
    </w:p>
    <w:p>
      <w:pPr>
        <w:spacing w:after="80" w:before="0" w:line="280"/>
        <w:jc w:val="left"/>
      </w:pPr>
      <w:r>
        <w:rPr>
          <w:rFonts w:ascii="Arial" w:cs="Arial" w:eastAsia="Arial" w:hAnsi="Arial"/>
          <w:b w:val="false"/>
          <w:bCs w:val="false"/>
          <w:i w:val="false"/>
          <w:iCs w:val="false"/>
          <w:color w:val="000000"/>
          <w:sz w:val="21"/>
          <w:szCs w:val="21"/>
        </w:rPr>
        <w:t xml:space="preserve">CMP装置市場は2023年で約$3.7B（≈3,700億円）、2025年$6.87B、2026年$7.44Bへ拡大。ドライ真空ポンプ（半導体向け）市場は2023年$1.19B→2030年$2.05BでCAGR 8.8%。両市場とも2026年以降のAI半導体・HBM・先端パッケージ需要に牽引される構造。</w:t>
      </w:r>
    </w:p>
    <w:p>
      <w:pPr>
        <w:spacing w:after="80" w:before="0" w:line="280"/>
        <w:jc w:val="left"/>
      </w:pPr>
      <w:r>
        <w:rPr>
          <w:rFonts w:ascii="Arial" w:cs="Arial" w:eastAsia="Arial" w:hAnsi="Arial"/>
          <w:b w:val="false"/>
          <w:bCs w:val="false"/>
          <w:i w:val="false"/>
          <w:iCs w:val="false"/>
          <w:color w:val="000000"/>
          <w:sz w:val="21"/>
          <w:szCs w:val="21"/>
        </w:rPr>
        <w:t xml:space="preserve">数量ドライバーは(a)生成AI需要に伴うHBM・先端ロジックの設備投資加速、(b)地域分散投資（CHIPS法、米欧・東南アジア・日本のFab新設）に伴う装置台数増、(c)2nm以下プロセス・3D NAND高層化に伴う1Fab当たりCMPステップ数の増加。価格ドライバーは先端プロセス対応の高機能装置（メタル系CMP、ハイスループット型）への単価シフト。</w:t>
      </w:r>
    </w:p>
    <w:p>
      <w:pPr>
        <w:spacing w:after="80" w:before="0" w:line="280"/>
        <w:jc w:val="left"/>
      </w:pPr>
      <w:r>
        <w:rPr>
          <w:rFonts w:ascii="Arial" w:cs="Arial" w:eastAsia="Arial" w:hAnsi="Arial"/>
          <w:b w:val="false"/>
          <w:bCs w:val="false"/>
          <w:i w:val="false"/>
          <w:iCs w:val="false"/>
          <w:color w:val="000000"/>
          <w:sz w:val="21"/>
          <w:szCs w:val="21"/>
        </w:rPr>
        <w:t xml:space="preserve">将来見通し（仮説）：CMP市場は2030年に$9B（CAGR 7%）、ドライ真空ポンプは$2.0B（CAGR 8.8%）とのレンジが市場調査ベースのコンセンサス。AI需要次第で上振れ余地。</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市場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直近規模（年）</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期間</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実績/予測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CAGR</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出典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CMP装置</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$3.7B（2023）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2023→2030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業界調査・ニュースイッチ 2024</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半導体ドライ真空ポンプ</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$1.19B（2023）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2023→2030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予測</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8.8%</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SDKi 2024</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160"/>
      </w:pPr>
      <w:r>
        <w:rPr>
          <w:rFonts w:ascii="Arial" w:cs="Arial" w:eastAsia="Arial" w:hAnsi="Arial"/>
          <w:b/>
          <w:bCs/>
          <w:color w:val="404040"/>
          <w:sz w:val="23"/>
          <w:szCs w:val="23"/>
        </w:rPr>
        <w:t xml:space="preserve">環境プラント市場（国内固形廃棄物処理）</w:t>
      </w:r>
    </w:p>
    <w:p>
      <w:pPr>
        <w:spacing w:after="80" w:before="0" w:line="280"/>
        <w:jc w:val="left"/>
      </w:pPr>
      <w:r>
        <w:rPr>
          <w:rFonts w:ascii="Arial" w:cs="Arial" w:eastAsia="Arial" w:hAnsi="Arial"/>
          <w:b w:val="false"/>
          <w:bCs w:val="false"/>
          <w:i w:val="false"/>
          <w:iCs w:val="false"/>
          <w:color w:val="000000"/>
          <w:sz w:val="21"/>
          <w:szCs w:val="21"/>
        </w:rPr>
        <w:t xml:space="preserve">国内ごみ焼却プラント市場は新設・更新を合わせて約2,000億円規模（仮説、業界統計の定常更新水準）。市場ドライバーは(a)既存約1,000施設のうち約7割が築20年超で更新時期、(b)カーボンニュートラル対応の高効率発電型焼却（WtE）、(c)O&amp;M（運営）への事業モデル移行による安定収益化。海外は欧州・東南アジアでWtE案件増。</w:t>
      </w:r>
    </w:p>
    <w:p>
      <w:pPr>
        <w:spacing w:after="80" w:before="0" w:line="280"/>
        <w:jc w:val="left"/>
      </w:pPr>
      <w:r>
        <w:rPr>
          <w:rFonts w:ascii="Arial" w:cs="Arial" w:eastAsia="Arial" w:hAnsi="Arial"/>
          <w:b w:val="false"/>
          <w:bCs w:val="false"/>
          <w:i w:val="false"/>
          <w:iCs w:val="false"/>
          <w:color w:val="000000"/>
          <w:sz w:val="21"/>
          <w:szCs w:val="21"/>
        </w:rPr>
        <w:t xml:space="preserve">将来見通しは国内更新ピークが2030年代前半まで継続。年間2,000億円程度の市場規模が当面続き、国内Top5プレイヤー（タクマ・日立造船（Hitachi Zosen Inova）・三菱重工環境化学・JFEエンジニアリング・荏原環境プラント）でシェア5-15%ずつを分け合う構造。</w:t>
      </w:r>
    </w:p>
    <w:p>
      <w:pPr>
        <w:spacing w:after="80" w:before="0" w:line="280"/>
        <w:jc w:val="left"/>
      </w:pPr>
      <w:r>
        <w:rPr>
          <w:rFonts w:ascii="Arial" w:cs="Arial" w:eastAsia="Arial" w:hAnsi="Arial"/>
          <w:b w:val="false"/>
          <w:bCs w:val="false"/>
          <w:i w:val="false"/>
          <w:iCs w:val="false"/>
          <w:color w:val="000000"/>
          <w:sz w:val="21"/>
          <w:szCs w:val="21"/>
        </w:rPr>
        <w:t xml:space="preserve">[出典: 業界推計、ニュースイッチ、タクマ・日立造船IR]</w:t>
      </w:r>
    </w:p>
    <w:p>
      <w:pPr>
        <w:spacing w:after="100" w:before="200"/>
      </w:pPr>
      <w:r>
        <w:rPr>
          <w:rFonts w:ascii="Arial" w:cs="Arial" w:eastAsia="Arial" w:hAnsi="Arial"/>
          <w:b/>
          <w:bCs/>
          <w:color w:val="2C4F7A"/>
          <w:sz w:val="25"/>
          <w:szCs w:val="25"/>
        </w:rPr>
        <w:t xml:space="preserve">2-2. 対象会社シェア</w:t>
      </w:r>
    </w:p>
    <w:p>
      <w:pPr>
        <w:spacing w:after="80" w:before="0" w:line="280"/>
        <w:jc w:val="left"/>
      </w:pPr>
      <w:r>
        <w:rPr>
          <w:rFonts w:ascii="Arial" w:cs="Arial" w:eastAsia="Arial" w:hAnsi="Arial"/>
          <w:b/>
          <w:bCs/>
          <w:i w:val="false"/>
          <w:iCs w:val="false"/>
          <w:color w:val="000000"/>
          <w:sz w:val="21"/>
          <w:szCs w:val="21"/>
        </w:rPr>
        <w:t xml:space="preserve">主要事業はいずれもグローバル2位ポジション。シェアは「コアスキル＋既設機ベースのスイッチング障壁」によって安定的に維持されているが、首位プレイヤーへのシェアキャッチアップは未達</w:t>
      </w:r>
      <w:r>
        <w:rPr>
          <w:rFonts w:ascii="Arial" w:cs="Arial" w:eastAsia="Arial" w:hAnsi="Arial"/>
          <w:b w:val="false"/>
          <w:bCs w:val="false"/>
          <w:i w:val="false"/>
          <w:iCs w:val="false"/>
          <w:color w:val="000000"/>
          <w:sz w:val="21"/>
          <w:szCs w:val="21"/>
        </w:rPr>
        <w:t xml:space="preserve">（観察事実）。</w:t>
      </w:r>
    </w:p>
    <w:p>
      <w:pPr>
        <w:spacing w:after="80" w:before="160"/>
      </w:pPr>
      <w:r>
        <w:rPr>
          <w:rFonts w:ascii="Arial" w:cs="Arial" w:eastAsia="Arial" w:hAnsi="Arial"/>
          <w:b/>
          <w:bCs/>
          <w:color w:val="404040"/>
          <w:sz w:val="23"/>
          <w:szCs w:val="23"/>
        </w:rPr>
        <w:t xml:space="preserve">現状シェア</w:t>
      </w:r>
    </w:p>
    <w:p>
      <w:pPr>
        <w:spacing w:after="80" w:before="0" w:line="280"/>
        <w:jc w:val="left"/>
      </w:pPr>
      <w:r>
        <w:rPr>
          <w:rFonts w:ascii="Arial" w:cs="Arial" w:eastAsia="Arial" w:hAnsi="Arial"/>
          <w:b w:val="false"/>
          <w:bCs w:val="false"/>
          <w:i w:val="false"/>
          <w:iCs w:val="false"/>
          <w:color w:val="000000"/>
          <w:sz w:val="21"/>
          <w:szCs w:val="21"/>
        </w:rPr>
        <w:t xml:space="preserve">CMP装置はAMAT 52.6%・荏原 37.0%でデファクト二強構造。半導体ドライ真空ポンプはAtlas Copco（Edwards）首位、荏原2位、Pfeiffer 3位でTop3が世界の約80%を握る。産業用ポンプはGrundfosが首位、荏原が2位（売上ベース）。環境プラントはタクマ・日立造船・荏原環境プラント等の国内Top5でシェア合計70-80%（仮説）。</w:t>
      </w:r>
    </w:p>
    <w:p>
      <w:pPr>
        <w:spacing w:after="80" w:before="160"/>
      </w:pPr>
      <w:r>
        <w:rPr>
          <w:rFonts w:ascii="Arial" w:cs="Arial" w:eastAsia="Arial" w:hAnsi="Arial"/>
          <w:b/>
          <w:bCs/>
          <w:color w:val="404040"/>
          <w:sz w:val="23"/>
          <w:szCs w:val="23"/>
        </w:rPr>
        <w:t xml:space="preserve">スイッチングが発生するタイミングとスイッチングコスト</w:t>
      </w:r>
    </w:p>
    <w:p>
      <w:pPr>
        <w:spacing w:after="80" w:before="0" w:line="280"/>
        <w:jc w:val="left"/>
      </w:pPr>
      <w:r>
        <w:rPr>
          <w:rFonts w:ascii="Arial" w:cs="Arial" w:eastAsia="Arial" w:hAnsi="Arial"/>
          <w:b/>
          <w:bCs/>
          <w:i w:val="false"/>
          <w:iCs w:val="false"/>
          <w:color w:val="000000"/>
          <w:sz w:val="21"/>
          <w:szCs w:val="21"/>
        </w:rPr>
        <w:t xml:space="preserve">(a) ポンプ事業（建築・産業／エネルギー／インフラ）</w:t>
      </w:r>
      <w:r>
        <w:rPr>
          <w:rFonts w:ascii="Arial" w:cs="Arial" w:eastAsia="Arial" w:hAnsi="Arial"/>
          <w:b w:val="false"/>
          <w:bCs w:val="false"/>
          <w:i w:val="false"/>
          <w:iCs w:val="false"/>
          <w:color w:val="000000"/>
          <w:sz w:val="21"/>
          <w:szCs w:val="21"/>
        </w:rPr>
        <w:t xml:space="preserve">：標準ポンプは商社経由の汎用品商流のためスイッチングコストは比較的低いが、エネルギー向けカスタムポンプ・ターボ機械は仕様協議型の長期パートナーシップで実質ロックイン。建築・産業向けでも保守部品・サービス契約の継続性が事実上のスイッチング障壁。スイッチング発生は新設プラント・新規プロジェクトの仕様策定段階に集中する。</w:t>
      </w:r>
    </w:p>
    <w:p>
      <w:pPr>
        <w:spacing w:after="80" w:before="0" w:line="280"/>
        <w:jc w:val="left"/>
      </w:pPr>
      <w:r>
        <w:rPr>
          <w:rFonts w:ascii="Arial" w:cs="Arial" w:eastAsia="Arial" w:hAnsi="Arial"/>
          <w:b/>
          <w:bCs/>
          <w:i w:val="false"/>
          <w:iCs w:val="false"/>
          <w:color w:val="000000"/>
          <w:sz w:val="21"/>
          <w:szCs w:val="21"/>
        </w:rPr>
        <w:t xml:space="preserve">(b) CMP装置・ドライ真空ポンプ</w:t>
      </w:r>
      <w:r>
        <w:rPr>
          <w:rFonts w:ascii="Arial" w:cs="Arial" w:eastAsia="Arial" w:hAnsi="Arial"/>
          <w:b w:val="false"/>
          <w:bCs w:val="false"/>
          <w:i w:val="false"/>
          <w:iCs w:val="false"/>
          <w:color w:val="000000"/>
          <w:sz w:val="21"/>
          <w:szCs w:val="21"/>
        </w:rPr>
        <w:t xml:space="preserve">：装置はFab稼働開始時のラインアップ採用が決定要因で、量産開始後の装置交換はラインダウンリスクから事実上発生しない。次世代Fab（新設）・新ノード移行時にメーカー選定が再開され、ロジック2nm/A系列、HBM4以降の世代交代が次のシェア争いポイント。スイッチングコストは極めて高く、新ノード採用率が将来シェアを規定する。</w:t>
      </w:r>
    </w:p>
    <w:p>
      <w:pPr>
        <w:spacing w:after="80" w:before="0" w:line="280"/>
        <w:jc w:val="left"/>
      </w:pPr>
      <w:r>
        <w:rPr>
          <w:rFonts w:ascii="Arial" w:cs="Arial" w:eastAsia="Arial" w:hAnsi="Arial"/>
          <w:b/>
          <w:bCs/>
          <w:i w:val="false"/>
          <w:iCs w:val="false"/>
          <w:color w:val="000000"/>
          <w:sz w:val="21"/>
          <w:szCs w:val="21"/>
        </w:rPr>
        <w:t xml:space="preserve">(c) 環境プラント</w:t>
      </w:r>
      <w:r>
        <w:rPr>
          <w:rFonts w:ascii="Arial" w:cs="Arial" w:eastAsia="Arial" w:hAnsi="Arial"/>
          <w:b w:val="false"/>
          <w:bCs w:val="false"/>
          <w:i w:val="false"/>
          <w:iCs w:val="false"/>
          <w:color w:val="000000"/>
          <w:sz w:val="21"/>
          <w:szCs w:val="21"/>
        </w:rPr>
        <w:t xml:space="preserve">：自治体・産廃事業者の発注は5-10年に1度のEPC案件単位。一度建設すれば運営20-30年継続のため、O&amp;M契約での既設機補修・改修需要が安定収益化。新設・更新時のスイッチング機会は限定的。</w:t>
      </w:r>
    </w:p>
    <w:p>
      <w:pPr>
        <w:spacing w:after="80" w:before="160"/>
      </w:pPr>
      <w:r>
        <w:rPr>
          <w:rFonts w:ascii="Arial" w:cs="Arial" w:eastAsia="Arial" w:hAnsi="Arial"/>
          <w:b/>
          <w:bCs/>
          <w:color w:val="404040"/>
          <w:sz w:val="23"/>
          <w:szCs w:val="23"/>
        </w:rPr>
        <w:t xml:space="preserve">KBF（Key Buying Factor）と荏原の充足度</w:t>
      </w:r>
    </w:p>
    <w:p>
      <w:pPr>
        <w:spacing w:after="80" w:before="0" w:line="280"/>
        <w:jc w:val="left"/>
      </w:pPr>
      <w:r>
        <w:rPr>
          <w:rFonts w:ascii="Arial" w:cs="Arial" w:eastAsia="Arial" w:hAnsi="Arial"/>
          <w:b/>
          <w:bCs/>
          <w:i w:val="false"/>
          <w:iCs w:val="false"/>
          <w:color w:val="000000"/>
          <w:sz w:val="21"/>
          <w:szCs w:val="21"/>
        </w:rPr>
        <w:t xml:space="preserve">(a) 新規採用時のKBF（CMP装置を例に）</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KBF</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重要度（仮説）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荏原</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AMAT</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Pfeiffer/他</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ロジック微細化対応（メタル系CMP）</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メモリ向け対応（DRAM/NAND）</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スループット</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装置価格</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プロセス連携・サポート（Fab近接）</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bCs/>
          <w:i w:val="false"/>
          <w:iCs w:val="false"/>
          <w:color w:val="000000"/>
          <w:sz w:val="21"/>
          <w:szCs w:val="21"/>
        </w:rPr>
        <w:t xml:space="preserve">(b) 既存契約継続時のKBF（ポンプ・半導体装置共通）</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KBF</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重要度（仮説）</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荏原</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競合A（Grundfos/AMAT等）</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競合B</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既設機との互換性・保守サービス</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部品供給・修理ロードタイム</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価格改定の柔軟性・受容性</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トラブル対応・SLA</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高</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アップグレード提案力（既設更新）</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中</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荏原はロジック向けメタル系CMPと既設機保守で◎を維持する一方、メモリ向け新規採用とアップグレード提案でAMATに劣後（仮説）。E-Plan2028期間のシェア奪取はメモリ向け新製品の量産化が鍵。</w:t>
      </w:r>
    </w:p>
    <w:p>
      <w:pPr>
        <w:spacing w:after="80" w:before="160"/>
      </w:pPr>
      <w:r>
        <w:rPr>
          <w:rFonts w:ascii="Arial" w:cs="Arial" w:eastAsia="Arial" w:hAnsi="Arial"/>
          <w:b/>
          <w:bCs/>
          <w:color w:val="404040"/>
          <w:sz w:val="23"/>
          <w:szCs w:val="23"/>
        </w:rPr>
        <w:t xml:space="preserve">その他のシェア変動要因</w:t>
      </w:r>
    </w:p>
    <w:p>
      <w:pPr>
        <w:spacing w:after="80" w:before="0" w:line="280"/>
        <w:jc w:val="left"/>
      </w:pPr>
      <w:r>
        <w:rPr>
          <w:rFonts w:ascii="Arial" w:cs="Arial" w:eastAsia="Arial" w:hAnsi="Arial"/>
          <w:b w:val="false"/>
          <w:bCs w:val="false"/>
          <w:i w:val="false"/>
          <w:iCs w:val="false"/>
          <w:color w:val="000000"/>
          <w:sz w:val="21"/>
          <w:szCs w:val="21"/>
        </w:rPr>
        <w:t xml:space="preserve">精密・電子セグメントは(a)中国半導体産業の自立化に伴う中国メーカー（盛美、SMIC系装置）の参入、(b)CHIPS法による米国Fab新設での米国系装置優先採用、(c)台湾・韓国メーカーの新ノード投資ペースが主要変動要因。ポンプ事業は(a)Grundfosの新興国拠点拡張、(b)中国ローカルポンプメーカーの中位機種シフト、(c)欧米水処理向けPFAS規制対応の技術差別化が変動要因。</w:t>
      </w:r>
    </w:p>
    <w:p>
      <w:pPr>
        <w:spacing w:after="100" w:before="200"/>
      </w:pPr>
      <w:r>
        <w:rPr>
          <w:rFonts w:ascii="Arial" w:cs="Arial" w:eastAsia="Arial" w:hAnsi="Arial"/>
          <w:b/>
          <w:bCs/>
          <w:color w:val="2C4F7A"/>
          <w:sz w:val="25"/>
          <w:szCs w:val="25"/>
        </w:rPr>
        <w:t xml:space="preserve">2-3. 単価・コスト構造</w:t>
      </w:r>
    </w:p>
    <w:p>
      <w:pPr>
        <w:spacing w:after="80" w:before="0" w:line="280"/>
        <w:jc w:val="left"/>
      </w:pPr>
      <w:r>
        <w:rPr>
          <w:rFonts w:ascii="Arial" w:cs="Arial" w:eastAsia="Arial" w:hAnsi="Arial"/>
          <w:b/>
          <w:bCs/>
          <w:i w:val="false"/>
          <w:iCs w:val="false"/>
          <w:color w:val="000000"/>
          <w:sz w:val="21"/>
          <w:szCs w:val="21"/>
        </w:rPr>
        <w:t xml:space="preserve">OPM 11.9%（FY2025）は連結ベースで業界平均を上回るが、専業ピア（AMAT 30%、Atlas Copco Vacuum 21%、Xylem 13%）と比較すると10ポイント程度の収益性ギャップが残る</w:t>
      </w:r>
      <w:r>
        <w:rPr>
          <w:rFonts w:ascii="Arial" w:cs="Arial" w:eastAsia="Arial" w:hAnsi="Arial"/>
          <w:b w:val="false"/>
          <w:bCs w:val="false"/>
          <w:i w:val="false"/>
          <w:iCs w:val="false"/>
          <w:color w:val="000000"/>
          <w:sz w:val="21"/>
          <w:szCs w:val="21"/>
        </w:rPr>
        <w:t xml:space="preserve">（観察事実）。</w:t>
      </w:r>
    </w:p>
    <w:p>
      <w:pPr>
        <w:spacing w:after="80" w:before="160"/>
      </w:pPr>
      <w:r>
        <w:rPr>
          <w:rFonts w:ascii="Arial" w:cs="Arial" w:eastAsia="Arial" w:hAnsi="Arial"/>
          <w:b/>
          <w:bCs/>
          <w:color w:val="404040"/>
          <w:sz w:val="23"/>
          <w:szCs w:val="23"/>
        </w:rPr>
        <w:t xml:space="preserve">(a) 単価</w:t>
      </w:r>
    </w:p>
    <w:p>
      <w:pPr>
        <w:spacing w:after="80" w:before="0" w:line="280"/>
        <w:jc w:val="left"/>
      </w:pPr>
      <w:r>
        <w:rPr>
          <w:rFonts w:ascii="Arial" w:cs="Arial" w:eastAsia="Arial" w:hAnsi="Arial"/>
          <w:b w:val="false"/>
          <w:bCs w:val="false"/>
          <w:i w:val="false"/>
          <w:iCs w:val="false"/>
          <w:color w:val="000000"/>
          <w:sz w:val="21"/>
          <w:szCs w:val="21"/>
        </w:rPr>
        <w:t xml:space="preserve">主要コスト構造（製品分解からの推定）：</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鋼材・鋳鉄（ポンプ・コンプレッサ筐体）</w:t>
      </w:r>
      <w:r>
        <w:rPr>
          <w:rFonts w:ascii="Arial" w:cs="Arial" w:eastAsia="Arial" w:hAnsi="Arial"/>
          <w:b w:val="false"/>
          <w:bCs w:val="false"/>
          <w:i w:val="false"/>
          <w:iCs w:val="false"/>
          <w:color w:val="000000"/>
          <w:sz w:val="20"/>
          <w:szCs w:val="20"/>
        </w:rPr>
        <w:t xml:space="preserve">：直近2-3年でスポット価格は前年比+3〜+8%レンジ。為替円安効果と鉄鉱石価格の高止まりで上昇基調。仕入価格転嫁は標準ポンプ・カスタムポンプとも段階的に進む（仮説）</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銅（ポンプモータ巻線、CMP装置のメタル系工程消耗品）</w:t>
      </w:r>
      <w:r>
        <w:rPr>
          <w:rFonts w:ascii="Arial" w:cs="Arial" w:eastAsia="Arial" w:hAnsi="Arial"/>
          <w:b w:val="false"/>
          <w:bCs w:val="false"/>
          <w:i w:val="false"/>
          <w:iCs w:val="false"/>
          <w:color w:val="000000"/>
          <w:sz w:val="20"/>
          <w:szCs w:val="20"/>
        </w:rPr>
        <w:t xml:space="preserve">：LME銅価格は2024年$8,000/t→2026年初$10,000/t水準で高止まり、CapEx・原価両面で圧力</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半導体・精密部品（CMP装置の制御系）</w:t>
      </w:r>
      <w:r>
        <w:rPr>
          <w:rFonts w:ascii="Arial" w:cs="Arial" w:eastAsia="Arial" w:hAnsi="Arial"/>
          <w:b w:val="false"/>
          <w:bCs w:val="false"/>
          <w:i w:val="false"/>
          <w:iCs w:val="false"/>
          <w:color w:val="000000"/>
          <w:sz w:val="20"/>
          <w:szCs w:val="20"/>
        </w:rPr>
        <w:t xml:space="preserve">：半導体不足は緩和したものの、装置の電子制御部品比率上昇により部品調達リードタイム長期化</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エネルギー（電力・LNG）</w:t>
      </w:r>
      <w:r>
        <w:rPr>
          <w:rFonts w:ascii="Arial" w:cs="Arial" w:eastAsia="Arial" w:hAnsi="Arial"/>
          <w:b w:val="false"/>
          <w:bCs w:val="false"/>
          <w:i w:val="false"/>
          <w:iCs w:val="false"/>
          <w:color w:val="000000"/>
          <w:sz w:val="20"/>
          <w:szCs w:val="20"/>
        </w:rPr>
        <w:t xml:space="preserve">：工場・テストベンチ稼働の電力コスト、輸送コストとも前年比+10%水準</w:t>
      </w:r>
    </w:p>
    <w:p>
      <w:pPr>
        <w:spacing w:after="80" w:before="0" w:line="280"/>
        <w:jc w:val="left"/>
      </w:pPr>
      <w:r>
        <w:rPr>
          <w:rFonts w:ascii="Arial" w:cs="Arial" w:eastAsia="Arial" w:hAnsi="Arial"/>
          <w:b w:val="false"/>
          <w:bCs w:val="false"/>
          <w:i w:val="false"/>
          <w:iCs w:val="false"/>
          <w:color w:val="000000"/>
          <w:sz w:val="21"/>
          <w:szCs w:val="21"/>
        </w:rPr>
        <w:t xml:space="preserve">[出典: LME相場、業界統計、製品分解からの推定]</w:t>
      </w:r>
    </w:p>
    <w:p>
      <w:pPr>
        <w:spacing w:after="80" w:before="0" w:line="280"/>
        <w:jc w:val="left"/>
      </w:pPr>
      <w:r>
        <w:rPr>
          <w:rFonts w:ascii="Arial" w:cs="Arial" w:eastAsia="Arial" w:hAnsi="Arial"/>
          <w:b w:val="false"/>
          <w:bCs w:val="false"/>
          <w:i w:val="false"/>
          <w:iCs w:val="false"/>
          <w:color w:val="000000"/>
          <w:sz w:val="21"/>
          <w:szCs w:val="21"/>
        </w:rPr>
        <w:t xml:space="preserve">顧客サイドの圧力：石油・ガスメジャーや半導体IDM/Foundryは購買力強く、一定の値下げ要請は常時存在。ただしカスタムポンプ・CMP装置・ドライ真空ポンプは(a)装置価格が顧客原価に占める比率が低い、(b)代替ベンダー数が限定される、(c)スイッチングコストが高いため、値上げ転嫁は比較的容易（仮説）。標準ポンプは商流の中間に商社が介在するため値上げ転嫁の遅延リスクが相対的に大きい。</w:t>
      </w:r>
    </w:p>
    <w:p>
      <w:pPr>
        <w:spacing w:after="80" w:before="0" w:line="280"/>
        <w:jc w:val="left"/>
      </w:pPr>
      <w:r>
        <w:rPr>
          <w:rFonts w:ascii="Arial" w:cs="Arial" w:eastAsia="Arial" w:hAnsi="Arial"/>
          <w:b w:val="false"/>
          <w:bCs w:val="false"/>
          <w:i w:val="false"/>
          <w:iCs w:val="false"/>
          <w:color w:val="000000"/>
          <w:sz w:val="21"/>
          <w:szCs w:val="21"/>
        </w:rPr>
        <w:t xml:space="preserve">競争環境に伴う近年の動向：CMP装置・ドライ真空ポンプとも先端世代では機能拡張・装置当たり処理能力向上による単価上昇が続く。ポンプは中国ローカルメーカーとの価格競争で標準品の汎用化圧力。エネルギー向けカスタム品はオリジナルプロジェクト合意で長期固定価格化。</w:t>
      </w:r>
    </w:p>
    <w:p>
      <w:pPr>
        <w:spacing w:after="80" w:before="160"/>
      </w:pPr>
      <w:r>
        <w:rPr>
          <w:rFonts w:ascii="Arial" w:cs="Arial" w:eastAsia="Arial" w:hAnsi="Arial"/>
          <w:b/>
          <w:bCs/>
          <w:color w:val="404040"/>
          <w:sz w:val="23"/>
          <w:szCs w:val="23"/>
        </w:rPr>
        <w:t xml:space="preserve">(b) コスト</w:t>
      </w:r>
    </w:p>
    <w:p>
      <w:pPr>
        <w:spacing w:after="80" w:before="0" w:line="280"/>
        <w:jc w:val="left"/>
      </w:pPr>
      <w:r>
        <w:rPr>
          <w:rFonts w:ascii="Arial" w:cs="Arial" w:eastAsia="Arial" w:hAnsi="Arial"/>
          <w:b/>
          <w:bCs/>
          <w:i w:val="false"/>
          <w:iCs w:val="false"/>
          <w:color w:val="000000"/>
          <w:sz w:val="21"/>
          <w:szCs w:val="21"/>
        </w:rPr>
        <w:t xml:space="preserve">粗利率・営業利益率の推移と競合比較（連結ベース）</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企業</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2024年OPM</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2025年OPM（直近）</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主領域</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荏原（連結）</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産機・半導体・環境総合</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荏原（精密・電子）</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18.0%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16.9%</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半導体装置</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荏原（エネルギー）</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13.3%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11.9%</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プロセス機械</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荏原（建築・産業）</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6.3%</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標準ポンプ</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Applied Materials</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半導体装置</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Atlas Copco（Vacuum Technique）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21.6%</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真空</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Xylem</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約13%</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スマート水ソリューション</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Flowserve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約11%</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重工ポンプ</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KSB</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産業ポンプ</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タクマ</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不開示</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環境プラント</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[出典: 各社IR、決算短信、ピア比較は2024-2025年実績]</w:t>
      </w:r>
    </w:p>
    <w:p>
      <w:pPr>
        <w:spacing w:after="80" w:before="0" w:line="280"/>
        <w:jc w:val="left"/>
      </w:pPr>
      <w:r>
        <w:rPr>
          <w:rFonts w:ascii="Arial" w:cs="Arial" w:eastAsia="Arial" w:hAnsi="Arial"/>
          <w:b w:val="false"/>
          <w:bCs w:val="false"/>
          <w:i w:val="false"/>
          <w:iCs w:val="false"/>
          <w:color w:val="000000"/>
          <w:sz w:val="21"/>
          <w:szCs w:val="21"/>
        </w:rPr>
        <w:t xml:space="preserve">固定費・変動費の比率（仮説）：荏原連結の原価率は約76%（売上原価／売上収益、FY2025推計）。販管費率は約12%。固定費の中核は研究開発費（FY2025は売上比約3-4%、仮説）と人件費。設備投資はFY2025に1,007億円（前期比+72%）と急増、精密・電子の生産能力増強（熊本工場新棟、藤沢R&amp;D棟）が主因。</w:t>
      </w:r>
    </w:p>
    <w:p>
      <w:pPr>
        <w:spacing w:after="80" w:before="0" w:line="280"/>
        <w:jc w:val="left"/>
      </w:pPr>
      <w:r>
        <w:rPr>
          <w:rFonts w:ascii="Arial" w:cs="Arial" w:eastAsia="Arial" w:hAnsi="Arial"/>
          <w:b w:val="false"/>
          <w:bCs w:val="false"/>
          <w:i w:val="false"/>
          <w:iCs w:val="false"/>
          <w:color w:val="000000"/>
          <w:sz w:val="21"/>
          <w:szCs w:val="21"/>
        </w:rPr>
        <w:t xml:space="preserve">精密・電子は専業ピア（AMAT、Edwards/Atlas Copco）に対しOPM 10ポイント以上の劣後があり、(a)R&amp;D絶対額の差、(b)装置当たりプロセスサポートの収益化、(c)プロダクトミックスがマージン改善余地として認識される。建築・産業はピア（KSB 7%、Xylem 13%）と同等またはやや低いマージンで構造的な改善余地が大きい。</w:t>
      </w:r>
    </w:p>
    <w:p>
      <w:pPr>
        <w:spacing w:after="120" w:before="240"/>
      </w:pPr>
      <w:r>
        <w:rPr>
          <w:rFonts w:ascii="Arial" w:cs="Arial" w:eastAsia="Arial" w:hAnsi="Arial"/>
          <w:b/>
          <w:bCs/>
          <w:color w:val="1F3A5F"/>
          <w:sz w:val="28"/>
          <w:szCs w:val="28"/>
        </w:rPr>
        <w:t xml:space="preserve">③ バリューアップの方向性</w:t>
      </w:r>
    </w:p>
    <w:p>
      <w:pPr>
        <w:spacing w:after="100" w:before="200"/>
      </w:pPr>
      <w:r>
        <w:rPr>
          <w:rFonts w:ascii="Arial" w:cs="Arial" w:eastAsia="Arial" w:hAnsi="Arial"/>
          <w:b/>
          <w:bCs/>
          <w:color w:val="2C4F7A"/>
          <w:sz w:val="25"/>
          <w:szCs w:val="25"/>
        </w:rPr>
        <w:t xml:space="preserve">3-1. オーガニック</w:t>
      </w:r>
    </w:p>
    <w:p>
      <w:pPr>
        <w:spacing w:after="80" w:before="160"/>
      </w:pPr>
      <w:r>
        <w:rPr>
          <w:rFonts w:ascii="Arial" w:cs="Arial" w:eastAsia="Arial" w:hAnsi="Arial"/>
          <w:b/>
          <w:bCs/>
          <w:color w:val="404040"/>
          <w:sz w:val="23"/>
          <w:szCs w:val="23"/>
        </w:rPr>
        <w:t xml:space="preserve">(a) 売上ドライバー</w:t>
      </w:r>
    </w:p>
    <w:p>
      <w:pPr>
        <w:spacing w:after="80" w:before="0" w:line="280"/>
        <w:jc w:val="left"/>
      </w:pPr>
      <w:r>
        <w:rPr>
          <w:rFonts w:ascii="Arial" w:cs="Arial" w:eastAsia="Arial" w:hAnsi="Arial"/>
          <w:b/>
          <w:bCs/>
          <w:i w:val="false"/>
          <w:iCs w:val="false"/>
          <w:color w:val="000000"/>
          <w:sz w:val="21"/>
          <w:szCs w:val="21"/>
        </w:rPr>
        <w:t xml:space="preserve">1. プライシング改善（単純値上げ）</w:t>
      </w:r>
    </w:p>
    <w:p>
      <w:pPr>
        <w:spacing w:after="80" w:before="0" w:line="280"/>
        <w:jc w:val="left"/>
      </w:pPr>
      <w:r>
        <w:rPr>
          <w:rFonts w:ascii="Arial" w:cs="Arial" w:eastAsia="Arial" w:hAnsi="Arial"/>
          <w:b w:val="false"/>
          <w:bCs w:val="false"/>
          <w:i w:val="false"/>
          <w:iCs w:val="false"/>
          <w:color w:val="000000"/>
          <w:sz w:val="21"/>
          <w:szCs w:val="21"/>
        </w:rPr>
        <w:t xml:space="preserve">打ち手：標準ポンプ・カスタムポンプの定価値上げと、保守サービス・スペアパーツの価格改定。 仮説の根拠：原材料インフレ（鋼材・銅）下で過去3年に値上げ実績あり、市場環境的に転嫁可能性あり。標準ポンプは商社経由の値上げ転嫁ラグがあるが、カスタム品・半導体装置は単発契約での折込みが進む。 定量インパクト試算（仮置）：全社平均+1.5〜+2.5%/年、5年累計でEBITDA +50〜+80億円の押上げ。 実行リスク：建築・産業セグメントの商社対応で価格滑り、新興国市場での中国ローカル品との価格競合激化。</w:t>
      </w:r>
    </w:p>
    <w:p>
      <w:pPr>
        <w:spacing w:after="80" w:before="0" w:line="280"/>
        <w:jc w:val="left"/>
      </w:pPr>
      <w:r>
        <w:rPr>
          <w:rFonts w:ascii="Arial" w:cs="Arial" w:eastAsia="Arial" w:hAnsi="Arial"/>
          <w:b/>
          <w:bCs/>
          <w:i w:val="false"/>
          <w:iCs w:val="false"/>
          <w:color w:val="000000"/>
          <w:sz w:val="21"/>
          <w:szCs w:val="21"/>
        </w:rPr>
        <w:t xml:space="preserve">2. 新規顧客拡大</w:t>
      </w:r>
    </w:p>
    <w:p>
      <w:pPr>
        <w:spacing w:after="80" w:before="0" w:line="280"/>
        <w:jc w:val="left"/>
      </w:pPr>
      <w:r>
        <w:rPr>
          <w:rFonts w:ascii="Arial" w:cs="Arial" w:eastAsia="Arial" w:hAnsi="Arial"/>
          <w:b w:val="false"/>
          <w:bCs w:val="false"/>
          <w:i w:val="false"/>
          <w:iCs w:val="false"/>
          <w:color w:val="000000"/>
          <w:sz w:val="21"/>
          <w:szCs w:val="21"/>
        </w:rPr>
        <w:t xml:space="preserve">打ち手：精密・電子で中国・米国新設Fab（CHIPS法対応、Intel・TSMC・サムスン米Fab）への装置採用拡大。建築・産業でASEAN・インド・中東向け標準ポンプの代理店網拡張。 仮説の根拠：CHIPS法対応の米国Fab新設は装置メーカー選定段階。荏原の米国生産能力（Elliott、EBARA Pumps Americas）と既存サポート網が活用可能。 定量インパクト試算（仮置）：精密・電子の北米売上を3年で+150億円、ポンプ全体でASEAN・インド+50〜+80億円。EBITDA寄与+30〜+50億円。 実行リスク：CHIPS法は米国系装置優先のローカルコンテンツ要件、中国は地政学リスクで装置輸出規制の影響。</w:t>
      </w:r>
    </w:p>
    <w:p>
      <w:pPr>
        <w:spacing w:after="80" w:before="0" w:line="280"/>
        <w:jc w:val="left"/>
      </w:pPr>
      <w:r>
        <w:rPr>
          <w:rFonts w:ascii="Arial" w:cs="Arial" w:eastAsia="Arial" w:hAnsi="Arial"/>
          <w:b/>
          <w:bCs/>
          <w:i w:val="false"/>
          <w:iCs w:val="false"/>
          <w:color w:val="000000"/>
          <w:sz w:val="21"/>
          <w:szCs w:val="21"/>
        </w:rPr>
        <w:t xml:space="preserve">3. 新規製品拡充</w:t>
      </w:r>
    </w:p>
    <w:p>
      <w:pPr>
        <w:spacing w:after="80" w:before="0" w:line="280"/>
        <w:jc w:val="left"/>
      </w:pPr>
      <w:r>
        <w:rPr>
          <w:rFonts w:ascii="Arial" w:cs="Arial" w:eastAsia="Arial" w:hAnsi="Arial"/>
          <w:b w:val="false"/>
          <w:bCs w:val="false"/>
          <w:i w:val="false"/>
          <w:iCs w:val="false"/>
          <w:color w:val="000000"/>
          <w:sz w:val="21"/>
          <w:szCs w:val="21"/>
        </w:rPr>
        <w:t xml:space="preserve">打ち手：CMP装置のメモリ向け新製品量産化、HBM・3D NAND高層化対応モジュール、後工程向け新領域装置の自社開発／買収。建築・産業で水素・CO2回収用カスタムポンプ。 仮説の根拠：E-Plan2028はトップライン成長の中核として精密・電子の製品拡張を掲げる。AMATメモリ強みへのキャッチアップが2030年シェアトップ目標と整合。 定量インパクト試算（仮置）：精密・電子で5年で+200〜+400億円、EBITDA寄与+40〜+80億円。 実行リスク：装置開発リードタイム3-5年、量産立ち上げ初期の収益性圧迫、AMAT・Lam等との特許・技術競合。</w:t>
      </w:r>
    </w:p>
    <w:p>
      <w:pPr>
        <w:spacing w:after="80" w:before="0" w:line="280"/>
        <w:jc w:val="left"/>
      </w:pPr>
      <w:r>
        <w:rPr>
          <w:rFonts w:ascii="Arial" w:cs="Arial" w:eastAsia="Arial" w:hAnsi="Arial"/>
          <w:b/>
          <w:bCs/>
          <w:i w:val="false"/>
          <w:iCs w:val="false"/>
          <w:color w:val="000000"/>
          <w:sz w:val="21"/>
          <w:szCs w:val="21"/>
        </w:rPr>
        <w:t xml:space="preserve">4. 新規地域展開</w:t>
      </w:r>
    </w:p>
    <w:p>
      <w:pPr>
        <w:spacing w:after="80" w:before="0" w:line="280"/>
        <w:jc w:val="left"/>
      </w:pPr>
      <w:r>
        <w:rPr>
          <w:rFonts w:ascii="Arial" w:cs="Arial" w:eastAsia="Arial" w:hAnsi="Arial"/>
          <w:b w:val="false"/>
          <w:bCs w:val="false"/>
          <w:i w:val="false"/>
          <w:iCs w:val="false"/>
          <w:color w:val="000000"/>
          <w:sz w:val="21"/>
          <w:szCs w:val="21"/>
        </w:rPr>
        <w:t xml:space="preserve">打ち手：環境セグメントの欧州・東南アジアWtE案件参入（既存Hitachi Zosen Inovaが先行する欧州市場のキャッチアップ）、エネルギーの中東・ASEANでのプロセスポンプ拡大。 仮説の根拠：環境セグメントは国内主体だが、海外WtE市場は2030年に向け新興国都市化と廃棄物発電需要で拡大。 定量インパクト試算（仮置）：環境・エネルギー合算で5年累計+200億円売上、EBITDA +20〜+30億円。 実行リスク：環境はEPC型のため海外プロジェクト固有のカントリーリスク、現地パートナー確保。</w:t>
      </w:r>
    </w:p>
    <w:p>
      <w:pPr>
        <w:spacing w:after="80" w:before="160"/>
      </w:pPr>
      <w:r>
        <w:rPr>
          <w:rFonts w:ascii="Arial" w:cs="Arial" w:eastAsia="Arial" w:hAnsi="Arial"/>
          <w:b/>
          <w:bCs/>
          <w:color w:val="404040"/>
          <w:sz w:val="23"/>
          <w:szCs w:val="23"/>
        </w:rPr>
        <w:t xml:space="preserve">(b) コストドライバー</w:t>
      </w:r>
    </w:p>
    <w:p>
      <w:pPr>
        <w:spacing w:after="80" w:before="0" w:line="280"/>
        <w:jc w:val="left"/>
      </w:pPr>
      <w:r>
        <w:rPr>
          <w:rFonts w:ascii="Arial" w:cs="Arial" w:eastAsia="Arial" w:hAnsi="Arial"/>
          <w:b/>
          <w:bCs/>
          <w:i w:val="false"/>
          <w:iCs w:val="false"/>
          <w:color w:val="000000"/>
          <w:sz w:val="21"/>
          <w:szCs w:val="21"/>
        </w:rPr>
        <w:t xml:space="preserve">1. 原価改善（標準化、自動化、調達最適化、生産拠点最適化）</w:t>
      </w:r>
    </w:p>
    <w:p>
      <w:pPr>
        <w:spacing w:after="80" w:before="0" w:line="280"/>
        <w:jc w:val="left"/>
      </w:pPr>
      <w:r>
        <w:rPr>
          <w:rFonts w:ascii="Arial" w:cs="Arial" w:eastAsia="Arial" w:hAnsi="Arial"/>
          <w:b w:val="false"/>
          <w:bCs w:val="false"/>
          <w:i w:val="false"/>
          <w:iCs w:val="false"/>
          <w:color w:val="000000"/>
          <w:sz w:val="21"/>
          <w:szCs w:val="21"/>
        </w:rPr>
        <w:t xml:space="preserve">打ち手：建築・産業セグメントの海外標準ポンプ拠点（伊・中・伯・印）の役割再定義と拠点統廃合、共通プラットフォーム化（部品共通化）、ロボット化・MES高度化による生産性30〜50%向上。 仮説の根拠：建築・産業のOPM 6.3%（FY2025）はピアKSB（7%）並みだが、Xylem（13%）の半分以下。グローバル2位の事業規模に対しコスト効率化余地が残る。 定量インパクト試算（仮置）：建築・産業のOPMを+200〜+400bp改善、EBITDA寄与+40〜+80億円（5年で）。 実行リスク：拠点統廃合に伴う一時費用（リストラ）、海外労使対応、部品共通化のリードタイム。</w:t>
      </w:r>
    </w:p>
    <w:p>
      <w:pPr>
        <w:spacing w:after="80" w:before="0" w:line="280"/>
        <w:jc w:val="left"/>
      </w:pPr>
      <w:r>
        <w:rPr>
          <w:rFonts w:ascii="Arial" w:cs="Arial" w:eastAsia="Arial" w:hAnsi="Arial"/>
          <w:b/>
          <w:bCs/>
          <w:i w:val="false"/>
          <w:iCs w:val="false"/>
          <w:color w:val="000000"/>
          <w:sz w:val="21"/>
          <w:szCs w:val="21"/>
        </w:rPr>
        <w:t xml:space="preserve">2. 販管費改善（販売・物流・本社機能効率化、デジタル化）</w:t>
      </w:r>
    </w:p>
    <w:p>
      <w:pPr>
        <w:spacing w:after="80" w:before="0" w:line="280"/>
        <w:jc w:val="left"/>
      </w:pPr>
      <w:r>
        <w:rPr>
          <w:rFonts w:ascii="Arial" w:cs="Arial" w:eastAsia="Arial" w:hAnsi="Arial"/>
          <w:b w:val="false"/>
          <w:bCs w:val="false"/>
          <w:i w:val="false"/>
          <w:iCs w:val="false"/>
          <w:color w:val="000000"/>
          <w:sz w:val="21"/>
          <w:szCs w:val="21"/>
        </w:rPr>
        <w:t xml:space="preserve">打ち手：本社・コーポレートのシェアードサービス化、グローバル販売子会社のITシステム共通化（ERP統合）、サービス・保守拠点のデジタル予知保全による効率化。 仮説の根拠：販管費率は売上比約12%（仮説）、専業ピアより1〜2ポイント高い。コーポレート機能のデジタル化は他のグローバルメーカーで20〜30%の効率化実例あり。 定量インパクト試算（仮置）：販管費率-50〜-100bp、EBITDA +50〜+100億円（5年で）。 実行リスク：システム統合の長期化（3-5年）、初期投資回収の遅延、組織抵抗。</w:t>
      </w:r>
    </w:p>
    <w:p>
      <w:pPr>
        <w:spacing w:after="100" w:before="200"/>
      </w:pPr>
      <w:r>
        <w:rPr>
          <w:rFonts w:ascii="Arial" w:cs="Arial" w:eastAsia="Arial" w:hAnsi="Arial"/>
          <w:b/>
          <w:bCs/>
          <w:color w:val="2C4F7A"/>
          <w:sz w:val="25"/>
          <w:szCs w:val="25"/>
        </w:rPr>
        <w:t xml:space="preserve">3-2. インオーガニック</w:t>
      </w:r>
    </w:p>
    <w:p>
      <w:pPr>
        <w:spacing w:after="80" w:before="160"/>
      </w:pPr>
      <w:r>
        <w:rPr>
          <w:rFonts w:ascii="Arial" w:cs="Arial" w:eastAsia="Arial" w:hAnsi="Arial"/>
          <w:b/>
          <w:bCs/>
          <w:color w:val="404040"/>
          <w:sz w:val="23"/>
          <w:szCs w:val="23"/>
        </w:rPr>
        <w:t xml:space="preserve">(a) 同業ロールアップ</w:t>
      </w:r>
    </w:p>
    <w:p>
      <w:pPr>
        <w:spacing w:after="80" w:before="0" w:line="280"/>
        <w:jc w:val="left"/>
      </w:pPr>
      <w:r>
        <w:rPr>
          <w:rFonts w:ascii="Arial" w:cs="Arial" w:eastAsia="Arial" w:hAnsi="Arial"/>
          <w:b w:val="false"/>
          <w:bCs w:val="false"/>
          <w:i w:val="false"/>
          <w:iCs w:val="false"/>
          <w:color w:val="000000"/>
          <w:sz w:val="21"/>
          <w:szCs w:val="21"/>
        </w:rPr>
        <w:t xml:space="preserve">候補企業（仮説）：建築・産業ではWILO（独、非上場、欧州標準ポンプ）、エネルギーでは中規模欧米プロセスポンプメーカー（Sulzer Pumps部分買収等）、精密・電子では台湾・韓国の半導体装置中堅メーカー。環境では国内中堅プラントメーカー（神鋼環境ソリューション等）の取り込み余地。</w:t>
      </w:r>
    </w:p>
    <w:p>
      <w:pPr>
        <w:spacing w:after="80" w:before="0" w:line="280"/>
        <w:jc w:val="left"/>
      </w:pPr>
      <w:r>
        <w:rPr>
          <w:rFonts w:ascii="Arial" w:cs="Arial" w:eastAsia="Arial" w:hAnsi="Arial"/>
          <w:b w:val="false"/>
          <w:bCs w:val="false"/>
          <w:i w:val="false"/>
          <w:iCs w:val="false"/>
          <w:color w:val="000000"/>
          <w:sz w:val="21"/>
          <w:szCs w:val="21"/>
        </w:rPr>
        <w:t xml:space="preserve">シナジー類型：(a)地域補完（欧州市場での標準ポンプシェア拡大）、(b)規模の経済（部品共通化、調達コスト削減）、(c)製品ポートフォリオ補完。</w:t>
      </w:r>
    </w:p>
    <w:p>
      <w:pPr>
        <w:spacing w:after="80" w:before="0" w:line="280"/>
        <w:jc w:val="left"/>
      </w:pPr>
      <w:r>
        <w:rPr>
          <w:rFonts w:ascii="Arial" w:cs="Arial" w:eastAsia="Arial" w:hAnsi="Arial"/>
          <w:b w:val="false"/>
          <w:bCs w:val="false"/>
          <w:i w:val="false"/>
          <w:iCs w:val="false"/>
          <w:color w:val="000000"/>
          <w:sz w:val="21"/>
          <w:szCs w:val="21"/>
        </w:rPr>
        <w:t xml:space="preserve">PMI論点：欧州・米国買収は労使関係・統合スピードがリスク。技術系M&amp;Aは買収後のリテンションと組織融合が成否分岐。</w:t>
      </w:r>
    </w:p>
    <w:p>
      <w:pPr>
        <w:spacing w:after="80" w:before="0" w:line="280"/>
        <w:jc w:val="left"/>
      </w:pPr>
      <w:r>
        <w:rPr>
          <w:rFonts w:ascii="Arial" w:cs="Arial" w:eastAsia="Arial" w:hAnsi="Arial"/>
          <w:b w:val="false"/>
          <w:bCs w:val="false"/>
          <w:i w:val="false"/>
          <w:iCs w:val="false"/>
          <w:color w:val="000000"/>
          <w:sz w:val="21"/>
          <w:szCs w:val="21"/>
        </w:rPr>
        <w:t xml:space="preserve">定量インパクト（仮置）：建築・産業／エネルギーで200〜500億円規模の中堅買収を1-2件、5年累計でEBITDA +30〜+80億円寄与。</w:t>
      </w:r>
    </w:p>
    <w:p>
      <w:pPr>
        <w:spacing w:after="80" w:before="160"/>
      </w:pPr>
      <w:r>
        <w:rPr>
          <w:rFonts w:ascii="Arial" w:cs="Arial" w:eastAsia="Arial" w:hAnsi="Arial"/>
          <w:b/>
          <w:bCs/>
          <w:color w:val="404040"/>
          <w:sz w:val="23"/>
          <w:szCs w:val="23"/>
        </w:rPr>
        <w:t xml:space="preserve">(b) 隣接企業買収による機能強化</w:t>
      </w:r>
    </w:p>
    <w:p>
      <w:pPr>
        <w:spacing w:after="80" w:before="0" w:line="280"/>
        <w:jc w:val="left"/>
      </w:pPr>
      <w:r>
        <w:rPr>
          <w:rFonts w:ascii="Arial" w:cs="Arial" w:eastAsia="Arial" w:hAnsi="Arial"/>
          <w:b w:val="false"/>
          <w:bCs w:val="false"/>
          <w:i w:val="false"/>
          <w:iCs w:val="false"/>
          <w:color w:val="000000"/>
          <w:sz w:val="21"/>
          <w:szCs w:val="21"/>
        </w:rPr>
        <w:t xml:space="preserve">候補類型：</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半導体装置の隣接領域</w:t>
      </w:r>
      <w:r>
        <w:rPr>
          <w:rFonts w:ascii="Arial" w:cs="Arial" w:eastAsia="Arial" w:hAnsi="Arial"/>
          <w:b w:val="false"/>
          <w:bCs w:val="false"/>
          <w:i w:val="false"/>
          <w:iCs w:val="false"/>
          <w:color w:val="000000"/>
          <w:sz w:val="20"/>
          <w:szCs w:val="20"/>
        </w:rPr>
        <w:t xml:space="preserve">：後工程（パッケージング、検査）装置メーカーのボルトオン（HBM・先端パッケージ向けの装置補完）</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環境の隣接領域</w:t>
      </w:r>
      <w:r>
        <w:rPr>
          <w:rFonts w:ascii="Arial" w:cs="Arial" w:eastAsia="Arial" w:hAnsi="Arial"/>
          <w:b w:val="false"/>
          <w:bCs w:val="false"/>
          <w:i w:val="false"/>
          <w:iCs w:val="false"/>
          <w:color w:val="000000"/>
          <w:sz w:val="20"/>
          <w:szCs w:val="20"/>
        </w:rPr>
        <w:t xml:space="preserve">：CO2回収・利用（CCUS）装置メーカー、水素プラント要素技術メーカー（脱炭素ソリューションの統合提案）</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デジタル・サービス領域</w:t>
      </w:r>
      <w:r>
        <w:rPr>
          <w:rFonts w:ascii="Arial" w:cs="Arial" w:eastAsia="Arial" w:hAnsi="Arial"/>
          <w:b w:val="false"/>
          <w:bCs w:val="false"/>
          <w:i w:val="false"/>
          <w:iCs w:val="false"/>
          <w:color w:val="000000"/>
          <w:sz w:val="20"/>
          <w:szCs w:val="20"/>
        </w:rPr>
        <w:t xml:space="preserve">：予知保全SaaS、産業IoTプラットフォームの取り込み（保守ビジネスの収益化）</w:t>
      </w:r>
    </w:p>
    <w:p>
      <w:pPr>
        <w:spacing w:after="80" w:before="0" w:line="280"/>
        <w:jc w:val="left"/>
      </w:pPr>
      <w:r>
        <w:rPr>
          <w:rFonts w:ascii="Arial" w:cs="Arial" w:eastAsia="Arial" w:hAnsi="Arial"/>
          <w:b w:val="false"/>
          <w:bCs w:val="false"/>
          <w:i w:val="false"/>
          <w:iCs w:val="false"/>
          <w:color w:val="000000"/>
          <w:sz w:val="21"/>
          <w:szCs w:val="21"/>
        </w:rPr>
        <w:t xml:space="preserve">シナジー類型：技術補完、顧客チャネル補完、サービス収益化。</w:t>
      </w:r>
    </w:p>
    <w:p>
      <w:pPr>
        <w:spacing w:after="80" w:before="0" w:line="280"/>
        <w:jc w:val="left"/>
      </w:pPr>
      <w:r>
        <w:rPr>
          <w:rFonts w:ascii="Arial" w:cs="Arial" w:eastAsia="Arial" w:hAnsi="Arial"/>
          <w:b w:val="false"/>
          <w:bCs w:val="false"/>
          <w:i w:val="false"/>
          <w:iCs w:val="false"/>
          <w:color w:val="000000"/>
          <w:sz w:val="21"/>
          <w:szCs w:val="21"/>
        </w:rPr>
        <w:t xml:space="preserve">PMI論点：技術系・SaaS系は組織カルチャー融合とKMPリテンションが鍵。</w:t>
      </w:r>
    </w:p>
    <w:p>
      <w:pPr>
        <w:spacing w:after="80" w:before="0" w:line="280"/>
        <w:jc w:val="left"/>
      </w:pPr>
      <w:r>
        <w:rPr>
          <w:rFonts w:ascii="Arial" w:cs="Arial" w:eastAsia="Arial" w:hAnsi="Arial"/>
          <w:b w:val="false"/>
          <w:bCs w:val="false"/>
          <w:i w:val="false"/>
          <w:iCs w:val="false"/>
          <w:color w:val="000000"/>
          <w:sz w:val="21"/>
          <w:szCs w:val="21"/>
        </w:rPr>
        <w:t xml:space="preserve">定量インパクト（仮置）：500〜1,000億円規模の戦略買収1件で、5年後にEBITDA +50〜+100億円寄与。</w:t>
      </w:r>
    </w:p>
    <w:p>
      <w:pPr>
        <w:spacing w:after="100" w:before="200"/>
      </w:pPr>
      <w:r>
        <w:rPr>
          <w:rFonts w:ascii="Arial" w:cs="Arial" w:eastAsia="Arial" w:hAnsi="Arial"/>
          <w:b/>
          <w:bCs/>
          <w:color w:val="2C4F7A"/>
          <w:sz w:val="25"/>
          <w:szCs w:val="25"/>
        </w:rPr>
        <w:t xml:space="preserve">3-3. Exitの可能性（エクイティストーリー含む）</w:t>
      </w:r>
    </w:p>
    <w:p>
      <w:pPr>
        <w:spacing w:after="80" w:before="0" w:line="280"/>
        <w:jc w:val="left"/>
      </w:pPr>
      <w:r>
        <w:rPr>
          <w:rFonts w:ascii="Arial" w:cs="Arial" w:eastAsia="Arial" w:hAnsi="Arial"/>
          <w:b/>
          <w:bCs/>
          <w:i w:val="false"/>
          <w:iCs w:val="false"/>
          <w:color w:val="000000"/>
          <w:sz w:val="21"/>
          <w:szCs w:val="21"/>
        </w:rPr>
        <w:t xml:space="preserve">前提</w:t>
      </w:r>
      <w:r>
        <w:rPr>
          <w:rFonts w:ascii="Arial" w:cs="Arial" w:eastAsia="Arial" w:hAnsi="Arial"/>
          <w:b w:val="false"/>
          <w:bCs w:val="false"/>
          <w:i w:val="false"/>
          <w:iCs w:val="false"/>
          <w:color w:val="000000"/>
          <w:sz w:val="21"/>
          <w:szCs w:val="21"/>
        </w:rPr>
        <w:t xml:space="preserve">：時価総額約2.66兆円（2026/5/7）の規模感のため、(a)PEファンド単独LBO、(b)事業会社による全社買収、(c)IPO（再上場）はそれぞれ実行可能性に制約あり。より現実的にはカーブアウト（特定セグメント売却）または戦略買収（半導体装置部分のみ）が想定される。以下、5年後の全社想定Exitを仮置で試算。</w:t>
      </w:r>
    </w:p>
    <w:p>
      <w:pPr>
        <w:spacing w:after="80" w:before="160"/>
      </w:pPr>
      <w:r>
        <w:rPr>
          <w:rFonts w:ascii="Arial" w:cs="Arial" w:eastAsia="Arial" w:hAnsi="Arial"/>
          <w:b/>
          <w:bCs/>
          <w:color w:val="404040"/>
          <w:sz w:val="23"/>
          <w:szCs w:val="23"/>
        </w:rPr>
        <w:t xml:space="preserve">想定買い手</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事業会社（戦略買収）</w:t>
      </w:r>
      <w:r>
        <w:rPr>
          <w:rFonts w:ascii="Arial" w:cs="Arial" w:eastAsia="Arial" w:hAnsi="Arial"/>
          <w:b w:val="false"/>
          <w:bCs w:val="false"/>
          <w:i w:val="false"/>
          <w:iCs w:val="false"/>
          <w:color w:val="000000"/>
          <w:sz w:val="20"/>
          <w:szCs w:val="20"/>
        </w:rPr>
        <w:t xml:space="preserve">：Atlas Copco（半導体装置部分の補完、Vacuum Techniqueとの統合）、Applied Materials（CMP事業の統合 — 独占法上の懸念大）、SLB／Baker Hughes（エネルギー部分の補完）、Veolia／Suez（環境部分の補完）。全社統合は規模・コングロマリット性から実行困難</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PE（再売却・MBO）</w:t>
      </w:r>
      <w:r>
        <w:rPr>
          <w:rFonts w:ascii="Arial" w:cs="Arial" w:eastAsia="Arial" w:hAnsi="Arial"/>
          <w:b w:val="false"/>
          <w:bCs w:val="false"/>
          <w:i w:val="false"/>
          <w:iCs w:val="false"/>
          <w:color w:val="000000"/>
          <w:sz w:val="20"/>
          <w:szCs w:val="20"/>
        </w:rPr>
        <w:t xml:space="preserve">：Bain Capital、KKR、EQT等の大型バイアウトファンド連合での全社買収（SoftBank等の戦略提携も視野）。LBO実行可能だが約2.6-3兆円のディール規模はAPACで稀有</w:t>
      </w:r>
    </w:p>
    <w:p>
      <w:pPr>
        <w:pStyle w:val="ListParagraph"/>
        <w:numPr>
          <w:ilvl w:val="0"/>
          <w:numId w:val="1"/>
        </w:numPr>
        <w:spacing w:after="40" w:line="280"/>
      </w:pPr>
      <w:r>
        <w:rPr>
          <w:rFonts w:ascii="Arial" w:cs="Arial" w:eastAsia="Arial" w:hAnsi="Arial"/>
          <w:b/>
          <w:bCs/>
          <w:i w:val="false"/>
          <w:iCs w:val="false"/>
          <w:color w:val="000000"/>
          <w:sz w:val="20"/>
          <w:szCs w:val="20"/>
        </w:rPr>
        <w:t xml:space="preserve">IPO（再上場）</w:t>
      </w:r>
      <w:r>
        <w:rPr>
          <w:rFonts w:ascii="Arial" w:cs="Arial" w:eastAsia="Arial" w:hAnsi="Arial"/>
          <w:b w:val="false"/>
          <w:bCs w:val="false"/>
          <w:i w:val="false"/>
          <w:iCs w:val="false"/>
          <w:color w:val="000000"/>
          <w:sz w:val="20"/>
          <w:szCs w:val="20"/>
        </w:rPr>
        <w:t xml:space="preserve">：プライム市場での独立路線継続が現状想定されるシナリオ。E-Vision2035の達成度次第で段階的なセグメントスピンアウト型IPOも選択肢</w:t>
      </w:r>
    </w:p>
    <w:p>
      <w:pPr>
        <w:spacing w:after="80" w:before="160"/>
      </w:pPr>
      <w:r>
        <w:rPr>
          <w:rFonts w:ascii="Arial" w:cs="Arial" w:eastAsia="Arial" w:hAnsi="Arial"/>
          <w:b/>
          <w:bCs/>
          <w:color w:val="404040"/>
          <w:sz w:val="23"/>
          <w:szCs w:val="23"/>
        </w:rPr>
        <w:t xml:space="preserve">想定マルチプル</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指標</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直近水準</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ピア比較</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適用想定レンジ</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EV/EBITDA</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約14-16x（推定、時価総額2.66兆円÷FY2025 EBITDA約1,500億円）</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産機ピア（Xylem、Atlas Copco）15-20x、半導体装置ピア（AMAT）20-25x</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12-18x</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PER</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約34x（時価総額÷FY2025純利益766億円）</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機械業界平均20-25x、半導体装置30-35x</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25-35x</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PBR</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5.22x（2026/5/7）</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機械業界平均1.5-2x</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4-6x</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160"/>
      </w:pPr>
      <w:r>
        <w:rPr>
          <w:rFonts w:ascii="Arial" w:cs="Arial" w:eastAsia="Arial" w:hAnsi="Arial"/>
          <w:b/>
          <w:bCs/>
          <w:color w:val="404040"/>
          <w:sz w:val="23"/>
          <w:szCs w:val="23"/>
        </w:rPr>
        <w:t xml:space="preserve">5年後Exit想定</w:t>
      </w:r>
    </w:p>
    <w:p>
      <w:pPr>
        <w:spacing w:after="80" w:before="0" w:line="280"/>
        <w:jc w:val="left"/>
      </w:pPr>
      <w:r>
        <w:rPr>
          <w:rFonts w:ascii="Arial" w:cs="Arial" w:eastAsia="Arial" w:hAnsi="Arial"/>
          <w:b w:val="false"/>
          <w:bCs w:val="false"/>
          <w:i w:val="false"/>
          <w:iCs w:val="false"/>
          <w:color w:val="000000"/>
          <w:sz w:val="21"/>
          <w:szCs w:val="21"/>
        </w:rPr>
        <w:t xml:space="preserve">E-Plan2028目標達成（FY2028売上1.2兆円、OPM 14.5%以上、営業利益1,740億円）を基準に、5年後（FY2030想定）：</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売上1.4-1.6兆円（CAGR 8-10%、E-Vision2035の中間達成水準）</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EBITDA 2,000-2,400億円（OPM 15-16% × 売上）</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想定EV：EBITDA 2,200億円 × マルチプル12-18x = 2.6〜4.0兆円</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IPOを継続する場合の時価総額は4-6兆円レンジ（E-Vision2035目標6兆円に対し）</w:t>
      </w:r>
    </w:p>
    <w:p>
      <w:pPr>
        <w:spacing w:after="80" w:before="160"/>
      </w:pPr>
      <w:r>
        <w:rPr>
          <w:rFonts w:ascii="Arial" w:cs="Arial" w:eastAsia="Arial" w:hAnsi="Arial"/>
          <w:b/>
          <w:bCs/>
          <w:color w:val="404040"/>
          <w:sz w:val="23"/>
          <w:szCs w:val="23"/>
        </w:rPr>
        <w:t xml:space="preserve">エクイティストーリー</w:t>
      </w:r>
    </w:p>
    <w:p>
      <w:pPr>
        <w:spacing w:after="80" w:before="0" w:line="280"/>
        <w:jc w:val="left"/>
      </w:pPr>
      <w:r>
        <w:rPr>
          <w:rFonts w:ascii="Arial" w:cs="Arial" w:eastAsia="Arial" w:hAnsi="Arial"/>
          <w:b w:val="false"/>
          <w:bCs w:val="false"/>
          <w:i w:val="false"/>
          <w:iCs w:val="false"/>
          <w:color w:val="000000"/>
          <w:sz w:val="21"/>
          <w:szCs w:val="21"/>
        </w:rPr>
        <w:t xml:space="preserve">「</w:t>
      </w:r>
      <w:r>
        <w:rPr>
          <w:rFonts w:ascii="Arial" w:cs="Arial" w:eastAsia="Arial" w:hAnsi="Arial"/>
          <w:b/>
          <w:bCs/>
          <w:i w:val="false"/>
          <w:iCs w:val="false"/>
          <w:color w:val="000000"/>
          <w:sz w:val="21"/>
          <w:szCs w:val="21"/>
        </w:rPr>
        <w:t xml:space="preserve">日本発のグローバル産業機械コングロマリットから、半導体装置を成長エンジンとする高収益スペシャリスト集団への転換</w:t>
      </w:r>
      <w:r>
        <w:rPr>
          <w:rFonts w:ascii="Arial" w:cs="Arial" w:eastAsia="Arial" w:hAnsi="Arial"/>
          <w:b w:val="false"/>
          <w:bCs w:val="false"/>
          <w:i w:val="false"/>
          <w:iCs w:val="false"/>
          <w:color w:val="000000"/>
          <w:sz w:val="21"/>
          <w:szCs w:val="21"/>
        </w:rPr>
        <w:t xml:space="preserve">」が中核ストーリー。</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第1幕（FY2026-FY2028）：E-Plan2028期間で精密・電子の収益拡大とポンプ事業の構造改革を完遂、OPM 14.5%達成</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第2幕（FY2029-FY2032）：CMP装置でメモリ向けキャッチアップ、シェアトップ達成</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第3幕（FY2033-FY2035）：E-Vision2035で売上2兆円・OPM 20%・ROIC 20%・時価総額6兆円を達成し、産業機械業界の世界トッププレイヤーへ</w:t>
      </w:r>
    </w:p>
    <w:p>
      <w:pPr>
        <w:spacing w:after="80" w:before="0" w:line="280"/>
        <w:jc w:val="left"/>
      </w:pPr>
      <w:r>
        <w:rPr>
          <w:rFonts w:ascii="Arial" w:cs="Arial" w:eastAsia="Arial" w:hAnsi="Arial"/>
          <w:b w:val="false"/>
          <w:bCs w:val="false"/>
          <w:i w:val="false"/>
          <w:iCs w:val="false"/>
          <w:color w:val="000000"/>
          <w:sz w:val="21"/>
          <w:szCs w:val="21"/>
        </w:rPr>
        <w:t xml:space="preserve">代替ストーリー（カーブアウト型）：「</w:t>
      </w:r>
      <w:r>
        <w:rPr>
          <w:rFonts w:ascii="Arial" w:cs="Arial" w:eastAsia="Arial" w:hAnsi="Arial"/>
          <w:b/>
          <w:bCs/>
          <w:i w:val="false"/>
          <w:iCs w:val="false"/>
          <w:color w:val="000000"/>
          <w:sz w:val="21"/>
          <w:szCs w:val="21"/>
        </w:rPr>
        <w:t xml:space="preserve">5セグメントのうち成長性・収益性の高い精密・電子＋エネルギーの2軸に集中、建築・産業／環境はカーブアウト売却で資本効率向上</w:t>
      </w:r>
      <w:r>
        <w:rPr>
          <w:rFonts w:ascii="Arial" w:cs="Arial" w:eastAsia="Arial" w:hAnsi="Arial"/>
          <w:b w:val="false"/>
          <w:bCs w:val="false"/>
          <w:i w:val="false"/>
          <w:iCs w:val="false"/>
          <w:color w:val="000000"/>
          <w:sz w:val="21"/>
          <w:szCs w:val="21"/>
        </w:rPr>
        <w:t xml:space="preserve">」。</w:t>
      </w:r>
    </w:p>
    <w:p>
      <w:pPr>
        <w:spacing w:after="100" w:before="200"/>
      </w:pPr>
      <w:r>
        <w:rPr>
          <w:rFonts w:ascii="Arial" w:cs="Arial" w:eastAsia="Arial" w:hAnsi="Arial"/>
          <w:b/>
          <w:bCs/>
          <w:color w:val="2C4F7A"/>
          <w:sz w:val="25"/>
          <w:szCs w:val="25"/>
        </w:rPr>
        <w:t xml:space="preserve">Value-up Bridge（5年後想定、仮置）</w:t>
      </w:r>
    </w:p>
    <w:tbl>
      <w:tblPr>
        <w:tblW w:type="pct" w:w="100%"/>
        <w:tblBorders>
          <w:top w:val="single" w:color="BFBFBF" w:sz="4"/>
          <w:left w:val="single" w:color="BFBFBF" w:sz="4"/>
          <w:bottom w:val="single" w:color="BFBFBF" w:sz="4"/>
          <w:right w:val="single" w:color="BFBFBF" w:sz="4"/>
          <w:insideH w:val="single" w:color="BFBFBF" w:sz="2"/>
          <w:insideV w:val="single" w:color="BFBFBF" w:sz="2"/>
        </w:tblBorders>
      </w:tblPr>
      <w:tblGrid>
        <w:gridCol w:w="100"/>
        <w:gridCol w:w="100"/>
        <w:gridCol w:w="100"/>
        <w:gridCol w:w="100"/>
      </w:tblGrid>
      <w:tr>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項目</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EBITDA（億円）／レンジ</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寄与の論拠</w:t>
            </w:r>
          </w:p>
        </w:tc>
        <w:tc>
          <w:tcPr>
            <w:shd w:fill="1F3A5F" w:color="1F3A5F" w:val="solid"/>
            <w:tcMar>
              <w:top w:type="dxa" w:w="60"/>
              <w:left w:type="dxa" w:w="80"/>
              <w:bottom w:type="dxa" w:w="60"/>
              <w:right w:type="dxa" w:w="80"/>
            </w:tcMar>
          </w:tcPr>
          <w:p>
            <w:pPr>
              <w:spacing w:line="240"/>
              <w:jc w:val="center"/>
            </w:pPr>
            <w:r>
              <w:rPr>
                <w:rFonts w:ascii="Arial" w:cs="Arial" w:eastAsia="Arial" w:hAnsi="Arial"/>
                <w:b w:val="false"/>
                <w:bCs w:val="false"/>
                <w:i w:val="false"/>
                <w:iCs w:val="false"/>
                <w:color w:val="FFFFFF"/>
                <w:sz w:val="18"/>
                <w:szCs w:val="18"/>
              </w:rPr>
              <w:t xml:space="preserve">達成期間</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現状EBITDA（FY2025）</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約1,500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営業利益1,138億円＋減価償却348億円ベース、推計値</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オーガニック</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+300〜+500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売上4ドライバー（プライシング・新規顧客・新規製品・新規地域）の合算+200〜+300、コスト2ドライバー（原価・販管費）の合算+100〜+200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〜5年</w:t>
            </w:r>
          </w:p>
        </w:tc>
      </w:tr>
      <w:tr>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 インオーガニック</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+100〜+200</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同業ロールアップ（建築・産業／エネルギー）+ 隣接買収（半導体後工程・CO2/水素・SaaS）の合算</w:t>
            </w:r>
          </w:p>
        </w:tc>
        <w:tc>
          <w:tcPr>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〜5年</w:t>
            </w:r>
          </w:p>
        </w:tc>
      </w:tr>
      <w:tr>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5年後想定EBITDA</w:t>
            </w:r>
          </w:p>
        </w:tc>
        <w:tc>
          <w:tcPr>
            <w:shd w:fill="F2F4F7" w:color="F2F4F7" w:val="solid"/>
            <w:tcMar>
              <w:top w:type="dxa" w:w="60"/>
              <w:left w:type="dxa" w:w="80"/>
              <w:bottom w:type="dxa" w:w="60"/>
              <w:right w:type="dxa" w:w="80"/>
            </w:tcMar>
          </w:tcPr>
          <w:p>
            <w:pPr>
              <w:spacing w:line="240"/>
              <w:jc w:val="left"/>
            </w:pPr>
            <w:r>
              <w:rPr>
                <w:rFonts w:ascii="Arial" w:cs="Arial" w:eastAsia="Arial" w:hAnsi="Arial"/>
                <w:b/>
                <w:bCs/>
                <w:i w:val="false"/>
                <w:iCs w:val="false"/>
                <w:color w:val="000000"/>
                <w:sz w:val="18"/>
                <w:szCs w:val="18"/>
              </w:rPr>
              <w:t xml:space="preserve">1,900〜2,200</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c>
          <w:tcPr>
            <w:shd w:fill="F2F4F7" w:color="F2F4F7" w:val="solid"/>
            <w:tcMar>
              <w:top w:type="dxa" w:w="60"/>
              <w:left w:type="dxa" w:w="80"/>
              <w:bottom w:type="dxa" w:w="60"/>
              <w:right w:type="dxa" w:w="80"/>
            </w:tcMar>
          </w:tcPr>
          <w:p>
            <w:pPr>
              <w:spacing w:line="240"/>
              <w:jc w:val="left"/>
            </w:pPr>
            <w:r>
              <w:rPr>
                <w:rFonts w:ascii="Arial" w:cs="Arial" w:eastAsia="Arial" w:hAnsi="Arial"/>
                <w:b w:val="false"/>
                <w:bCs w:val="false"/>
                <w:i w:val="false"/>
                <w:iCs w:val="false"/>
                <w:color w:val="000000"/>
                <w:sz w:val="18"/>
                <w:szCs w:val="18"/>
              </w:rPr>
              <w:t xml:space="preserve">—</w:t>
            </w:r>
          </w:p>
        </w:tc>
      </w:tr>
    </w:tbl>
    <w:p>
      <w:pPr>
        <w:spacing w:after="60" w:before="0" w:line="280"/>
        <w:jc w:val="left"/>
      </w:pPr>
      <w:r>
        <w:rPr>
          <w:rFonts w:ascii="Arial" w:cs="Arial" w:eastAsia="Arial" w:hAnsi="Arial"/>
          <w:b w:val="false"/>
          <w:bCs w:val="false"/>
          <w:i w:val="false"/>
          <w:iCs w:val="false"/>
          <w:color w:val="000000"/>
          <w:sz w:val="21"/>
          <w:szCs w:val="21"/>
        </w:rPr>
        <w:t xml:space="preserve"/>
      </w:r>
    </w:p>
    <w:p>
      <w:pPr>
        <w:spacing w:after="80" w:before="0" w:line="280"/>
        <w:jc w:val="left"/>
      </w:pPr>
      <w:r>
        <w:rPr>
          <w:rFonts w:ascii="Arial" w:cs="Arial" w:eastAsia="Arial" w:hAnsi="Arial"/>
          <w:b w:val="false"/>
          <w:bCs w:val="false"/>
          <w:i w:val="false"/>
          <w:iCs w:val="false"/>
          <w:color w:val="000000"/>
          <w:sz w:val="21"/>
          <w:szCs w:val="21"/>
        </w:rPr>
        <w:t xml:space="preserve">注：5年後Exit想定EVは別表（3-3）。Bridge数値は仮置きであり、追加DDで個別打ち手の具体化と前提検証が必要。</w:t>
      </w:r>
    </w:p>
    <w:p>
      <w:pPr>
        <w:spacing w:after="120" w:before="240"/>
      </w:pPr>
      <w:r>
        <w:rPr>
          <w:rFonts w:ascii="Arial" w:cs="Arial" w:eastAsia="Arial" w:hAnsi="Arial"/>
          <w:b/>
          <w:bCs/>
          <w:color w:val="1F3A5F"/>
          <w:sz w:val="28"/>
          <w:szCs w:val="28"/>
        </w:rPr>
        <w:t xml:space="preserve">付録</w:t>
      </w:r>
    </w:p>
    <w:p>
      <w:pPr>
        <w:spacing w:after="100" w:before="200"/>
      </w:pPr>
      <w:r>
        <w:rPr>
          <w:rFonts w:ascii="Arial" w:cs="Arial" w:eastAsia="Arial" w:hAnsi="Arial"/>
          <w:b/>
          <w:bCs/>
          <w:color w:val="2C4F7A"/>
          <w:sz w:val="25"/>
          <w:szCs w:val="25"/>
        </w:rPr>
        <w:t xml:space="preserve">出典一覧</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有価証券報告書 第156-161期（荏原製作所、2021-2026年提出）：EDINET API v2 経由取得</w:t>
      </w:r>
    </w:p>
    <w:p>
      <w:pPr>
        <w:spacing w:after="80" w:before="0" w:line="280"/>
        <w:jc w:val="left"/>
      </w:pPr>
      <w:r>
        <w:rPr>
          <w:rFonts w:ascii="Arial" w:cs="Arial" w:eastAsia="Arial" w:hAnsi="Arial"/>
          <w:b w:val="false"/>
          <w:bCs w:val="false"/>
          <w:i w:val="false"/>
          <w:iCs w:val="false"/>
          <w:color w:val="000000"/>
          <w:sz w:val="21"/>
          <w:szCs w:val="21"/>
        </w:rPr>
        <w:t xml:space="preserve">- 第160期（FY2024 Dec、2025/3/27提出、docID S100VHAM） - 第161期（FY2025 Dec、2026/3/23提出、docID S100XS6E）</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決算短信〔IFRS〕FY2024、FY2025（荏原製作所IRサイト）</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E-Vision2035・E-Plan2028説明会資料（2026/2/13）</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irbank.net 6361荏原製作所 セグメント・PL履歴ページ</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ニュースイッチ（日刊工業新聞）2024年荏原CMP・半導体装置記事</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cmp-wafer-polishing.com（CMP市場シェア）</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SDKi 2024（ドライ真空ポンプ世界市場）</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Atlas Copco IR（FY2024、2025年Q3-Q4決算）</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ResearchAndMarkets / MarketsandMarkets（産業ポンプ市場予測）</w:t>
      </w:r>
    </w:p>
    <w:p>
      <w:pPr>
        <w:spacing w:after="100" w:before="200"/>
      </w:pPr>
      <w:r>
        <w:rPr>
          <w:rFonts w:ascii="Arial" w:cs="Arial" w:eastAsia="Arial" w:hAnsi="Arial"/>
          <w:b/>
          <w:bCs/>
          <w:color w:val="2C4F7A"/>
          <w:sz w:val="25"/>
          <w:szCs w:val="25"/>
        </w:rPr>
        <w:t xml:space="preserve">略語集</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BSI: Building Service &amp; Industrial（建築・産業セグメント）</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CMP: Chemical Mechanical Planarization（化学機械研磨）</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HBM: High Bandwidth Memory</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WtE: Waste to Energy</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WFE: Wafer Fab Equipment</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KMP: Key Management Personnel</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MBO: Management Buyout</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PMI: Post-Merger Integration</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LBO: Leveraged Buyout</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O&amp;M: Operations and Maintenance</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IDM: Integrated Device Manufacturer</w:t>
      </w:r>
    </w:p>
    <w:p>
      <w:pPr>
        <w:pStyle w:val="ListParagraph"/>
        <w:numPr>
          <w:ilvl w:val="0"/>
          <w:numId w:val="1"/>
        </w:numPr>
        <w:spacing w:after="40" w:line="280"/>
      </w:pPr>
      <w:r>
        <w:rPr>
          <w:rFonts w:ascii="Arial" w:cs="Arial" w:eastAsia="Arial" w:hAnsi="Arial"/>
          <w:b w:val="false"/>
          <w:bCs w:val="false"/>
          <w:i w:val="false"/>
          <w:iCs w:val="false"/>
          <w:color w:val="000000"/>
          <w:sz w:val="20"/>
          <w:szCs w:val="20"/>
        </w:rPr>
        <w:t xml:space="preserve">ROIC: Return on Invested Capital</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荏原製作所 ビジネスDDレポート</dc:title>
  <dc:creator>Business DD Skill</dc:creator>
  <cp:lastModifiedBy>Un-named</cp:lastModifiedBy>
  <cp:revision>1</cp:revision>
  <dcterms:created xsi:type="dcterms:W3CDTF">2026-05-10T05:45:23.797Z</dcterms:created>
  <dcterms:modified xsi:type="dcterms:W3CDTF">2026-05-10T05:45:23.799Z</dcterms:modified>
</cp:coreProperties>
</file>

<file path=docProps/custom.xml><?xml version="1.0" encoding="utf-8"?>
<Properties xmlns="http://schemas.openxmlformats.org/officeDocument/2006/custom-properties" xmlns:vt="http://schemas.openxmlformats.org/officeDocument/2006/docPropsVTypes"/>
</file>