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pPr>
      <w:r>
        <w:rPr>
          <w:rFonts w:ascii="Arial" w:cs="Arial" w:eastAsia="Arial" w:hAnsi="Arial"/>
          <w:b/>
          <w:bCs/>
          <w:color w:val="1F3A5F"/>
          <w:sz w:val="28"/>
          <w:szCs w:val="28"/>
        </w:rPr>
        <w:t xml:space="preserve">株式会社トライトエンジニアリング ビジネスDDレポート（2026年5月）</w:t>
      </w:r>
    </w:p>
    <w:p>
      <w:pPr>
        <w:spacing w:after="80" w:before="0" w:line="280"/>
        <w:jc w:val="left"/>
      </w:pPr>
      <w:r>
        <w:rPr>
          <w:rFonts w:ascii="Arial" w:cs="Arial" w:eastAsia="Arial" w:hAnsi="Arial"/>
          <w:b w:val="false"/>
          <w:bCs w:val="false"/>
          <w:i w:val="false"/>
          <w:iCs w:val="false"/>
          <w:color w:val="000000"/>
          <w:sz w:val="21"/>
          <w:szCs w:val="21"/>
        </w:rPr>
        <w:t xml:space="preserve">注：本レポートは、トライトグループ（東証グロース 9164、IFRS）の連結セグメントのうち「建設関連事業」を担う株式会社トライトエンジニアリング（以下「対象会社」「トライトE」）を分析対象とする。トライトグループはIFRS上「人材サービス業の単一セグメント」として開示しており、事業領域別（介護／医療／建設）の数値は決算説明資料（管理会計）からのみ取得可能。本レポートでは管理会計開示値と有報開示値を区別して記載する。</w:t>
      </w:r>
    </w:p>
    <w:p>
      <w:pPr>
        <w:spacing w:after="100" w:before="200"/>
      </w:pPr>
      <w:r>
        <w:rPr>
          <w:rFonts w:ascii="Arial" w:cs="Arial" w:eastAsia="Arial" w:hAnsi="Arial"/>
          <w:b/>
          <w:bCs/>
          <w:color w:val="2C4F7A"/>
          <w:sz w:val="25"/>
          <w:szCs w:val="25"/>
        </w:rPr>
        <w:t xml:space="preserve">エグゼクティブサマリー</w:t>
      </w:r>
    </w:p>
    <w:p>
      <w:pPr>
        <w:spacing w:after="80" w:before="160"/>
      </w:pPr>
      <w:r>
        <w:rPr>
          <w:rFonts w:ascii="Arial" w:cs="Arial" w:eastAsia="Arial" w:hAnsi="Arial"/>
          <w:b/>
          <w:bCs/>
          <w:color w:val="404040"/>
          <w:sz w:val="23"/>
          <w:szCs w:val="23"/>
        </w:rPr>
        <w:t xml:space="preserve">主要観察事実（Key Observations）</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ディール文脈</w:t>
      </w:r>
      <w:r>
        <w:rPr>
          <w:rFonts w:ascii="Arial" w:cs="Arial" w:eastAsia="Arial" w:hAnsi="Arial"/>
          <w:b w:val="false"/>
          <w:bCs w:val="false"/>
          <w:i w:val="false"/>
          <w:iCs w:val="false"/>
          <w:color w:val="000000"/>
          <w:sz w:val="20"/>
          <w:szCs w:val="20"/>
        </w:rPr>
        <w:t xml:space="preserve">：建設技術者派遣のロールアップ候補としての対象会社評価。トライトグループ全体ではなく、建設セグメント（≒トライトE単体）にフォーカスしたカーブアウト型／JV型獲得を念頭に置く。</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対象会社（建設セグメント）売上はFY24で </w:t>
      </w:r>
      <w:r>
        <w:rPr>
          <w:rFonts w:ascii="Arial" w:cs="Arial" w:eastAsia="Arial" w:hAnsi="Arial"/>
          <w:b/>
          <w:bCs/>
          <w:i w:val="false"/>
          <w:iCs w:val="false"/>
          <w:color w:val="000000"/>
          <w:sz w:val="20"/>
          <w:szCs w:val="20"/>
        </w:rPr>
        <w:t xml:space="preserve">85.41億円（YoY+27%）</w:t>
      </w:r>
      <w:r>
        <w:rPr>
          <w:rFonts w:ascii="Arial" w:cs="Arial" w:eastAsia="Arial" w:hAnsi="Arial"/>
          <w:b w:val="false"/>
          <w:bCs w:val="false"/>
          <w:i w:val="false"/>
          <w:iCs w:val="false"/>
          <w:color w:val="000000"/>
          <w:sz w:val="20"/>
          <w:szCs w:val="20"/>
        </w:rPr>
        <w:t xml:space="preserve">。トライトグループ連結全体（売上571.16億円・EBITDA67.05億円）の約15%を占めるが、3セグメント中で最も成長率が高い [出典: トライトグループFY24決算説明資料 p.11、有報FY24]。</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セグメント内訳（FY24／管理会計ベース・推定ラベリング）：派遣（経験者層中心）34.32億円（+4%）、派遣（未経験者中心）36.19億円（</w:t>
      </w:r>
      <w:r>
        <w:rPr>
          <w:rFonts w:ascii="Arial" w:cs="Arial" w:eastAsia="Arial" w:hAnsi="Arial"/>
          <w:b/>
          <w:bCs/>
          <w:i w:val="false"/>
          <w:iCs w:val="false"/>
          <w:color w:val="000000"/>
          <w:sz w:val="20"/>
          <w:szCs w:val="20"/>
        </w:rPr>
        <w:t xml:space="preserve">+78%</w:t>
      </w:r>
      <w:r>
        <w:rPr>
          <w:rFonts w:ascii="Arial" w:cs="Arial" w:eastAsia="Arial" w:hAnsi="Arial"/>
          <w:b w:val="false"/>
          <w:bCs w:val="false"/>
          <w:i w:val="false"/>
          <w:iCs w:val="false"/>
          <w:color w:val="000000"/>
          <w:sz w:val="20"/>
          <w:szCs w:val="20"/>
        </w:rPr>
        <w:t xml:space="preserve">）、紹介3.15億円（+27%）、その他（教育・研修事業等）11.75億円（+1%）。</w:t>
      </w:r>
      <w:r>
        <w:rPr>
          <w:rFonts w:ascii="Arial" w:cs="Arial" w:eastAsia="Arial" w:hAnsi="Arial"/>
          <w:b/>
          <w:bCs/>
          <w:i w:val="false"/>
          <w:iCs w:val="false"/>
          <w:color w:val="000000"/>
          <w:sz w:val="20"/>
          <w:szCs w:val="20"/>
        </w:rPr>
        <w:t xml:space="preserve">未経験者中心ラインが事実上の成長エンジン</w:t>
      </w:r>
      <w:r>
        <w:rPr>
          <w:rFonts w:ascii="Arial" w:cs="Arial" w:eastAsia="Arial" w:hAnsi="Arial"/>
          <w:b w:val="false"/>
          <w:bCs w:val="false"/>
          <w:i w:val="false"/>
          <w:iCs w:val="false"/>
          <w:color w:val="000000"/>
          <w:sz w:val="20"/>
          <w:szCs w:val="20"/>
        </w:rPr>
        <w:t xml:space="preserve"> [出典: FY24決算説明資料 p.11／ラベリングは公開求人・採用ページからの推定]。</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採用構造の特徴：トライトEは </w:t>
      </w:r>
      <w:r>
        <w:rPr>
          <w:rFonts w:ascii="Arial" w:cs="Arial" w:eastAsia="Arial" w:hAnsi="Arial"/>
          <w:b/>
          <w:bCs/>
          <w:i w:val="false"/>
          <w:iCs w:val="false"/>
          <w:color w:val="000000"/>
          <w:sz w:val="20"/>
          <w:szCs w:val="20"/>
        </w:rPr>
        <w:t xml:space="preserve">「未経験寄りミックス型」</w:t>
      </w:r>
      <w:r>
        <w:rPr>
          <w:rFonts w:ascii="Arial" w:cs="Arial" w:eastAsia="Arial" w:hAnsi="Arial"/>
          <w:b w:val="false"/>
          <w:bCs w:val="false"/>
          <w:i w:val="false"/>
          <w:iCs w:val="false"/>
          <w:color w:val="000000"/>
          <w:sz w:val="20"/>
          <w:szCs w:val="20"/>
        </w:rPr>
        <w:t xml:space="preserve"> に分類される。年間登録者数約10,000人、稼働率約97%、新卒採用は2023年度87名→2024年度94名の継続的未経験プール確保 [出典: トライトE公式 about, https://tryt-eng.co.jp/about/]。</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親会社：The Carlyle Group系SPV（LIFE SCIENCE &amp; DIGITAL HEALTH CO. LIMITED）が </w:t>
      </w:r>
      <w:r>
        <w:rPr>
          <w:rFonts w:ascii="Arial" w:cs="Arial" w:eastAsia="Arial" w:hAnsi="Arial"/>
          <w:b/>
          <w:bCs/>
          <w:i w:val="false"/>
          <w:iCs w:val="false"/>
          <w:color w:val="000000"/>
          <w:sz w:val="20"/>
          <w:szCs w:val="20"/>
        </w:rPr>
        <w:t xml:space="preserve">議決権60.00%を保有</w:t>
      </w:r>
      <w:r>
        <w:rPr>
          <w:rFonts w:ascii="Arial" w:cs="Arial" w:eastAsia="Arial" w:hAnsi="Arial"/>
          <w:b w:val="false"/>
          <w:bCs w:val="false"/>
          <w:i w:val="false"/>
          <w:iCs w:val="false"/>
          <w:color w:val="000000"/>
          <w:sz w:val="20"/>
          <w:szCs w:val="20"/>
        </w:rPr>
        <w:t xml:space="preserve"> [出典: 有報FY24 大株主の状況]。2018年Carlyleによる買収を経て2023年6月東証グロース上場、上場後もCarlyle継続保有によりPE出口論点が残存。</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業界マクロ：建設業就業者数は1997年685万人→2021年485万人（▲29%）、2030年に400万人台、2040年に300万人台に減少見通し [出典: 国交省 R7建設業参考資料]。2024年4月の時間外労働上限規制（2024年問題）が施工管理人材の派遣需要を直接押し上げる構造。</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業界市場規模：建設業向け人材サービス市場は2024年度 </w:t>
      </w:r>
      <w:r>
        <w:rPr>
          <w:rFonts w:ascii="Arial" w:cs="Arial" w:eastAsia="Arial" w:hAnsi="Arial"/>
          <w:b/>
          <w:bCs/>
          <w:i w:val="false"/>
          <w:iCs w:val="false"/>
          <w:color w:val="000000"/>
          <w:sz w:val="20"/>
          <w:szCs w:val="20"/>
        </w:rPr>
        <w:t xml:space="preserve">6,200億円（YoY+6.9%）</w:t>
      </w:r>
      <w:r>
        <w:rPr>
          <w:rFonts w:ascii="Arial" w:cs="Arial" w:eastAsia="Arial" w:hAnsi="Arial"/>
          <w:b w:val="false"/>
          <w:bCs w:val="false"/>
          <w:i w:val="false"/>
          <w:iCs w:val="false"/>
          <w:color w:val="000000"/>
          <w:sz w:val="20"/>
          <w:szCs w:val="20"/>
        </w:rPr>
        <w:t xml:space="preserve">、矢野経済研究所試算 [出典: 矢野経済研究所2025年版プレスリリース]。</w:t>
      </w:r>
    </w:p>
    <w:p>
      <w:pPr>
        <w:spacing w:after="80" w:before="160"/>
      </w:pPr>
      <w:r>
        <w:rPr>
          <w:rFonts w:ascii="Arial" w:cs="Arial" w:eastAsia="Arial" w:hAnsi="Arial"/>
          <w:b/>
          <w:bCs/>
          <w:color w:val="404040"/>
          <w:sz w:val="23"/>
          <w:szCs w:val="23"/>
        </w:rPr>
        <w:t xml:space="preserve">観察されたリスク要因（Observed Risk Factors）</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OP/EBITDAのFY24減益</w:t>
      </w:r>
      <w:r>
        <w:rPr>
          <w:rFonts w:ascii="Arial" w:cs="Arial" w:eastAsia="Arial" w:hAnsi="Arial"/>
          <w:b w:val="false"/>
          <w:bCs w:val="false"/>
          <w:i w:val="false"/>
          <w:iCs w:val="false"/>
          <w:color w:val="000000"/>
          <w:sz w:val="20"/>
          <w:szCs w:val="20"/>
        </w:rPr>
        <w:t xml:space="preserve">：連結営業利益は7,514→5,186百万円（YoY▲31%）、EBITDAは8,867→6,705百万円（▲24%） [出典: 有報FY24／FY24決算説明資料 p.14]。M&amp;A関連費用、減損、未経験者採用先行投資（教育・拠点）が主要因と推察（仮説）。</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未経験者派遣の単価ジレンマ</w:t>
      </w:r>
      <w:r>
        <w:rPr>
          <w:rFonts w:ascii="Arial" w:cs="Arial" w:eastAsia="Arial" w:hAnsi="Arial"/>
          <w:b w:val="false"/>
          <w:bCs w:val="false"/>
          <w:i w:val="false"/>
          <w:iCs w:val="false"/>
          <w:color w:val="000000"/>
          <w:sz w:val="20"/>
          <w:szCs w:val="20"/>
        </w:rPr>
        <w:t xml:space="preserve">：未経験者ラインは資格取得・OJT期間中の派遣単価が低く、初期は粗利率が低い。+78%成長の利益寄与度は精査要。</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離職率の業界比動向</w:t>
      </w:r>
      <w:r>
        <w:rPr>
          <w:rFonts w:ascii="Arial" w:cs="Arial" w:eastAsia="Arial" w:hAnsi="Arial"/>
          <w:b w:val="false"/>
          <w:bCs w:val="false"/>
          <w:i w:val="false"/>
          <w:iCs w:val="false"/>
          <w:color w:val="000000"/>
          <w:sz w:val="20"/>
          <w:szCs w:val="20"/>
        </w:rPr>
        <w:t xml:space="preserve">：公開口コミでは「離職率は業界平均比やや高め」との指摘あり、長時間労働・歩合制が要因として挙げられる [出典: OpenWork トライトE社員口コミ]。公式の定着率KPIは未開示。</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PE保有60%の流動性ディスカウント</w:t>
      </w:r>
      <w:r>
        <w:rPr>
          <w:rFonts w:ascii="Arial" w:cs="Arial" w:eastAsia="Arial" w:hAnsi="Arial"/>
          <w:b w:val="false"/>
          <w:bCs w:val="false"/>
          <w:i w:val="false"/>
          <w:iCs w:val="false"/>
          <w:color w:val="000000"/>
          <w:sz w:val="20"/>
          <w:szCs w:val="20"/>
        </w:rPr>
        <w:t xml:space="preserve">：Carlyleの売却タイミング・売却方式（市場売出し／戦略的売却／TOB）次第で株価ボラティリティ大。</w:t>
      </w:r>
    </w:p>
    <w:p>
      <w:pPr>
        <w:spacing w:after="80" w:before="160"/>
      </w:pPr>
      <w:r>
        <w:rPr>
          <w:rFonts w:ascii="Arial" w:cs="Arial" w:eastAsia="Arial" w:hAnsi="Arial"/>
          <w:b/>
          <w:bCs/>
          <w:color w:val="404040"/>
          <w:sz w:val="23"/>
          <w:szCs w:val="23"/>
        </w:rPr>
        <w:t xml:space="preserve">追加DDで詰めるべき論点（Open Questions）</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未経験者派遣の単位経済性</w:t>
      </w:r>
      <w:r>
        <w:rPr>
          <w:rFonts w:ascii="Arial" w:cs="Arial" w:eastAsia="Arial" w:hAnsi="Arial"/>
          <w:b w:val="false"/>
          <w:bCs w:val="false"/>
          <w:i w:val="false"/>
          <w:iCs w:val="false"/>
          <w:color w:val="000000"/>
          <w:sz w:val="20"/>
          <w:szCs w:val="20"/>
        </w:rPr>
        <w:t xml:space="preserve">：採用コスト×訓練期間×初期派遣単価×退職率を経験者ラインと比較した粗利率乖離（特にFY26以降の正常化単価）。</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TRYT Award・キャリア応援プロジェクトの定着率寄与</w:t>
      </w:r>
      <w:r>
        <w:rPr>
          <w:rFonts w:ascii="Arial" w:cs="Arial" w:eastAsia="Arial" w:hAnsi="Arial"/>
          <w:b w:val="false"/>
          <w:bCs w:val="false"/>
          <w:i w:val="false"/>
          <w:iCs w:val="false"/>
          <w:color w:val="000000"/>
          <w:sz w:val="20"/>
          <w:szCs w:val="20"/>
        </w:rPr>
        <w:t xml:space="preserve">：施策別の1年・3年継続就業率、未経験者と経験者の退職時期分布。</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拠点ネットワーク（17拠点）の採用効率</w:t>
      </w:r>
      <w:r>
        <w:rPr>
          <w:rFonts w:ascii="Arial" w:cs="Arial" w:eastAsia="Arial" w:hAnsi="Arial"/>
          <w:b w:val="false"/>
          <w:bCs w:val="false"/>
          <w:i w:val="false"/>
          <w:iCs w:val="false"/>
          <w:color w:val="000000"/>
          <w:sz w:val="20"/>
          <w:szCs w:val="20"/>
        </w:rPr>
        <w:t xml:space="preserve">：1拠点あたり登録者獲得数、拠点別KPI（オープンアップGの全国網との比較）。</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顧客集中度・主要顧客</w:t>
      </w:r>
      <w:r>
        <w:rPr>
          <w:rFonts w:ascii="Arial" w:cs="Arial" w:eastAsia="Arial" w:hAnsi="Arial"/>
          <w:b w:val="false"/>
          <w:bCs w:val="false"/>
          <w:i w:val="false"/>
          <w:iCs w:val="false"/>
          <w:color w:val="000000"/>
          <w:sz w:val="20"/>
          <w:szCs w:val="20"/>
        </w:rPr>
        <w:t xml:space="preserve">：建設セグメント上位顧客集中度、ゼネコン／サブコン別売上構成。</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競合M&amp;Aパイプライン</w:t>
      </w:r>
      <w:r>
        <w:rPr>
          <w:rFonts w:ascii="Arial" w:cs="Arial" w:eastAsia="Arial" w:hAnsi="Arial"/>
          <w:b w:val="false"/>
          <w:bCs w:val="false"/>
          <w:i w:val="false"/>
          <w:iCs w:val="false"/>
          <w:color w:val="000000"/>
          <w:sz w:val="20"/>
          <w:szCs w:val="20"/>
        </w:rPr>
        <w:t xml:space="preserve">：ナレル等の未経験採用パイオニアに対する獲得・JV候補リスト。</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組織・ガバナンス</w:t>
      </w:r>
      <w:r>
        <w:rPr>
          <w:rFonts w:ascii="Arial" w:cs="Arial" w:eastAsia="Arial" w:hAnsi="Arial"/>
          <w:b w:val="false"/>
          <w:bCs w:val="false"/>
          <w:i w:val="false"/>
          <w:iCs w:val="false"/>
          <w:color w:val="000000"/>
          <w:sz w:val="20"/>
          <w:szCs w:val="20"/>
        </w:rPr>
        <w:t xml:space="preserve">：建設セグメント長の任期・後継者プラン、Carlyle出口後のKMPリテンション設計、グループ親法人（介護・医療事業との共通間接費配賦の妥当性）。</w:t>
      </w:r>
    </w:p>
    <w:p>
      <w:pPr>
        <w:spacing w:after="100" w:before="200"/>
      </w:pPr>
      <w:r>
        <w:rPr>
          <w:rFonts w:ascii="Arial" w:cs="Arial" w:eastAsia="Arial" w:hAnsi="Arial"/>
          <w:b/>
          <w:bCs/>
          <w:color w:val="2C4F7A"/>
          <w:sz w:val="25"/>
          <w:szCs w:val="25"/>
        </w:rPr>
        <w:t xml:space="preserve">① 事業概要</w:t>
      </w:r>
    </w:p>
    <w:p>
      <w:pPr>
        <w:spacing w:after="80" w:before="160"/>
      </w:pPr>
      <w:r>
        <w:rPr>
          <w:rFonts w:ascii="Arial" w:cs="Arial" w:eastAsia="Arial" w:hAnsi="Arial"/>
          <w:b/>
          <w:bCs/>
          <w:color w:val="404040"/>
          <w:sz w:val="23"/>
          <w:szCs w:val="23"/>
        </w:rPr>
        <w:t xml:space="preserve">1-1. 事業セグメント構造</w:t>
      </w:r>
    </w:p>
    <w:p>
      <w:pPr>
        <w:spacing w:after="80" w:before="0" w:line="280"/>
        <w:jc w:val="left"/>
      </w:pPr>
      <w:r>
        <w:rPr>
          <w:rFonts w:ascii="Arial" w:cs="Arial" w:eastAsia="Arial" w:hAnsi="Arial"/>
          <w:b w:val="false"/>
          <w:bCs w:val="false"/>
          <w:i w:val="false"/>
          <w:iCs w:val="false"/>
          <w:color w:val="000000"/>
          <w:sz w:val="21"/>
          <w:szCs w:val="21"/>
        </w:rPr>
        <w:t xml:space="preserve">連結ベースでは単一セグメント開示だが、管理会計上は介護・医療・建設の3領域に分かれる。建設領域＝対象会社の売上はFY22ほぼゼロ（M&amp;Aによる事業立ち上げ期）、FY23で6,740百万円、FY24で8,541百万円と急速に立ち上がっている。</w:t>
      </w:r>
    </w:p>
    <w:p>
      <w:pPr>
        <w:spacing w:after="80" w:before="0" w:line="280"/>
        <w:jc w:val="left"/>
      </w:pPr>
      <w:r>
        <w:rPr>
          <w:rFonts w:ascii="Arial" w:cs="Arial" w:eastAsia="Arial" w:hAnsi="Arial"/>
          <w:b/>
          <w:bCs/>
          <w:i w:val="false"/>
          <w:iCs w:val="false"/>
          <w:color w:val="000000"/>
          <w:sz w:val="21"/>
          <w:szCs w:val="21"/>
        </w:rPr>
        <w:t xml:space="preserve">必須テーブル A：建設セグメント／対象会社およびグループ連結 5期推移</w:t>
      </w:r>
    </w:p>
    <w:p>
      <w:pPr>
        <w:spacing w:after="80" w:before="0" w:line="280"/>
        <w:jc w:val="left"/>
      </w:pPr>
      <w:r>
        <w:rPr>
          <w:rFonts w:ascii="Arial" w:cs="Arial" w:eastAsia="Arial" w:hAnsi="Arial"/>
          <w:b w:val="false"/>
          <w:bCs w:val="false"/>
          <w:i w:val="false"/>
          <w:iCs w:val="false"/>
          <w:color w:val="000000"/>
          <w:sz w:val="21"/>
          <w:szCs w:val="21"/>
        </w:rPr>
        <w:t xml:space="preserve">連結セグメントは単一セグメント（IFRS）。下記「建設」はIR管理会計開示値、グループ連結は有報・IFRS。</w:t>
      </w:r>
    </w:p>
    <w:tbl>
      <w:tblPr>
        <w:tblW w:type="pct" w:w="100%"/>
        <w:tblBorders>
          <w:top w:val="single" w:color="BFBFBF" w:sz="4"/>
          <w:left w:val="single" w:color="BFBFBF" w:sz="4"/>
          <w:bottom w:val="single" w:color="BFBFBF" w:sz="4"/>
          <w:right w:val="single" w:color="BFBFBF" w:sz="4"/>
          <w:insideH w:val="single" w:color="BFBFBF" w:sz="2"/>
          <w:insideV w:val="single" w:color="BFBFBF" w:sz="2"/>
        </w:tblBorders>
      </w:tblPr>
      <w:tblGrid>
        <w:gridCol w:w="100"/>
        <w:gridCol w:w="100"/>
        <w:gridCol w:w="100"/>
        <w:gridCol w:w="100"/>
        <w:gridCol w:w="100"/>
        <w:gridCol w:w="100"/>
        <w:gridCol w:w="100"/>
      </w:tblGrid>
      <w:tr>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セグメント</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指標</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FY20</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FY21</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FY22</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FY23</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FY24</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グループ連結</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売上収益（百万円）</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不開示</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2,419</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44,195</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52,767</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57,116</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営業利益（百万円）</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不開示</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不開示</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不開示</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7,514</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5,186</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営業利益率（%）</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不開示</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不開示</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不開示</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14.2%</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9.1%</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EBITDA（百万円）</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不開示</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不開示</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不開示</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8,867</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6,705</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親会社株主帰属当期利益</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-0</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-532</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3,621</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4,901</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2,917</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連結従業員数（人）</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不開示</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5,104</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6,648</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7,512</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7,937</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建設（管理会計）</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売上（百万円）</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n.a.</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n.a.</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約0</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6,740</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8,541</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売上YoY（%）</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n.a.</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n.a.</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n.a.</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n.a.</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+27%</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セグメント営業利益</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不開示</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不開示</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不開示</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不開示</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不開示</w:t>
            </w:r>
          </w:p>
        </w:tc>
      </w:tr>
    </w:tbl>
    <w:p>
      <w:pPr>
        <w:spacing w:after="60" w:before="0" w:line="280"/>
        <w:jc w:val="left"/>
      </w:pPr>
      <w:r>
        <w:rPr>
          <w:rFonts w:ascii="Arial" w:cs="Arial" w:eastAsia="Arial" w:hAnsi="Arial"/>
          <w:b w:val="false"/>
          <w:bCs w:val="false"/>
          <w:i w:val="false"/>
          <w:iCs w:val="false"/>
          <w:color w:val="000000"/>
          <w:sz w:val="21"/>
          <w:szCs w:val="21"/>
        </w:rPr>
        <w:t xml:space="preserve"/>
      </w:r>
    </w:p>
    <w:p>
      <w:pPr>
        <w:spacing w:after="80" w:before="0" w:line="280"/>
        <w:jc w:val="left"/>
      </w:pPr>
      <w:r>
        <w:rPr>
          <w:rFonts w:ascii="Arial" w:cs="Arial" w:eastAsia="Arial" w:hAnsi="Arial"/>
          <w:b w:val="false"/>
          <w:bCs w:val="false"/>
          <w:i w:val="false"/>
          <w:iCs w:val="false"/>
          <w:color w:val="000000"/>
          <w:sz w:val="21"/>
          <w:szCs w:val="21"/>
        </w:rPr>
        <w:t xml:space="preserve">注：FY21は決算期間が短期（2021/11/30→2021/12/31の1ヶ月）であり、IFRS適用初年度かつLBO関連費用計上のため通常期と直接比較不可 [出典: 有報FY24 p.32]。建設セグメントは事実上FY23以降の事業。</w:t>
      </w:r>
    </w:p>
    <w:p>
      <w:pPr>
        <w:spacing w:after="80" w:before="0" w:line="280"/>
        <w:jc w:val="left"/>
      </w:pPr>
      <w:r>
        <w:rPr>
          <w:rFonts w:ascii="Arial" w:cs="Arial" w:eastAsia="Arial" w:hAnsi="Arial"/>
          <w:b/>
          <w:bCs/>
          <w:i w:val="false"/>
          <w:iCs w:val="false"/>
          <w:color w:val="000000"/>
          <w:sz w:val="21"/>
          <w:szCs w:val="21"/>
        </w:rPr>
        <w:t xml:space="preserve">必須テーブル B：直近期（FY24）IR開示3領域構成（管理会計／相殺消去前事業部門売上）</w:t>
      </w:r>
    </w:p>
    <w:p>
      <w:pPr>
        <w:spacing w:after="80" w:before="0" w:line="280"/>
        <w:jc w:val="left"/>
      </w:pPr>
      <w:r>
        <w:rPr>
          <w:rFonts w:ascii="Arial" w:cs="Arial" w:eastAsia="Arial" w:hAnsi="Arial"/>
          <w:b w:val="false"/>
          <w:bCs w:val="false"/>
          <w:i w:val="false"/>
          <w:iCs w:val="false"/>
          <w:color w:val="000000"/>
          <w:sz w:val="21"/>
          <w:szCs w:val="21"/>
        </w:rPr>
        <w:t xml:space="preserve">⚠️ 留意：本表の領域別売上は管理会計ベースのため、合計はグループ連結売上571.16億円と一致せず、相殺・グループ間取引が含まれている可能性あり。利益貢献源の可視化目的での参考値。</w:t>
      </w:r>
    </w:p>
    <w:tbl>
      <w:tblPr>
        <w:tblW w:type="pct" w:w="100%"/>
        <w:tblBorders>
          <w:top w:val="single" w:color="BFBFBF" w:sz="4"/>
          <w:left w:val="single" w:color="BFBFBF" w:sz="4"/>
          <w:bottom w:val="single" w:color="BFBFBF" w:sz="4"/>
          <w:right w:val="single" w:color="BFBFBF" w:sz="4"/>
          <w:insideH w:val="single" w:color="BFBFBF" w:sz="2"/>
          <w:insideV w:val="single" w:color="BFBFBF" w:sz="2"/>
        </w:tblBorders>
      </w:tblPr>
      <w:tblGrid>
        <w:gridCol w:w="100"/>
        <w:gridCol w:w="100"/>
        <w:gridCol w:w="100"/>
        <w:gridCol w:w="100"/>
        <w:gridCol w:w="100"/>
        <w:gridCol w:w="100"/>
      </w:tblGrid>
      <w:tr>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領域</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FY24売上（百万円）</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売上構成比（領域内）</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YoY</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営業利益</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営業利益率</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介護</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39,043</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59.5%</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+7%</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不開示</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不開示</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医療</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18,072</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27.5%</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+11%</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不開示</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不開示</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建設（対象会社）</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8,541</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13.0%</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+27%</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不開示</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不開示</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領域別合計</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65,656</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100.0%</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n.a.</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不開示</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不開示</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連結売上（参考）</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57,116</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+8%</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5,186</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9.1%</w:t>
            </w:r>
          </w:p>
        </w:tc>
      </w:tr>
    </w:tbl>
    <w:p>
      <w:pPr>
        <w:spacing w:after="60" w:before="0" w:line="280"/>
        <w:jc w:val="left"/>
      </w:pPr>
      <w:r>
        <w:rPr>
          <w:rFonts w:ascii="Arial" w:cs="Arial" w:eastAsia="Arial" w:hAnsi="Arial"/>
          <w:b w:val="false"/>
          <w:bCs w:val="false"/>
          <w:i w:val="false"/>
          <w:iCs w:val="false"/>
          <w:color w:val="000000"/>
          <w:sz w:val="21"/>
          <w:szCs w:val="21"/>
        </w:rPr>
        <w:t xml:space="preserve"/>
      </w:r>
    </w:p>
    <w:p>
      <w:pPr>
        <w:spacing w:after="80" w:before="0" w:line="280"/>
        <w:jc w:val="left"/>
      </w:pPr>
      <w:r>
        <w:rPr>
          <w:rFonts w:ascii="Arial" w:cs="Arial" w:eastAsia="Arial" w:hAnsi="Arial"/>
          <w:b w:val="false"/>
          <w:bCs w:val="false"/>
          <w:i w:val="false"/>
          <w:iCs w:val="false"/>
          <w:color w:val="000000"/>
          <w:sz w:val="21"/>
          <w:szCs w:val="21"/>
        </w:rPr>
        <w:t xml:space="preserve">[出典: トライトグループFY24決算説明資料 p.15-18／有報FY24]</w:t>
      </w:r>
    </w:p>
    <w:p>
      <w:pPr>
        <w:spacing w:after="80" w:before="160"/>
      </w:pPr>
      <w:r>
        <w:rPr>
          <w:rFonts w:ascii="Arial" w:cs="Arial" w:eastAsia="Arial" w:hAnsi="Arial"/>
          <w:b/>
          <w:bCs/>
          <w:color w:val="404040"/>
          <w:sz w:val="23"/>
          <w:szCs w:val="23"/>
        </w:rPr>
        <w:t xml:space="preserve">1-2. サービス・事業ライン（建設領域内訳）</w:t>
      </w:r>
    </w:p>
    <w:p>
      <w:pPr>
        <w:spacing w:after="80" w:before="0" w:line="280"/>
        <w:jc w:val="left"/>
      </w:pPr>
      <w:r>
        <w:rPr>
          <w:rFonts w:ascii="Arial" w:cs="Arial" w:eastAsia="Arial" w:hAnsi="Arial"/>
          <w:b w:val="false"/>
          <w:bCs w:val="false"/>
          <w:i w:val="false"/>
          <w:iCs w:val="false"/>
          <w:color w:val="000000"/>
          <w:sz w:val="21"/>
          <w:szCs w:val="21"/>
        </w:rPr>
        <w:t xml:space="preserve">⚠️ </w:t>
      </w:r>
      <w:r>
        <w:rPr>
          <w:rFonts w:ascii="Arial" w:cs="Arial" w:eastAsia="Arial" w:hAnsi="Arial"/>
          <w:b/>
          <w:bCs/>
          <w:i w:val="false"/>
          <w:iCs w:val="false"/>
          <w:color w:val="000000"/>
          <w:sz w:val="21"/>
          <w:szCs w:val="21"/>
        </w:rPr>
        <w:t xml:space="preserve">本レポートの中心論点</w:t>
      </w:r>
      <w:r>
        <w:rPr>
          <w:rFonts w:ascii="Arial" w:cs="Arial" w:eastAsia="Arial" w:hAnsi="Arial"/>
          <w:b w:val="false"/>
          <w:bCs w:val="false"/>
          <w:i w:val="false"/>
          <w:iCs w:val="false"/>
          <w:color w:val="000000"/>
          <w:sz w:val="21"/>
          <w:szCs w:val="21"/>
        </w:rPr>
        <w:t xml:space="preserve">：対象会社内のサービス別売上構成（FY24管理会計ベース）</w:t>
      </w:r>
    </w:p>
    <w:tbl>
      <w:tblPr>
        <w:tblW w:type="pct" w:w="100%"/>
        <w:tblBorders>
          <w:top w:val="single" w:color="BFBFBF" w:sz="4"/>
          <w:left w:val="single" w:color="BFBFBF" w:sz="4"/>
          <w:bottom w:val="single" w:color="BFBFBF" w:sz="4"/>
          <w:right w:val="single" w:color="BFBFBF" w:sz="4"/>
          <w:insideH w:val="single" w:color="BFBFBF" w:sz="2"/>
          <w:insideV w:val="single" w:color="BFBFBF" w:sz="2"/>
        </w:tblBorders>
      </w:tblPr>
      <w:tblGrid>
        <w:gridCol w:w="100"/>
        <w:gridCol w:w="100"/>
        <w:gridCol w:w="100"/>
        <w:gridCol w:w="100"/>
        <w:gridCol w:w="100"/>
      </w:tblGrid>
      <w:tr>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サービスライン（推定ラベル）</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FY23（百万円）</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FY24（百万円）</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YoY</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FY24構成比</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派遣（経験者層中心）</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3,298</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3,432</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+4%</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40.2%</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派遣（未経験者層中心）</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2,034</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3,619</w:t>
            </w:r>
          </w:p>
        </w:tc>
        <w:tc>
          <w:tcPr>
            <w:shd w:fill="F2F4F7" w:color="F2F4F7" w:val="solid"/>
            <w:tcMar>
              <w:top w:type="dxa" w:w="60"/>
              <w:left w:type="dxa" w:w="80"/>
              <w:bottom w:type="dxa" w:w="60"/>
              <w:right w:type="dxa" w:w="80"/>
            </w:tcMar>
          </w:tcPr>
          <w:p>
            <w:pPr>
              <w:spacing w:line="240"/>
              <w:jc w:val="left"/>
            </w:pPr>
            <w:r>
              <w:rPr>
                <w:rFonts w:ascii="Arial" w:cs="Arial" w:eastAsia="Arial" w:hAnsi="Arial"/>
                <w:b/>
                <w:bCs/>
                <w:i w:val="false"/>
                <w:iCs w:val="false"/>
                <w:color w:val="000000"/>
                <w:sz w:val="18"/>
                <w:szCs w:val="18"/>
              </w:rPr>
              <w:t xml:space="preserve">+78%</w:t>
            </w:r>
          </w:p>
        </w:tc>
        <w:tc>
          <w:tcPr>
            <w:shd w:fill="F2F4F7" w:color="F2F4F7" w:val="solid"/>
            <w:tcMar>
              <w:top w:type="dxa" w:w="60"/>
              <w:left w:type="dxa" w:w="80"/>
              <w:bottom w:type="dxa" w:w="60"/>
              <w:right w:type="dxa" w:w="80"/>
            </w:tcMar>
          </w:tcPr>
          <w:p>
            <w:pPr>
              <w:spacing w:line="240"/>
              <w:jc w:val="left"/>
            </w:pPr>
            <w:r>
              <w:rPr>
                <w:rFonts w:ascii="Arial" w:cs="Arial" w:eastAsia="Arial" w:hAnsi="Arial"/>
                <w:b/>
                <w:bCs/>
                <w:i w:val="false"/>
                <w:iCs w:val="false"/>
                <w:color w:val="000000"/>
                <w:sz w:val="18"/>
                <w:szCs w:val="18"/>
              </w:rPr>
              <w:t xml:space="preserve">42.4%</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紹介</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247</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315</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+27%</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3.7%</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その他（教育・研修・育成事業等）</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1,160</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1,175</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13.7%</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合計</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6,740</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8,541</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+27%</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100.0%</w:t>
            </w:r>
          </w:p>
        </w:tc>
      </w:tr>
    </w:tbl>
    <w:p>
      <w:pPr>
        <w:spacing w:after="60" w:before="0" w:line="280"/>
        <w:jc w:val="left"/>
      </w:pPr>
      <w:r>
        <w:rPr>
          <w:rFonts w:ascii="Arial" w:cs="Arial" w:eastAsia="Arial" w:hAnsi="Arial"/>
          <w:b w:val="false"/>
          <w:bCs w:val="false"/>
          <w:i w:val="false"/>
          <w:iCs w:val="false"/>
          <w:color w:val="000000"/>
          <w:sz w:val="21"/>
          <w:szCs w:val="21"/>
        </w:rPr>
        <w:t xml:space="preserve"/>
      </w:r>
    </w:p>
    <w:p>
      <w:pPr>
        <w:spacing w:after="80" w:before="0" w:line="280"/>
        <w:jc w:val="left"/>
      </w:pPr>
      <w:r>
        <w:rPr>
          <w:rFonts w:ascii="Arial" w:cs="Arial" w:eastAsia="Arial" w:hAnsi="Arial"/>
          <w:b w:val="false"/>
          <w:bCs w:val="false"/>
          <w:i w:val="false"/>
          <w:iCs w:val="false"/>
          <w:color w:val="000000"/>
          <w:sz w:val="21"/>
          <w:szCs w:val="21"/>
        </w:rPr>
        <w:t xml:space="preserve">[出典: トライトグループFY24決算説明資料 p.11／ラベリングは公開求人・採用ページからの推定（追加DDで確定要）]</w:t>
      </w:r>
    </w:p>
    <w:p>
      <w:pPr>
        <w:spacing w:after="80" w:before="0" w:line="280"/>
        <w:jc w:val="left"/>
      </w:pPr>
      <w:r>
        <w:rPr>
          <w:rFonts w:ascii="Arial" w:cs="Arial" w:eastAsia="Arial" w:hAnsi="Arial"/>
          <w:b/>
          <w:bCs/>
          <w:i w:val="false"/>
          <w:iCs w:val="false"/>
          <w:color w:val="000000"/>
          <w:sz w:val="21"/>
          <w:szCs w:val="21"/>
        </w:rPr>
        <w:t xml:space="preserve">主要サービスは2系統の建設施工管理技術者派遣</w:t>
      </w:r>
      <w:r>
        <w:rPr>
          <w:rFonts w:ascii="Arial" w:cs="Arial" w:eastAsia="Arial" w:hAnsi="Arial"/>
          <w:b w:val="false"/>
          <w:bCs w:val="false"/>
          <w:i w:val="false"/>
          <w:iCs w:val="false"/>
          <w:color w:val="000000"/>
          <w:sz w:val="21"/>
          <w:szCs w:val="21"/>
        </w:rPr>
        <w:t xml:space="preserve">：</w:t>
      </w:r>
    </w:p>
    <w:p>
      <w:pPr>
        <w:spacing w:after="80" w:before="0" w:line="280"/>
        <w:jc w:val="left"/>
      </w:pPr>
      <w:r>
        <w:rPr>
          <w:rFonts w:ascii="Arial" w:cs="Arial" w:eastAsia="Arial" w:hAnsi="Arial"/>
          <w:b w:val="false"/>
          <w:bCs w:val="false"/>
          <w:i w:val="false"/>
          <w:iCs w:val="false"/>
          <w:color w:val="000000"/>
          <w:sz w:val="21"/>
          <w:szCs w:val="21"/>
        </w:rPr>
        <w:t xml:space="preserve">第1に </w:t>
      </w:r>
      <w:r>
        <w:rPr>
          <w:rFonts w:ascii="Arial" w:cs="Arial" w:eastAsia="Arial" w:hAnsi="Arial"/>
          <w:b/>
          <w:bCs/>
          <w:i w:val="false"/>
          <w:iCs w:val="false"/>
          <w:color w:val="000000"/>
          <w:sz w:val="21"/>
          <w:szCs w:val="21"/>
        </w:rPr>
        <w:t xml:space="preserve">経験者層中心の派遣</w:t>
      </w:r>
      <w:r>
        <w:rPr>
          <w:rFonts w:ascii="Arial" w:cs="Arial" w:eastAsia="Arial" w:hAnsi="Arial"/>
          <w:b w:val="false"/>
          <w:bCs w:val="false"/>
          <w:i w:val="false"/>
          <w:iCs w:val="false"/>
          <w:color w:val="000000"/>
          <w:sz w:val="21"/>
          <w:szCs w:val="21"/>
        </w:rPr>
        <w:t xml:space="preserve">（推定ラベル）。1級・2級施工管理技士保有者を中心に、ゼネコン・サブコンの現場に即戦力派遣。月額単価は40-60万円/月レンジ（業界類推）で、稼働率を維持しやすく粗利率も比較的高い。FY24は前年比+4%と緩やかな成長で、対象会社の安定収益源（仮説）。</w:t>
      </w:r>
    </w:p>
    <w:p>
      <w:pPr>
        <w:spacing w:after="80" w:before="0" w:line="280"/>
        <w:jc w:val="left"/>
      </w:pPr>
      <w:r>
        <w:rPr>
          <w:rFonts w:ascii="Arial" w:cs="Arial" w:eastAsia="Arial" w:hAnsi="Arial"/>
          <w:b w:val="false"/>
          <w:bCs w:val="false"/>
          <w:i w:val="false"/>
          <w:iCs w:val="false"/>
          <w:color w:val="000000"/>
          <w:sz w:val="21"/>
          <w:szCs w:val="21"/>
        </w:rPr>
        <w:t xml:space="preserve">第2に </w:t>
      </w:r>
      <w:r>
        <w:rPr>
          <w:rFonts w:ascii="Arial" w:cs="Arial" w:eastAsia="Arial" w:hAnsi="Arial"/>
          <w:b/>
          <w:bCs/>
          <w:i w:val="false"/>
          <w:iCs w:val="false"/>
          <w:color w:val="000000"/>
          <w:sz w:val="21"/>
          <w:szCs w:val="21"/>
        </w:rPr>
        <w:t xml:space="preserve">未経験者層中心の派遣</w:t>
      </w:r>
      <w:r>
        <w:rPr>
          <w:rFonts w:ascii="Arial" w:cs="Arial" w:eastAsia="Arial" w:hAnsi="Arial"/>
          <w:b w:val="false"/>
          <w:bCs w:val="false"/>
          <w:i w:val="false"/>
          <w:iCs w:val="false"/>
          <w:color w:val="000000"/>
          <w:sz w:val="21"/>
          <w:szCs w:val="21"/>
        </w:rPr>
        <w:t xml:space="preserve">（推定ラベル）。建設業界未経験の若手・中途求職者を採用し、約3ヶ月のOJT研修と「建設人材キャリア応援プロジェクト」（2024年6月開始、施工管理技士・建築物環境衛生管理技術者・消防設備士のe-Learning資格取得支援）を提供した上で、施工管理補佐として現場派遣。FY24は前年比+78%成長と急拡大しており、対象会社の事実上の成長エンジン [出典: トライトE公式 about, https://tryt-eng.co.jp/about/]。</w:t>
      </w:r>
    </w:p>
    <w:p>
      <w:pPr>
        <w:spacing w:after="80" w:before="0" w:line="280"/>
        <w:jc w:val="left"/>
      </w:pPr>
      <w:r>
        <w:rPr>
          <w:rFonts w:ascii="Arial" w:cs="Arial" w:eastAsia="Arial" w:hAnsi="Arial"/>
          <w:b w:val="false"/>
          <w:bCs w:val="false"/>
          <w:i w:val="false"/>
          <w:iCs w:val="false"/>
          <w:color w:val="000000"/>
          <w:sz w:val="21"/>
          <w:szCs w:val="21"/>
        </w:rPr>
        <w:t xml:space="preserve">第3の </w:t>
      </w:r>
      <w:r>
        <w:rPr>
          <w:rFonts w:ascii="Arial" w:cs="Arial" w:eastAsia="Arial" w:hAnsi="Arial"/>
          <w:b/>
          <w:bCs/>
          <w:i w:val="false"/>
          <w:iCs w:val="false"/>
          <w:color w:val="000000"/>
          <w:sz w:val="21"/>
          <w:szCs w:val="21"/>
        </w:rPr>
        <w:t xml:space="preserve">紹介</w:t>
      </w:r>
      <w:r>
        <w:rPr>
          <w:rFonts w:ascii="Arial" w:cs="Arial" w:eastAsia="Arial" w:hAnsi="Arial"/>
          <w:b w:val="false"/>
          <w:bCs w:val="false"/>
          <w:i w:val="false"/>
          <w:iCs w:val="false"/>
          <w:color w:val="000000"/>
          <w:sz w:val="21"/>
          <w:szCs w:val="21"/>
        </w:rPr>
        <w:t xml:space="preserve"> は人材紹介手数料（紹介先採用時の成功報酬）で、FY24売上3.15億円・YoY+27%。第4の </w:t>
      </w:r>
      <w:r>
        <w:rPr>
          <w:rFonts w:ascii="Arial" w:cs="Arial" w:eastAsia="Arial" w:hAnsi="Arial"/>
          <w:b/>
          <w:bCs/>
          <w:i w:val="false"/>
          <w:iCs w:val="false"/>
          <w:color w:val="000000"/>
          <w:sz w:val="21"/>
          <w:szCs w:val="21"/>
        </w:rPr>
        <w:t xml:space="preserve">その他</w:t>
      </w:r>
      <w:r>
        <w:rPr>
          <w:rFonts w:ascii="Arial" w:cs="Arial" w:eastAsia="Arial" w:hAnsi="Arial"/>
          <w:b w:val="false"/>
          <w:bCs w:val="false"/>
          <w:i w:val="false"/>
          <w:iCs w:val="false"/>
          <w:color w:val="000000"/>
          <w:sz w:val="21"/>
          <w:szCs w:val="21"/>
        </w:rPr>
        <w:t xml:space="preserve"> は教育機関事業・研修受託・関連子会社売上（株式会社トライトキャリアグループ等）で、+1%と横ばい。</w:t>
      </w:r>
    </w:p>
    <w:p>
      <w:pPr>
        <w:spacing w:after="80" w:before="160"/>
      </w:pPr>
      <w:r>
        <w:rPr>
          <w:rFonts w:ascii="Arial" w:cs="Arial" w:eastAsia="Arial" w:hAnsi="Arial"/>
          <w:b/>
          <w:bCs/>
          <w:color w:val="404040"/>
          <w:sz w:val="23"/>
          <w:szCs w:val="23"/>
        </w:rPr>
        <w:t xml:space="preserve">1-3. 顧客構造</w:t>
      </w:r>
    </w:p>
    <w:p>
      <w:pPr>
        <w:spacing w:after="80" w:before="0" w:line="280"/>
        <w:jc w:val="left"/>
      </w:pPr>
      <w:r>
        <w:rPr>
          <w:rFonts w:ascii="Arial" w:cs="Arial" w:eastAsia="Arial" w:hAnsi="Arial"/>
          <w:b w:val="false"/>
          <w:bCs w:val="false"/>
          <w:i w:val="false"/>
          <w:iCs w:val="false"/>
          <w:color w:val="000000"/>
          <w:sz w:val="21"/>
          <w:szCs w:val="21"/>
        </w:rPr>
        <w:t xml:space="preserve">(仮説) 顧客は中堅ゼネコン・サブコン・専門工事業者を中心に分散している模様。有報の主要販売先（売上比10%以上）には記載なし＝</w:t>
      </w:r>
      <w:r>
        <w:rPr>
          <w:rFonts w:ascii="Arial" w:cs="Arial" w:eastAsia="Arial" w:hAnsi="Arial"/>
          <w:b/>
          <w:bCs/>
          <w:i w:val="false"/>
          <w:iCs w:val="false"/>
          <w:color w:val="000000"/>
          <w:sz w:val="21"/>
          <w:szCs w:val="21"/>
        </w:rPr>
        <w:t xml:space="preserve">特定顧客への10%以上集中なし</w:t>
      </w:r>
      <w:r>
        <w:rPr>
          <w:rFonts w:ascii="Arial" w:cs="Arial" w:eastAsia="Arial" w:hAnsi="Arial"/>
          <w:b w:val="false"/>
          <w:bCs w:val="false"/>
          <w:i w:val="false"/>
          <w:iCs w:val="false"/>
          <w:color w:val="000000"/>
          <w:sz w:val="21"/>
          <w:szCs w:val="21"/>
        </w:rPr>
        <w:t xml:space="preserve"> [出典: 有報FY24]。これは派遣業の典型的な分散構造に整合的だが、Top10集中度・業種別構成（ゼネコン／サブコン／設備工事／プラント／建築・土木）の詳細は未開示。追加DDで詰める。</w:t>
      </w:r>
    </w:p>
    <w:p>
      <w:pPr>
        <w:spacing w:after="80" w:before="0" w:line="280"/>
        <w:jc w:val="left"/>
      </w:pPr>
      <w:r>
        <w:rPr>
          <w:rFonts w:ascii="Arial" w:cs="Arial" w:eastAsia="Arial" w:hAnsi="Arial"/>
          <w:b w:val="false"/>
          <w:bCs w:val="false"/>
          <w:i w:val="false"/>
          <w:iCs w:val="false"/>
          <w:color w:val="000000"/>
          <w:sz w:val="21"/>
          <w:szCs w:val="21"/>
        </w:rPr>
        <w:t xml:space="preserve">地域構成：全国17拠点（2024年10月時点、北海道〜九州）、人口集中地域（首都圏・関西圏・中京圏）への偏在度は要確認 [出典: トライトE公式サイト, https://tryt-eng.co.jp/]。</w:t>
      </w:r>
    </w:p>
    <w:p>
      <w:pPr>
        <w:spacing w:after="80" w:before="160"/>
      </w:pPr>
      <w:r>
        <w:rPr>
          <w:rFonts w:ascii="Arial" w:cs="Arial" w:eastAsia="Arial" w:hAnsi="Arial"/>
          <w:b/>
          <w:bCs/>
          <w:color w:val="404040"/>
          <w:sz w:val="23"/>
          <w:szCs w:val="23"/>
        </w:rPr>
        <w:t xml:space="preserve">1-4. バリューチェーン上のポジション</w:t>
      </w:r>
    </w:p>
    <w:p>
      <w:pPr>
        <w:spacing w:after="80" w:before="0" w:line="280"/>
        <w:jc w:val="left"/>
      </w:pPr>
      <w:r>
        <w:rPr>
          <w:rFonts w:ascii="Arial" w:cs="Arial" w:eastAsia="Arial" w:hAnsi="Arial"/>
          <w:b w:val="false"/>
          <w:bCs w:val="false"/>
          <w:i w:val="false"/>
          <w:iCs w:val="false"/>
          <w:color w:val="000000"/>
          <w:sz w:val="21"/>
          <w:szCs w:val="21"/>
        </w:rPr>
        <w:t xml:space="preserve">対象会社は </w:t>
      </w:r>
      <w:r>
        <w:rPr>
          <w:rFonts w:ascii="Arial" w:cs="Arial" w:eastAsia="Arial" w:hAnsi="Arial"/>
          <w:b/>
          <w:bCs/>
          <w:i w:val="false"/>
          <w:iCs w:val="false"/>
          <w:color w:val="000000"/>
          <w:sz w:val="21"/>
          <w:szCs w:val="21"/>
        </w:rPr>
        <w:t xml:space="preserve">特定建設派遣事業者</w:t>
      </w:r>
      <w:r>
        <w:rPr>
          <w:rFonts w:ascii="Arial" w:cs="Arial" w:eastAsia="Arial" w:hAnsi="Arial"/>
          <w:b w:val="false"/>
          <w:bCs w:val="false"/>
          <w:i w:val="false"/>
          <w:iCs w:val="false"/>
          <w:color w:val="000000"/>
          <w:sz w:val="21"/>
          <w:szCs w:val="21"/>
        </w:rPr>
        <w:t xml:space="preserve"> として、求職者プール育成から派遣先派遣・紹介まで内製。育成インフラ（e-Learning、研修施設、メンタリング）を内製化しているのが業界平均より厚い構造。一方で、上流の求人媒体（Indeed、求人ボックス、自社サイト）と下流の派遣先開拓（営業）は両端ともリソース投入型。</w:t>
      </w:r>
    </w:p>
    <w:p>
      <w:pPr>
        <w:spacing w:after="80" w:before="0" w:line="280"/>
        <w:jc w:val="left"/>
      </w:pPr>
      <w:r>
        <w:rPr>
          <w:rFonts w:ascii="Arial" w:cs="Arial" w:eastAsia="Arial" w:hAnsi="Arial"/>
          <w:b w:val="false"/>
          <w:bCs w:val="false"/>
          <w:i w:val="false"/>
          <w:iCs w:val="false"/>
          <w:color w:val="000000"/>
          <w:sz w:val="21"/>
          <w:szCs w:val="21"/>
        </w:rPr>
        <w:t xml:space="preserve">主要工程：</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求人広告・スカウト（自社サイト、求人媒体経由）</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採用面談・適性審査（17拠点での個別面談）</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入社後OJT・座学研修（約3ヶ月）</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資格取得支援（建設人材キャリア応援プロジェクト、e-Learning）</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派遣先マッチング・派遣</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フォロー（月次安全衛生点検、産業医面談、LINE WORKS）</w:t>
      </w:r>
    </w:p>
    <w:p>
      <w:pPr>
        <w:spacing w:after="80" w:before="160"/>
      </w:pPr>
      <w:r>
        <w:rPr>
          <w:rFonts w:ascii="Arial" w:cs="Arial" w:eastAsia="Arial" w:hAnsi="Arial"/>
          <w:b/>
          <w:bCs/>
          <w:color w:val="404040"/>
          <w:sz w:val="23"/>
          <w:szCs w:val="23"/>
        </w:rPr>
        <w:t xml:space="preserve">1-5. 主要競合（建設技術者派遣事業者）</w:t>
      </w:r>
    </w:p>
    <w:tbl>
      <w:tblPr>
        <w:tblW w:type="pct" w:w="100%"/>
        <w:tblBorders>
          <w:top w:val="single" w:color="BFBFBF" w:sz="4"/>
          <w:left w:val="single" w:color="BFBFBF" w:sz="4"/>
          <w:bottom w:val="single" w:color="BFBFBF" w:sz="4"/>
          <w:right w:val="single" w:color="BFBFBF" w:sz="4"/>
          <w:insideH w:val="single" w:color="BFBFBF" w:sz="2"/>
          <w:insideV w:val="single" w:color="BFBFBF" w:sz="2"/>
        </w:tblBorders>
      </w:tblPr>
      <w:tblGrid>
        <w:gridCol w:w="100"/>
        <w:gridCol w:w="100"/>
        <w:gridCol w:w="100"/>
        <w:gridCol w:w="100"/>
      </w:tblGrid>
      <w:tr>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競合</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上場区分</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売上規模（建設派遣事業／時点）</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特徴</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オープンアップG（夢真HDの後継）</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東証P 2154</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約370億円（FY22/6・建設領域、技術者数約6,000人）</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業界最大手、経験者・未経験者ミックス</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コプロHD</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東証P 7059</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約300億円（FY24/3、+25%、技術者4,861名）</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ミックス型、地方拠点厚め</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テクノプロ・コンストラクション</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親会社東証P 6028（テクノプロHD）</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非開示（テクノプロHD連結技術者派遣1,998億円の内数）</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経験者中心、テクノプログループ顧客基盤活用</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ナレルグループ</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東証G 9163</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約193億円（FY24/10、建設89.5%）</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未経験採用パイオニア、業界教育インフラ最厚</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トライトエンジニアリング（対象会社）</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親会社東証G 9164（トライトG）</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85.41億円（FY24/12、+27%）</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未経験寄りミックス、3ヶ月OJT＋資格取得支援</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ライク</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東証P 2462</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数十億円規模（建設派遣はサブセグメント）</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介護・育児派遣中心</w:t>
            </w:r>
          </w:p>
        </w:tc>
      </w:tr>
    </w:tbl>
    <w:p>
      <w:pPr>
        <w:spacing w:after="60" w:before="0" w:line="280"/>
        <w:jc w:val="left"/>
      </w:pPr>
      <w:r>
        <w:rPr>
          <w:rFonts w:ascii="Arial" w:cs="Arial" w:eastAsia="Arial" w:hAnsi="Arial"/>
          <w:b w:val="false"/>
          <w:bCs w:val="false"/>
          <w:i w:val="false"/>
          <w:iCs w:val="false"/>
          <w:color w:val="000000"/>
          <w:sz w:val="21"/>
          <w:szCs w:val="21"/>
        </w:rPr>
        <w:t xml:space="preserve"/>
      </w:r>
    </w:p>
    <w:p>
      <w:pPr>
        <w:spacing w:after="80" w:before="0" w:line="280"/>
        <w:jc w:val="left"/>
      </w:pPr>
      <w:r>
        <w:rPr>
          <w:rFonts w:ascii="Arial" w:cs="Arial" w:eastAsia="Arial" w:hAnsi="Arial"/>
          <w:b w:val="false"/>
          <w:bCs w:val="false"/>
          <w:i w:val="false"/>
          <w:iCs w:val="false"/>
          <w:color w:val="000000"/>
          <w:sz w:val="21"/>
          <w:szCs w:val="21"/>
        </w:rPr>
        <w:t xml:space="preserve">[出典: 各社IR・有報、コプロHD2026/3 2Q決算説明、ログミーFinanceナレルグループ、業界動向サーチ]</w:t>
      </w:r>
    </w:p>
    <w:p>
      <w:pPr>
        <w:spacing w:after="80" w:before="160"/>
      </w:pPr>
      <w:r>
        <w:rPr>
          <w:rFonts w:ascii="Arial" w:cs="Arial" w:eastAsia="Arial" w:hAnsi="Arial"/>
          <w:b/>
          <w:bCs/>
          <w:color w:val="404040"/>
          <w:sz w:val="23"/>
          <w:szCs w:val="23"/>
        </w:rPr>
        <w:t xml:space="preserve">1-6. 沿革・資本構成</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2008年9月</w:t>
      </w:r>
      <w:r>
        <w:rPr>
          <w:rFonts w:ascii="Arial" w:cs="Arial" w:eastAsia="Arial" w:hAnsi="Arial"/>
          <w:b w:val="false"/>
          <w:bCs w:val="false"/>
          <w:i w:val="false"/>
          <w:iCs w:val="false"/>
          <w:color w:val="000000"/>
          <w:sz w:val="20"/>
          <w:szCs w:val="20"/>
        </w:rPr>
        <w:t xml:space="preserve">：株式会社トライト（医療福祉人材紹介）として創業。</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2017年〜2018年</w:t>
      </w:r>
      <w:r>
        <w:rPr>
          <w:rFonts w:ascii="Arial" w:cs="Arial" w:eastAsia="Arial" w:hAnsi="Arial"/>
          <w:b w:val="false"/>
          <w:bCs w:val="false"/>
          <w:i w:val="false"/>
          <w:iCs w:val="false"/>
          <w:color w:val="000000"/>
          <w:sz w:val="20"/>
          <w:szCs w:val="20"/>
        </w:rPr>
        <w:t xml:space="preserve">：The Carlyle Group が経営参画、LBOによる買収完了 [出典: 有報FY24]。</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2021年12月期</w:t>
      </w:r>
      <w:r>
        <w:rPr>
          <w:rFonts w:ascii="Arial" w:cs="Arial" w:eastAsia="Arial" w:hAnsi="Arial"/>
          <w:b w:val="false"/>
          <w:bCs w:val="false"/>
          <w:i w:val="false"/>
          <w:iCs w:val="false"/>
          <w:color w:val="000000"/>
          <w:sz w:val="20"/>
          <w:szCs w:val="20"/>
        </w:rPr>
        <w:t xml:space="preserve">：1ヶ月決算（IFRS初年度、グループ再編）。</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2022年〜</w:t>
      </w:r>
      <w:r>
        <w:rPr>
          <w:rFonts w:ascii="Arial" w:cs="Arial" w:eastAsia="Arial" w:hAnsi="Arial"/>
          <w:b w:val="false"/>
          <w:bCs w:val="false"/>
          <w:i w:val="false"/>
          <w:iCs w:val="false"/>
          <w:color w:val="000000"/>
          <w:sz w:val="20"/>
          <w:szCs w:val="20"/>
        </w:rPr>
        <w:t xml:space="preserve">：建設関連事業の本格立ち上げ（M&amp;Aを含む）。</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2023年6月20日</w:t>
      </w:r>
      <w:r>
        <w:rPr>
          <w:rFonts w:ascii="Arial" w:cs="Arial" w:eastAsia="Arial" w:hAnsi="Arial"/>
          <w:b w:val="false"/>
          <w:bCs w:val="false"/>
          <w:i w:val="false"/>
          <w:iCs w:val="false"/>
          <w:color w:val="000000"/>
          <w:sz w:val="20"/>
          <w:szCs w:val="20"/>
        </w:rPr>
        <w:t xml:space="preserve">：東証グロース市場上場（証券コード9164） [出典: IPO目論見書 2023/6/20]。</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2023年〜2024年</w:t>
      </w:r>
      <w:r>
        <w:rPr>
          <w:rFonts w:ascii="Arial" w:cs="Arial" w:eastAsia="Arial" w:hAnsi="Arial"/>
          <w:b w:val="false"/>
          <w:bCs w:val="false"/>
          <w:i w:val="false"/>
          <w:iCs w:val="false"/>
          <w:color w:val="000000"/>
          <w:sz w:val="20"/>
          <w:szCs w:val="20"/>
        </w:rPr>
        <w:t xml:space="preserve">：M&amp;A実行：人材サービスのDXツール「ND」関連、AIリハビリ、ICT医療機器（SpO2等）— 主に医療・介護領域 [出典: FY24決算説明資料 p.44]。</w:t>
      </w:r>
    </w:p>
    <w:p>
      <w:pPr>
        <w:spacing w:after="80" w:before="0" w:line="280"/>
        <w:jc w:val="left"/>
      </w:pPr>
      <w:r>
        <w:rPr>
          <w:rFonts w:ascii="Arial" w:cs="Arial" w:eastAsia="Arial" w:hAnsi="Arial"/>
          <w:b/>
          <w:bCs/>
          <w:i w:val="false"/>
          <w:iCs w:val="false"/>
          <w:color w:val="000000"/>
          <w:sz w:val="21"/>
          <w:szCs w:val="21"/>
        </w:rPr>
        <w:t xml:space="preserve">大株主上位10名（FY24末）</w:t>
      </w:r>
      <w:r>
        <w:rPr>
          <w:rFonts w:ascii="Arial" w:cs="Arial" w:eastAsia="Arial" w:hAnsi="Arial"/>
          <w:b w:val="false"/>
          <w:bCs w:val="false"/>
          <w:i w:val="false"/>
          <w:iCs w:val="false"/>
          <w:color w:val="000000"/>
          <w:sz w:val="21"/>
          <w:szCs w:val="21"/>
        </w:rPr>
        <w:t xml:space="preserve"> [出典: 有報FY24大株主の状況]</w:t>
      </w:r>
    </w:p>
    <w:tbl>
      <w:tblPr>
        <w:tblW w:type="pct" w:w="100%"/>
        <w:tblBorders>
          <w:top w:val="single" w:color="BFBFBF" w:sz="4"/>
          <w:left w:val="single" w:color="BFBFBF" w:sz="4"/>
          <w:bottom w:val="single" w:color="BFBFBF" w:sz="4"/>
          <w:right w:val="single" w:color="BFBFBF" w:sz="4"/>
          <w:insideH w:val="single" w:color="BFBFBF" w:sz="2"/>
          <w:insideV w:val="single" w:color="BFBFBF" w:sz="2"/>
        </w:tblBorders>
      </w:tblPr>
      <w:tblGrid>
        <w:gridCol w:w="100"/>
        <w:gridCol w:w="100"/>
        <w:gridCol w:w="100"/>
      </w:tblGrid>
      <w:tr>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順位</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株主名</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議決権比率</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LIFE SCIENCE &amp; DIGITAL HEALTH CO. LIMITED（Carlyle SPV、常任代理人SMBC日興証券）</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60.00%</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JP MORGAN CHASE BANK 385632（常任代理人みずほ銀行）</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4.44%</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3</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J.P. MORGAN BANK LUXEMBOURG S.A. 381572</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2.13%</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4</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NORTHERN TRUST CO.(AVFC) RE NON TREATY CLIENTS ACCOUNT</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1.90%</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5</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Goldman Sachs Bank Europe SE, Luxembourg Branch</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1.63%</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6</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MLI FOR CLIENT GENERAL OMNI NON COLLATERAL NON TREATY-PB</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1.60%</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7</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株式会社日本カストディ銀行（信託口）</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1.33%</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8</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BBH BOSTON FOR NOMURA JAPAN SMALLER CAPITALIZATION FUND 620065</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1.26%</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9</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JPMCB USA RESIDENTS PENSION JASDEC LEND 385051</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0.97%</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10</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野村證券株式会社</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0.51%</w:t>
            </w:r>
          </w:p>
        </w:tc>
      </w:tr>
    </w:tbl>
    <w:p>
      <w:pPr>
        <w:spacing w:after="60" w:before="0" w:line="280"/>
        <w:jc w:val="left"/>
      </w:pPr>
      <w:r>
        <w:rPr>
          <w:rFonts w:ascii="Arial" w:cs="Arial" w:eastAsia="Arial" w:hAnsi="Arial"/>
          <w:b w:val="false"/>
          <w:bCs w:val="false"/>
          <w:i w:val="false"/>
          <w:iCs w:val="false"/>
          <w:color w:val="000000"/>
          <w:sz w:val="21"/>
          <w:szCs w:val="21"/>
        </w:rPr>
        <w:t xml:space="preserve"/>
      </w:r>
    </w:p>
    <w:p>
      <w:pPr>
        <w:spacing w:after="80" w:before="0" w:line="280"/>
        <w:jc w:val="left"/>
      </w:pPr>
      <w:r>
        <w:rPr>
          <w:rFonts w:ascii="Arial" w:cs="Arial" w:eastAsia="Arial" w:hAnsi="Arial"/>
          <w:b w:val="false"/>
          <w:bCs w:val="false"/>
          <w:i w:val="false"/>
          <w:iCs w:val="false"/>
          <w:color w:val="000000"/>
          <w:sz w:val="21"/>
          <w:szCs w:val="21"/>
        </w:rPr>
        <w:t xml:space="preserve">Carlyle系SPVが60%継続保有、上場後の機関投資家保有は分散。</w:t>
      </w:r>
      <w:r>
        <w:rPr>
          <w:rFonts w:ascii="Arial" w:cs="Arial" w:eastAsia="Arial" w:hAnsi="Arial"/>
          <w:b/>
          <w:bCs/>
          <w:i w:val="false"/>
          <w:iCs w:val="false"/>
          <w:color w:val="000000"/>
          <w:sz w:val="21"/>
          <w:szCs w:val="21"/>
        </w:rPr>
        <w:t xml:space="preserve">主要DD論点としてCarlyleの出口戦略（マーケット売出し／戦略的売却／TOB）と、その際の対象会社カーブアウト可能性が最重要</w:t>
      </w:r>
      <w:r>
        <w:rPr>
          <w:rFonts w:ascii="Arial" w:cs="Arial" w:eastAsia="Arial" w:hAnsi="Arial"/>
          <w:b w:val="false"/>
          <w:bCs w:val="false"/>
          <w:i w:val="false"/>
          <w:iCs w:val="false"/>
          <w:color w:val="000000"/>
          <w:sz w:val="21"/>
          <w:szCs w:val="21"/>
        </w:rPr>
        <w:t xml:space="preserve">。</w:t>
      </w:r>
    </w:p>
    <w:p>
      <w:pPr>
        <w:spacing w:after="100" w:before="200"/>
      </w:pPr>
      <w:r>
        <w:rPr>
          <w:rFonts w:ascii="Arial" w:cs="Arial" w:eastAsia="Arial" w:hAnsi="Arial"/>
          <w:b/>
          <w:bCs/>
          <w:color w:val="2C4F7A"/>
          <w:sz w:val="25"/>
          <w:szCs w:val="25"/>
        </w:rPr>
        <w:t xml:space="preserve">② 事業の堅牢性</w:t>
      </w:r>
    </w:p>
    <w:p>
      <w:pPr>
        <w:spacing w:after="80" w:before="160"/>
      </w:pPr>
      <w:r>
        <w:rPr>
          <w:rFonts w:ascii="Arial" w:cs="Arial" w:eastAsia="Arial" w:hAnsi="Arial"/>
          <w:b/>
          <w:bCs/>
          <w:color w:val="404040"/>
          <w:sz w:val="23"/>
          <w:szCs w:val="23"/>
        </w:rPr>
        <w:t xml:space="preserve">2-1. 市場性 — 建設技術者派遣市場</w:t>
      </w:r>
    </w:p>
    <w:p>
      <w:pPr>
        <w:spacing w:after="80" w:before="0" w:line="280"/>
        <w:jc w:val="left"/>
      </w:pPr>
      <w:r>
        <w:rPr>
          <w:rFonts w:ascii="Arial" w:cs="Arial" w:eastAsia="Arial" w:hAnsi="Arial"/>
          <w:b w:val="false"/>
          <w:bCs w:val="false"/>
          <w:i w:val="false"/>
          <w:iCs w:val="false"/>
          <w:color w:val="000000"/>
          <w:sz w:val="21"/>
          <w:szCs w:val="21"/>
        </w:rPr>
        <w:t xml:space="preserve">建設業向け人材サービス市場は2024年度6,200億円（YoY+6.9%）と堅調拡大しており、2030年に向けた構造的需給逼迫から年率4-6%成長が継続見通し（仮説） [出典: 矢野経済研究所2025年版]。</w:t>
      </w:r>
    </w:p>
    <w:p>
      <w:pPr>
        <w:spacing w:after="80" w:before="0" w:line="280"/>
        <w:jc w:val="left"/>
      </w:pPr>
      <w:r>
        <w:rPr>
          <w:rFonts w:ascii="Arial" w:cs="Arial" w:eastAsia="Arial" w:hAnsi="Arial"/>
          <w:b/>
          <w:bCs/>
          <w:i w:val="false"/>
          <w:iCs w:val="false"/>
          <w:color w:val="000000"/>
          <w:sz w:val="21"/>
          <w:szCs w:val="21"/>
        </w:rPr>
        <w:t xml:space="preserve">(1) 市場規模の推移（実績・予測）</w:t>
      </w:r>
    </w:p>
    <w:tbl>
      <w:tblPr>
        <w:tblW w:type="pct" w:w="100%"/>
        <w:tblBorders>
          <w:top w:val="single" w:color="BFBFBF" w:sz="4"/>
          <w:left w:val="single" w:color="BFBFBF" w:sz="4"/>
          <w:bottom w:val="single" w:color="BFBFBF" w:sz="4"/>
          <w:right w:val="single" w:color="BFBFBF" w:sz="4"/>
          <w:insideH w:val="single" w:color="BFBFBF" w:sz="2"/>
          <w:insideV w:val="single" w:color="BFBFBF" w:sz="2"/>
        </w:tblBorders>
      </w:tblPr>
      <w:tblGrid>
        <w:gridCol w:w="100"/>
        <w:gridCol w:w="100"/>
        <w:gridCol w:w="100"/>
        <w:gridCol w:w="100"/>
        <w:gridCol w:w="100"/>
        <w:gridCol w:w="100"/>
      </w:tblGrid>
      <w:tr>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市場</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直近規模（年明記）</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期間</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実績/予測</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CAGR</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出典</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建設業向け人材サービス（全派遣・紹介）</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6,200億円（2024）</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2020→2024</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実績</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+5〜7%（推定）</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矢野経済研究所2025</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建設業向け人材サービス（同）</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8,000-8,500億円（2030想定）</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2024→2030</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予測</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+4〜6%</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業界類推（仮説）</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建設エンジニア派遣（狭義）</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1兆円超（2030想定・民間予測）</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2024→2030</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予測</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+4〜6%</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Xenobrain予測</w:t>
            </w:r>
          </w:p>
        </w:tc>
      </w:tr>
    </w:tbl>
    <w:p>
      <w:pPr>
        <w:spacing w:after="60" w:before="0" w:line="280"/>
        <w:jc w:val="left"/>
      </w:pPr>
      <w:r>
        <w:rPr>
          <w:rFonts w:ascii="Arial" w:cs="Arial" w:eastAsia="Arial" w:hAnsi="Arial"/>
          <w:b w:val="false"/>
          <w:bCs w:val="false"/>
          <w:i w:val="false"/>
          <w:iCs w:val="false"/>
          <w:color w:val="000000"/>
          <w:sz w:val="21"/>
          <w:szCs w:val="21"/>
        </w:rPr>
        <w:t xml:space="preserve"/>
      </w:r>
    </w:p>
    <w:p>
      <w:pPr>
        <w:spacing w:after="80" w:before="0" w:line="280"/>
        <w:jc w:val="left"/>
      </w:pPr>
      <w:r>
        <w:rPr>
          <w:rFonts w:ascii="Arial" w:cs="Arial" w:eastAsia="Arial" w:hAnsi="Arial"/>
          <w:b/>
          <w:bCs/>
          <w:i w:val="false"/>
          <w:iCs w:val="false"/>
          <w:color w:val="000000"/>
          <w:sz w:val="21"/>
          <w:szCs w:val="21"/>
        </w:rPr>
        <w:t xml:space="preserve">(2) 数量／市場規模ドライバーの特定</w:t>
      </w:r>
    </w:p>
    <w:p>
      <w:pPr>
        <w:spacing w:after="80" w:before="0" w:line="280"/>
        <w:jc w:val="left"/>
      </w:pPr>
      <w:r>
        <w:rPr>
          <w:rFonts w:ascii="Arial" w:cs="Arial" w:eastAsia="Arial" w:hAnsi="Arial"/>
          <w:b w:val="false"/>
          <w:bCs w:val="false"/>
          <w:i w:val="false"/>
          <w:iCs w:val="false"/>
          <w:color w:val="000000"/>
          <w:sz w:val="21"/>
          <w:szCs w:val="21"/>
        </w:rPr>
        <w:t xml:space="preserve">第1の数量ドライバーは </w:t>
      </w:r>
      <w:r>
        <w:rPr>
          <w:rFonts w:ascii="Arial" w:cs="Arial" w:eastAsia="Arial" w:hAnsi="Arial"/>
          <w:b/>
          <w:bCs/>
          <w:i w:val="false"/>
          <w:iCs w:val="false"/>
          <w:color w:val="000000"/>
          <w:sz w:val="21"/>
          <w:szCs w:val="21"/>
        </w:rPr>
        <w:t xml:space="preserve">建設技能者・技術者の構造的不足</w:t>
      </w:r>
      <w:r>
        <w:rPr>
          <w:rFonts w:ascii="Arial" w:cs="Arial" w:eastAsia="Arial" w:hAnsi="Arial"/>
          <w:b w:val="false"/>
          <w:bCs w:val="false"/>
          <w:i w:val="false"/>
          <w:iCs w:val="false"/>
          <w:color w:val="000000"/>
          <w:sz w:val="21"/>
          <w:szCs w:val="21"/>
        </w:rPr>
        <w:t xml:space="preserve">。建設業就業者数は1997年685万人→2021年485万人（▲29%）と長期減少しており、2030年に400万人、2040年に300万人割れの試算がある。55歳以上が35.5%・29歳以下が12.0%と高齢化が進行し、2030年までに技能者の約35%が引退年齢に到達 [出典: 国交省R7建設業参考資料]。</w:t>
      </w:r>
    </w:p>
    <w:p>
      <w:pPr>
        <w:spacing w:after="80" w:before="0" w:line="280"/>
        <w:jc w:val="left"/>
      </w:pPr>
      <w:r>
        <w:rPr>
          <w:rFonts w:ascii="Arial" w:cs="Arial" w:eastAsia="Arial" w:hAnsi="Arial"/>
          <w:b w:val="false"/>
          <w:bCs w:val="false"/>
          <w:i w:val="false"/>
          <w:iCs w:val="false"/>
          <w:color w:val="000000"/>
          <w:sz w:val="21"/>
          <w:szCs w:val="21"/>
        </w:rPr>
        <w:t xml:space="preserve">第2のドライバーは </w:t>
      </w:r>
      <w:r>
        <w:rPr>
          <w:rFonts w:ascii="Arial" w:cs="Arial" w:eastAsia="Arial" w:hAnsi="Arial"/>
          <w:b/>
          <w:bCs/>
          <w:i w:val="false"/>
          <w:iCs w:val="false"/>
          <w:color w:val="000000"/>
          <w:sz w:val="21"/>
          <w:szCs w:val="21"/>
        </w:rPr>
        <w:t xml:space="preserve">2024年問題</w:t>
      </w:r>
      <w:r>
        <w:rPr>
          <w:rFonts w:ascii="Arial" w:cs="Arial" w:eastAsia="Arial" w:hAnsi="Arial"/>
          <w:b w:val="false"/>
          <w:bCs w:val="false"/>
          <w:i w:val="false"/>
          <w:iCs w:val="false"/>
          <w:color w:val="000000"/>
          <w:sz w:val="21"/>
          <w:szCs w:val="21"/>
        </w:rPr>
        <w:t xml:space="preserve">。2024年4月から時間外労働上限規制（原則月45h/年360h）が建設業に適用され、週休2日確保前提の工期設定が国交省発注工事で原則化された。同一プロジェクトを完遂するために必要な技術者頭数が増加し、派遣・紹介需要を直接押し上げる [出典: 厚労省 建設業 時間外労働上限規制解説、日経xTECH]。</w:t>
      </w:r>
    </w:p>
    <w:p>
      <w:pPr>
        <w:spacing w:after="80" w:before="0" w:line="280"/>
        <w:jc w:val="left"/>
      </w:pPr>
      <w:r>
        <w:rPr>
          <w:rFonts w:ascii="Arial" w:cs="Arial" w:eastAsia="Arial" w:hAnsi="Arial"/>
          <w:b w:val="false"/>
          <w:bCs w:val="false"/>
          <w:i w:val="false"/>
          <w:iCs w:val="false"/>
          <w:color w:val="000000"/>
          <w:sz w:val="21"/>
          <w:szCs w:val="21"/>
        </w:rPr>
        <w:t xml:space="preserve">第3のドライバーは </w:t>
      </w:r>
      <w:r>
        <w:rPr>
          <w:rFonts w:ascii="Arial" w:cs="Arial" w:eastAsia="Arial" w:hAnsi="Arial"/>
          <w:b/>
          <w:bCs/>
          <w:i w:val="false"/>
          <w:iCs w:val="false"/>
          <w:color w:val="000000"/>
          <w:sz w:val="21"/>
          <w:szCs w:val="21"/>
        </w:rPr>
        <w:t xml:space="preserve">建設投資の量的拡大</w:t>
      </w:r>
      <w:r>
        <w:rPr>
          <w:rFonts w:ascii="Arial" w:cs="Arial" w:eastAsia="Arial" w:hAnsi="Arial"/>
          <w:b w:val="false"/>
          <w:bCs w:val="false"/>
          <w:i w:val="false"/>
          <w:iCs w:val="false"/>
          <w:color w:val="000000"/>
          <w:sz w:val="21"/>
          <w:szCs w:val="21"/>
        </w:rPr>
        <w:t xml:space="preserve">。大阪・関西万博、半導体（TSMC熊本・Rapidus北海道）、データセンター（首都圏、関西、九州）、再開発（東京・大阪・名古屋）、インフラ老朽化対策・防災投資が並走しており、施工管理人材の絶対数需要は増加局面が継続見込み（仮説）。</w:t>
      </w:r>
    </w:p>
    <w:p>
      <w:pPr>
        <w:spacing w:after="80" w:before="0" w:line="280"/>
        <w:jc w:val="left"/>
      </w:pPr>
      <w:r>
        <w:rPr>
          <w:rFonts w:ascii="Arial" w:cs="Arial" w:eastAsia="Arial" w:hAnsi="Arial"/>
          <w:b/>
          <w:bCs/>
          <w:i w:val="false"/>
          <w:iCs w:val="false"/>
          <w:color w:val="000000"/>
          <w:sz w:val="21"/>
          <w:szCs w:val="21"/>
        </w:rPr>
        <w:t xml:space="preserve">(3) 各ドライバーの近年／将来の考察</w:t>
      </w:r>
    </w:p>
    <w:p>
      <w:pPr>
        <w:spacing w:after="80" w:before="0" w:line="280"/>
        <w:jc w:val="left"/>
      </w:pPr>
      <w:r>
        <w:rPr>
          <w:rFonts w:ascii="Arial" w:cs="Arial" w:eastAsia="Arial" w:hAnsi="Arial"/>
          <w:b w:val="false"/>
          <w:bCs w:val="false"/>
          <w:i w:val="false"/>
          <w:iCs w:val="false"/>
          <w:color w:val="000000"/>
          <w:sz w:val="21"/>
          <w:szCs w:val="21"/>
        </w:rPr>
        <w:t xml:space="preserve">人材不足ドライバーは構造的・不可逆的で、移民労働者制度の拡張（特定技能2号建設）や女性参入率の改善があっても、純減トレンドは変わらないと見られる（仮説）。2024年問題は短期インパクトが既に発現中であり、向こう3-5年は技術者派遣・紹介の単価上昇余地が継続する公算。</w:t>
      </w:r>
    </w:p>
    <w:p>
      <w:pPr>
        <w:spacing w:after="80" w:before="0" w:line="280"/>
        <w:jc w:val="left"/>
      </w:pPr>
      <w:r>
        <w:rPr>
          <w:rFonts w:ascii="Arial" w:cs="Arial" w:eastAsia="Arial" w:hAnsi="Arial"/>
          <w:b w:val="false"/>
          <w:bCs w:val="false"/>
          <w:i w:val="false"/>
          <w:iCs w:val="false"/>
          <w:color w:val="000000"/>
          <w:sz w:val="21"/>
          <w:szCs w:val="21"/>
        </w:rPr>
        <w:t xml:space="preserve">建設投資の量的ドライバーは2025-2030年は強気だが、2030年代後半から減速可能性あり（万博・半導体集中投資の収束、人口減少による建築新設需要鈍化）。長期的にはインフラ更新・修繕・解体撤去にシフトする見通し。</w:t>
      </w:r>
    </w:p>
    <w:p>
      <w:pPr>
        <w:spacing w:after="80" w:before="0" w:line="280"/>
        <w:jc w:val="left"/>
      </w:pPr>
      <w:r>
        <w:rPr>
          <w:rFonts w:ascii="Arial" w:cs="Arial" w:eastAsia="Arial" w:hAnsi="Arial"/>
          <w:b/>
          <w:bCs/>
          <w:i w:val="false"/>
          <w:iCs w:val="false"/>
          <w:color w:val="000000"/>
          <w:sz w:val="21"/>
          <w:szCs w:val="21"/>
        </w:rPr>
        <w:t xml:space="preserve">(4) 将来の市場規模見通し</w:t>
      </w:r>
    </w:p>
    <w:p>
      <w:pPr>
        <w:spacing w:after="80" w:before="0" w:line="280"/>
        <w:jc w:val="left"/>
      </w:pPr>
      <w:r>
        <w:rPr>
          <w:rFonts w:ascii="Arial" w:cs="Arial" w:eastAsia="Arial" w:hAnsi="Arial"/>
          <w:b w:val="false"/>
          <w:bCs w:val="false"/>
          <w:i w:val="false"/>
          <w:iCs w:val="false"/>
          <w:color w:val="000000"/>
          <w:sz w:val="21"/>
          <w:szCs w:val="21"/>
        </w:rPr>
        <w:t xml:space="preserve">人材サービス市場（広義）は2024→2030でCAGR+4〜6%、建設エンジニア派遣（狭義）は1兆円規模到達（仮説）。狭義建設エンジニア派遣のうち未経験採用モデルへのシフトが構造変化として進む見通し。</w:t>
      </w:r>
    </w:p>
    <w:p>
      <w:pPr>
        <w:spacing w:after="80" w:before="160"/>
      </w:pPr>
      <w:r>
        <w:rPr>
          <w:rFonts w:ascii="Arial" w:cs="Arial" w:eastAsia="Arial" w:hAnsi="Arial"/>
          <w:b/>
          <w:bCs/>
          <w:color w:val="404040"/>
          <w:sz w:val="23"/>
          <w:szCs w:val="23"/>
        </w:rPr>
        <w:t xml:space="preserve">2-2. 対象会社シェア</w:t>
      </w:r>
    </w:p>
    <w:p>
      <w:pPr>
        <w:spacing w:after="80" w:before="0" w:line="280"/>
        <w:jc w:val="left"/>
      </w:pPr>
      <w:r>
        <w:rPr>
          <w:rFonts w:ascii="Arial" w:cs="Arial" w:eastAsia="Arial" w:hAnsi="Arial"/>
          <w:b w:val="false"/>
          <w:bCs w:val="false"/>
          <w:i w:val="false"/>
          <w:iCs w:val="false"/>
          <w:color w:val="000000"/>
          <w:sz w:val="21"/>
          <w:szCs w:val="21"/>
        </w:rPr>
        <w:t xml:space="preserve">対象会社の建設技術者派遣市場におけるシェアは </w:t>
      </w:r>
      <w:r>
        <w:rPr>
          <w:rFonts w:ascii="Arial" w:cs="Arial" w:eastAsia="Arial" w:hAnsi="Arial"/>
          <w:b/>
          <w:bCs/>
          <w:i w:val="false"/>
          <w:iCs w:val="false"/>
          <w:color w:val="000000"/>
          <w:sz w:val="21"/>
          <w:szCs w:val="21"/>
        </w:rPr>
        <w:t xml:space="preserve">約1.4%</w:t>
      </w:r>
      <w:r>
        <w:rPr>
          <w:rFonts w:ascii="Arial" w:cs="Arial" w:eastAsia="Arial" w:hAnsi="Arial"/>
          <w:b w:val="false"/>
          <w:bCs w:val="false"/>
          <w:i w:val="false"/>
          <w:iCs w:val="false"/>
          <w:color w:val="000000"/>
          <w:sz w:val="21"/>
          <w:szCs w:val="21"/>
        </w:rPr>
        <w:t xml:space="preserve">（FY24売上85億円÷市場規模6,200億円、仮説計算）と業界4-5位グループに位置する。最大手のオープンアップG（370億円・約6%）、コプロHD（300億円・約5%）、ナレル（193億円・約3%）に次ぐ規模であり、上位3社合計シェア約14%・対象会社含む上位5社で約16%と業界は </w:t>
      </w:r>
      <w:r>
        <w:rPr>
          <w:rFonts w:ascii="Arial" w:cs="Arial" w:eastAsia="Arial" w:hAnsi="Arial"/>
          <w:b/>
          <w:bCs/>
          <w:i w:val="false"/>
          <w:iCs w:val="false"/>
          <w:color w:val="000000"/>
          <w:sz w:val="21"/>
          <w:szCs w:val="21"/>
        </w:rPr>
        <w:t xml:space="preserve">依然として断片化</w:t>
      </w:r>
      <w:r>
        <w:rPr>
          <w:rFonts w:ascii="Arial" w:cs="Arial" w:eastAsia="Arial" w:hAnsi="Arial"/>
          <w:b w:val="false"/>
          <w:bCs w:val="false"/>
          <w:i w:val="false"/>
          <w:iCs w:val="false"/>
          <w:color w:val="000000"/>
          <w:sz w:val="21"/>
          <w:szCs w:val="21"/>
        </w:rPr>
        <w:t xml:space="preserve"> している（仮説）。</w:t>
      </w:r>
    </w:p>
    <w:p>
      <w:pPr>
        <w:spacing w:after="80" w:before="0" w:line="280"/>
        <w:jc w:val="left"/>
      </w:pPr>
      <w:r>
        <w:rPr>
          <w:rFonts w:ascii="Arial" w:cs="Arial" w:eastAsia="Arial" w:hAnsi="Arial"/>
          <w:b/>
          <w:bCs/>
          <w:i w:val="false"/>
          <w:iCs w:val="false"/>
          <w:color w:val="000000"/>
          <w:sz w:val="21"/>
          <w:szCs w:val="21"/>
        </w:rPr>
        <w:t xml:space="preserve">(1) 現状シェア／競合プレイヤーマッピング</w:t>
      </w:r>
    </w:p>
    <w:p>
      <w:pPr>
        <w:spacing w:after="80" w:before="0" w:line="280"/>
        <w:jc w:val="left"/>
      </w:pPr>
      <w:r>
        <w:rPr>
          <w:rFonts w:ascii="Arial" w:cs="Arial" w:eastAsia="Arial" w:hAnsi="Arial"/>
          <w:b w:val="false"/>
          <w:bCs w:val="false"/>
          <w:i w:val="false"/>
          <w:iCs w:val="false"/>
          <w:color w:val="000000"/>
          <w:sz w:val="21"/>
          <w:szCs w:val="21"/>
        </w:rPr>
        <w:t xml:space="preserve">業界はサービス類型別に2軸でマッピングできる：</w:t>
      </w:r>
    </w:p>
    <w:p>
      <w:pPr>
        <w:spacing w:after="80" w:before="0" w:line="280"/>
        <w:jc w:val="left"/>
      </w:pPr>
      <w:r>
        <w:rPr>
          <w:rFonts w:ascii="Arial" w:cs="Arial" w:eastAsia="Arial" w:hAnsi="Arial"/>
          <w:b w:val="false"/>
          <w:bCs w:val="false"/>
          <w:i w:val="false"/>
          <w:iCs w:val="false"/>
          <w:color w:val="000000"/>
          <w:sz w:val="21"/>
          <w:szCs w:val="21"/>
        </w:rPr>
        <w:t xml:space="preserve">第1軸：</w:t>
      </w:r>
      <w:r>
        <w:rPr>
          <w:rFonts w:ascii="Arial" w:cs="Arial" w:eastAsia="Arial" w:hAnsi="Arial"/>
          <w:b/>
          <w:bCs/>
          <w:i w:val="false"/>
          <w:iCs w:val="false"/>
          <w:color w:val="000000"/>
          <w:sz w:val="21"/>
          <w:szCs w:val="21"/>
        </w:rPr>
        <w:t xml:space="preserve">経験者中心 ⇔ 未経験者中心</w:t>
      </w:r>
      <w:r>
        <w:rPr>
          <w:rFonts w:ascii="Arial" w:cs="Arial" w:eastAsia="Arial" w:hAnsi="Arial"/>
          <w:b w:val="false"/>
          <w:bCs w:val="false"/>
          <w:i w:val="false"/>
          <w:iCs w:val="false"/>
          <w:color w:val="000000"/>
          <w:sz w:val="21"/>
          <w:szCs w:val="21"/>
        </w:rPr>
        <w:t xml:space="preserve">。経験者中心はテクノプロ・コンストラクションが代表（テクノプログループの法人顧客基盤活用）。未経験者中心はナレルグループが代表で、年1,000人超の未経験採用パイプラインを持つ。</w:t>
      </w:r>
      <w:r>
        <w:rPr>
          <w:rFonts w:ascii="Arial" w:cs="Arial" w:eastAsia="Arial" w:hAnsi="Arial"/>
          <w:b/>
          <w:bCs/>
          <w:i w:val="false"/>
          <w:iCs w:val="false"/>
          <w:color w:val="000000"/>
          <w:sz w:val="21"/>
          <w:szCs w:val="21"/>
        </w:rPr>
        <w:t xml:space="preserve">対象会社は未経験寄りミックス型</w:t>
      </w:r>
      <w:r>
        <w:rPr>
          <w:rFonts w:ascii="Arial" w:cs="Arial" w:eastAsia="Arial" w:hAnsi="Arial"/>
          <w:b w:val="false"/>
          <w:bCs w:val="false"/>
          <w:i w:val="false"/>
          <w:iCs w:val="false"/>
          <w:color w:val="000000"/>
          <w:sz w:val="21"/>
          <w:szCs w:val="21"/>
        </w:rPr>
        <w:t xml:space="preserve"> で、経験者派遣（FY24売上34.32億円）と未経験者派遣（同36.19億円）がほぼ拮抗、未経験者ラインは+78%成長中。</w:t>
      </w:r>
    </w:p>
    <w:p>
      <w:pPr>
        <w:spacing w:after="80" w:before="0" w:line="280"/>
        <w:jc w:val="left"/>
      </w:pPr>
      <w:r>
        <w:rPr>
          <w:rFonts w:ascii="Arial" w:cs="Arial" w:eastAsia="Arial" w:hAnsi="Arial"/>
          <w:b w:val="false"/>
          <w:bCs w:val="false"/>
          <w:i w:val="false"/>
          <w:iCs w:val="false"/>
          <w:color w:val="000000"/>
          <w:sz w:val="21"/>
          <w:szCs w:val="21"/>
        </w:rPr>
        <w:t xml:space="preserve">第2軸：</w:t>
      </w:r>
      <w:r>
        <w:rPr>
          <w:rFonts w:ascii="Arial" w:cs="Arial" w:eastAsia="Arial" w:hAnsi="Arial"/>
          <w:b/>
          <w:bCs/>
          <w:i w:val="false"/>
          <w:iCs w:val="false"/>
          <w:color w:val="000000"/>
          <w:sz w:val="21"/>
          <w:szCs w:val="21"/>
        </w:rPr>
        <w:t xml:space="preserve">全国網 ⇔ 地域特化</w:t>
      </w:r>
      <w:r>
        <w:rPr>
          <w:rFonts w:ascii="Arial" w:cs="Arial" w:eastAsia="Arial" w:hAnsi="Arial"/>
          <w:b w:val="false"/>
          <w:bCs w:val="false"/>
          <w:i w:val="false"/>
          <w:iCs w:val="false"/>
          <w:color w:val="000000"/>
          <w:sz w:val="21"/>
          <w:szCs w:val="21"/>
        </w:rPr>
        <w:t xml:space="preserve">。オープンアップGとコプロHDが全国網、対象会社は17拠点で全国を概カバーするがオープンアップGに比べると拠点密度は薄い。ナレルは首都圏・関西特化に近い。</w:t>
      </w:r>
    </w:p>
    <w:p>
      <w:pPr>
        <w:spacing w:after="80" w:before="0" w:line="280"/>
        <w:jc w:val="left"/>
      </w:pPr>
      <w:r>
        <w:rPr>
          <w:rFonts w:ascii="Arial" w:cs="Arial" w:eastAsia="Arial" w:hAnsi="Arial"/>
          <w:b/>
          <w:bCs/>
          <w:i w:val="false"/>
          <w:iCs w:val="false"/>
          <w:color w:val="000000"/>
          <w:sz w:val="21"/>
          <w:szCs w:val="21"/>
        </w:rPr>
        <w:t xml:space="preserve">(2) スイッチングが発生するタイミング・スイッチングコスト</w:t>
      </w:r>
    </w:p>
    <w:p>
      <w:pPr>
        <w:spacing w:after="80" w:before="0" w:line="280"/>
        <w:jc w:val="left"/>
      </w:pPr>
      <w:r>
        <w:rPr>
          <w:rFonts w:ascii="Arial" w:cs="Arial" w:eastAsia="Arial" w:hAnsi="Arial"/>
          <w:b w:val="false"/>
          <w:bCs w:val="false"/>
          <w:i w:val="false"/>
          <w:iCs w:val="false"/>
          <w:color w:val="000000"/>
          <w:sz w:val="21"/>
          <w:szCs w:val="21"/>
        </w:rPr>
        <w:t xml:space="preserve">派遣先（ゼネコン・サブコン）視点でのスイッチングは以下のタイミングで発生：</w:t>
      </w:r>
    </w:p>
    <w:p>
      <w:pPr>
        <w:spacing w:after="80" w:before="0" w:line="280"/>
        <w:jc w:val="left"/>
      </w:pPr>
      <w:r>
        <w:rPr>
          <w:rFonts w:ascii="Arial" w:cs="Arial" w:eastAsia="Arial" w:hAnsi="Arial"/>
          <w:b w:val="false"/>
          <w:bCs w:val="false"/>
          <w:i w:val="false"/>
          <w:iCs w:val="false"/>
          <w:color w:val="000000"/>
          <w:sz w:val="21"/>
          <w:szCs w:val="21"/>
        </w:rPr>
        <w:t xml:space="preserve">第1に </w:t>
      </w:r>
      <w:r>
        <w:rPr>
          <w:rFonts w:ascii="Arial" w:cs="Arial" w:eastAsia="Arial" w:hAnsi="Arial"/>
          <w:b/>
          <w:bCs/>
          <w:i w:val="false"/>
          <w:iCs w:val="false"/>
          <w:color w:val="000000"/>
          <w:sz w:val="21"/>
          <w:szCs w:val="21"/>
        </w:rPr>
        <w:t xml:space="preserve">新規プロジェクト立ち上げ時</w:t>
      </w:r>
      <w:r>
        <w:rPr>
          <w:rFonts w:ascii="Arial" w:cs="Arial" w:eastAsia="Arial" w:hAnsi="Arial"/>
          <w:b w:val="false"/>
          <w:bCs w:val="false"/>
          <w:i w:val="false"/>
          <w:iCs w:val="false"/>
          <w:color w:val="000000"/>
          <w:sz w:val="21"/>
          <w:szCs w:val="21"/>
        </w:rPr>
        <w:t xml:space="preserve">。新規現場の要員調達タイミングで複数派遣会社から見積もりを取り、競合ベースで決定する。スイッチングコストは低い（派遣先からみれば派遣会社を切り替えるだけ）。</w:t>
      </w:r>
    </w:p>
    <w:p>
      <w:pPr>
        <w:spacing w:after="80" w:before="0" w:line="280"/>
        <w:jc w:val="left"/>
      </w:pPr>
      <w:r>
        <w:rPr>
          <w:rFonts w:ascii="Arial" w:cs="Arial" w:eastAsia="Arial" w:hAnsi="Arial"/>
          <w:b w:val="false"/>
          <w:bCs w:val="false"/>
          <w:i w:val="false"/>
          <w:iCs w:val="false"/>
          <w:color w:val="000000"/>
          <w:sz w:val="21"/>
          <w:szCs w:val="21"/>
        </w:rPr>
        <w:t xml:space="preserve">第2に </w:t>
      </w:r>
      <w:r>
        <w:rPr>
          <w:rFonts w:ascii="Arial" w:cs="Arial" w:eastAsia="Arial" w:hAnsi="Arial"/>
          <w:b/>
          <w:bCs/>
          <w:i w:val="false"/>
          <w:iCs w:val="false"/>
          <w:color w:val="000000"/>
          <w:sz w:val="21"/>
          <w:szCs w:val="21"/>
        </w:rPr>
        <w:t xml:space="preserve">既存技術者の派遣切れ・契約満了時</w:t>
      </w:r>
      <w:r>
        <w:rPr>
          <w:rFonts w:ascii="Arial" w:cs="Arial" w:eastAsia="Arial" w:hAnsi="Arial"/>
          <w:b w:val="false"/>
          <w:bCs w:val="false"/>
          <w:i w:val="false"/>
          <w:iCs w:val="false"/>
          <w:color w:val="000000"/>
          <w:sz w:val="21"/>
          <w:szCs w:val="21"/>
        </w:rPr>
        <w:t xml:space="preserve">。同じ現場・同じポストでの派遣契約満了タイミングで、別の派遣会社の技術者に切り替える可能性がある。同一技術者の指名継続を希望する場合は派遣会社固定のスイッチングコストあり（派遣技術者個人とのリレーション）。</w:t>
      </w:r>
    </w:p>
    <w:p>
      <w:pPr>
        <w:spacing w:after="80" w:before="0" w:line="280"/>
        <w:jc w:val="left"/>
      </w:pPr>
      <w:r>
        <w:rPr>
          <w:rFonts w:ascii="Arial" w:cs="Arial" w:eastAsia="Arial" w:hAnsi="Arial"/>
          <w:b w:val="false"/>
          <w:bCs w:val="false"/>
          <w:i w:val="false"/>
          <w:iCs w:val="false"/>
          <w:color w:val="000000"/>
          <w:sz w:val="21"/>
          <w:szCs w:val="21"/>
        </w:rPr>
        <w:t xml:space="preserve">第3に </w:t>
      </w:r>
      <w:r>
        <w:rPr>
          <w:rFonts w:ascii="Arial" w:cs="Arial" w:eastAsia="Arial" w:hAnsi="Arial"/>
          <w:b/>
          <w:bCs/>
          <w:i w:val="false"/>
          <w:iCs w:val="false"/>
          <w:color w:val="000000"/>
          <w:sz w:val="21"/>
          <w:szCs w:val="21"/>
        </w:rPr>
        <w:t xml:space="preserve">大規模工事・プロジェクト案件の入札時</w:t>
      </w:r>
      <w:r>
        <w:rPr>
          <w:rFonts w:ascii="Arial" w:cs="Arial" w:eastAsia="Arial" w:hAnsi="Arial"/>
          <w:b w:val="false"/>
          <w:bCs w:val="false"/>
          <w:i w:val="false"/>
          <w:iCs w:val="false"/>
          <w:color w:val="000000"/>
          <w:sz w:val="21"/>
          <w:szCs w:val="21"/>
        </w:rPr>
        <w:t xml:space="preserve">。ゼネコン側で「Tier-1派遣会社」を絞り込む、またはコスト削減目的で派遣会社を再編する。</w:t>
      </w:r>
    </w:p>
    <w:p>
      <w:pPr>
        <w:spacing w:after="80" w:before="0" w:line="280"/>
        <w:jc w:val="left"/>
      </w:pPr>
      <w:r>
        <w:rPr>
          <w:rFonts w:ascii="Arial" w:cs="Arial" w:eastAsia="Arial" w:hAnsi="Arial"/>
          <w:b w:val="false"/>
          <w:bCs w:val="false"/>
          <w:i w:val="false"/>
          <w:iCs w:val="false"/>
          <w:color w:val="000000"/>
          <w:sz w:val="21"/>
          <w:szCs w:val="21"/>
        </w:rPr>
        <w:t xml:space="preserve">総じて派遣業はスイッチングコストが構造的に低いが、未経験者派遣に関しては「派遣会社が育てた技術者」への信頼関係が形成されやすく、リテンション効果が相対的に高い（仮説）。</w:t>
      </w:r>
    </w:p>
    <w:p>
      <w:pPr>
        <w:spacing w:after="80" w:before="0" w:line="280"/>
        <w:jc w:val="left"/>
      </w:pPr>
      <w:r>
        <w:rPr>
          <w:rFonts w:ascii="Arial" w:cs="Arial" w:eastAsia="Arial" w:hAnsi="Arial"/>
          <w:b/>
          <w:bCs/>
          <w:i w:val="false"/>
          <w:iCs w:val="false"/>
          <w:color w:val="000000"/>
          <w:sz w:val="21"/>
          <w:szCs w:val="21"/>
        </w:rPr>
        <w:t xml:space="preserve">(3) スイッチング発生時のKBF（Key Buying Factor）</w:t>
      </w:r>
    </w:p>
    <w:p>
      <w:pPr>
        <w:spacing w:after="80" w:before="0" w:line="280"/>
        <w:jc w:val="left"/>
      </w:pPr>
      <w:r>
        <w:rPr>
          <w:rFonts w:ascii="Arial" w:cs="Arial" w:eastAsia="Arial" w:hAnsi="Arial"/>
          <w:b/>
          <w:bCs/>
          <w:i w:val="false"/>
          <w:iCs w:val="false"/>
          <w:color w:val="000000"/>
          <w:sz w:val="21"/>
          <w:szCs w:val="21"/>
        </w:rPr>
        <w:t xml:space="preserve">(a) 新規採用時のKBF充足度</w:t>
      </w:r>
    </w:p>
    <w:tbl>
      <w:tblPr>
        <w:tblW w:type="pct" w:w="100%"/>
        <w:tblBorders>
          <w:top w:val="single" w:color="BFBFBF" w:sz="4"/>
          <w:left w:val="single" w:color="BFBFBF" w:sz="4"/>
          <w:bottom w:val="single" w:color="BFBFBF" w:sz="4"/>
          <w:right w:val="single" w:color="BFBFBF" w:sz="4"/>
          <w:insideH w:val="single" w:color="BFBFBF" w:sz="2"/>
          <w:insideV w:val="single" w:color="BFBFBF" w:sz="2"/>
        </w:tblBorders>
      </w:tblPr>
      <w:tblGrid>
        <w:gridCol w:w="100"/>
        <w:gridCol w:w="100"/>
        <w:gridCol w:w="100"/>
        <w:gridCol w:w="100"/>
        <w:gridCol w:w="100"/>
        <w:gridCol w:w="100"/>
      </w:tblGrid>
      <w:tr>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KBF</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重要度（仮説）</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対象会社</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競合：オープンアップG</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競合：コプロHD</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競合：ナレル</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即時供給可能な人数</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高</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求められる職種・スキル幅</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高</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派遣単価（経験者）</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高</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派遣単価（未経験者）</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中</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全国対応力</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中</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提案力（マッチング精度）</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中</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r>
    </w:tbl>
    <w:p>
      <w:pPr>
        <w:spacing w:after="60" w:before="0" w:line="280"/>
        <w:jc w:val="left"/>
      </w:pPr>
      <w:r>
        <w:rPr>
          <w:rFonts w:ascii="Arial" w:cs="Arial" w:eastAsia="Arial" w:hAnsi="Arial"/>
          <w:b w:val="false"/>
          <w:bCs w:val="false"/>
          <w:i w:val="false"/>
          <w:iCs w:val="false"/>
          <w:color w:val="000000"/>
          <w:sz w:val="21"/>
          <w:szCs w:val="21"/>
        </w:rPr>
        <w:t xml:space="preserve"/>
      </w:r>
    </w:p>
    <w:p>
      <w:pPr>
        <w:spacing w:after="80" w:before="0" w:line="280"/>
        <w:jc w:val="left"/>
      </w:pPr>
      <w:r>
        <w:rPr>
          <w:rFonts w:ascii="Arial" w:cs="Arial" w:eastAsia="Arial" w:hAnsi="Arial"/>
          <w:b/>
          <w:bCs/>
          <w:i w:val="false"/>
          <w:iCs w:val="false"/>
          <w:color w:val="000000"/>
          <w:sz w:val="21"/>
          <w:szCs w:val="21"/>
        </w:rPr>
        <w:t xml:space="preserve">(b) 既存契約継続時のKBF充足度</w:t>
      </w:r>
    </w:p>
    <w:tbl>
      <w:tblPr>
        <w:tblW w:type="pct" w:w="100%"/>
        <w:tblBorders>
          <w:top w:val="single" w:color="BFBFBF" w:sz="4"/>
          <w:left w:val="single" w:color="BFBFBF" w:sz="4"/>
          <w:bottom w:val="single" w:color="BFBFBF" w:sz="4"/>
          <w:right w:val="single" w:color="BFBFBF" w:sz="4"/>
          <w:insideH w:val="single" w:color="BFBFBF" w:sz="2"/>
          <w:insideV w:val="single" w:color="BFBFBF" w:sz="2"/>
        </w:tblBorders>
      </w:tblPr>
      <w:tblGrid>
        <w:gridCol w:w="100"/>
        <w:gridCol w:w="100"/>
        <w:gridCol w:w="100"/>
        <w:gridCol w:w="100"/>
        <w:gridCol w:w="100"/>
        <w:gridCol w:w="100"/>
      </w:tblGrid>
      <w:tr>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KBF</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重要度（仮説）</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対象会社</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競合：オープンアップG</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競合：コプロHD</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競合：ナレル</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派遣技術者の品質安定</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高</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派遣技術者の定着率</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高</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○（追加DD要）</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価格改定の柔軟性</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中</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トラブル対応・補充の早さ</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高</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派遣先の労務管理支援</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中</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r>
    </w:tbl>
    <w:p>
      <w:pPr>
        <w:spacing w:after="60" w:before="0" w:line="280"/>
        <w:jc w:val="left"/>
      </w:pPr>
      <w:r>
        <w:rPr>
          <w:rFonts w:ascii="Arial" w:cs="Arial" w:eastAsia="Arial" w:hAnsi="Arial"/>
          <w:b w:val="false"/>
          <w:bCs w:val="false"/>
          <w:i w:val="false"/>
          <w:iCs w:val="false"/>
          <w:color w:val="000000"/>
          <w:sz w:val="21"/>
          <w:szCs w:val="21"/>
        </w:rPr>
        <w:t xml:space="preserve"/>
      </w:r>
    </w:p>
    <w:p>
      <w:pPr>
        <w:spacing w:after="80" w:before="0" w:line="280"/>
        <w:jc w:val="left"/>
      </w:pPr>
      <w:r>
        <w:rPr>
          <w:rFonts w:ascii="Arial" w:cs="Arial" w:eastAsia="Arial" w:hAnsi="Arial"/>
          <w:b w:val="false"/>
          <w:bCs w:val="false"/>
          <w:i w:val="false"/>
          <w:iCs w:val="false"/>
          <w:color w:val="000000"/>
          <w:sz w:val="21"/>
          <w:szCs w:val="21"/>
        </w:rPr>
        <w:t xml:space="preserve">⚠️ 上記充足度は仮説（公開情報および同業他社レポートからの類推）。追加DDで顧客アンケート等により定量化を要する。</w:t>
      </w:r>
    </w:p>
    <w:p>
      <w:pPr>
        <w:spacing w:after="80" w:before="0" w:line="280"/>
        <w:jc w:val="left"/>
      </w:pPr>
      <w:r>
        <w:rPr>
          <w:rFonts w:ascii="Arial" w:cs="Arial" w:eastAsia="Arial" w:hAnsi="Arial"/>
          <w:b/>
          <w:bCs/>
          <w:i w:val="false"/>
          <w:iCs w:val="false"/>
          <w:color w:val="000000"/>
          <w:sz w:val="21"/>
          <w:szCs w:val="21"/>
        </w:rPr>
        <w:t xml:space="preserve">(4) その他のシェア変動要因</w:t>
      </w:r>
    </w:p>
    <w:p>
      <w:pPr>
        <w:spacing w:after="80" w:before="0" w:line="280"/>
        <w:jc w:val="left"/>
      </w:pPr>
      <w:r>
        <w:rPr>
          <w:rFonts w:ascii="Arial" w:cs="Arial" w:eastAsia="Arial" w:hAnsi="Arial"/>
          <w:b w:val="false"/>
          <w:bCs w:val="false"/>
          <w:i w:val="false"/>
          <w:iCs w:val="false"/>
          <w:color w:val="000000"/>
          <w:sz w:val="21"/>
          <w:szCs w:val="21"/>
        </w:rPr>
        <w:t xml:space="preserve">第1に </w:t>
      </w:r>
      <w:r>
        <w:rPr>
          <w:rFonts w:ascii="Arial" w:cs="Arial" w:eastAsia="Arial" w:hAnsi="Arial"/>
          <w:b/>
          <w:bCs/>
          <w:i w:val="false"/>
          <w:iCs w:val="false"/>
          <w:color w:val="000000"/>
          <w:sz w:val="21"/>
          <w:szCs w:val="21"/>
        </w:rPr>
        <w:t xml:space="preserve">未経験者採用モデルの広がり</w:t>
      </w:r>
      <w:r>
        <w:rPr>
          <w:rFonts w:ascii="Arial" w:cs="Arial" w:eastAsia="Arial" w:hAnsi="Arial"/>
          <w:b w:val="false"/>
          <w:bCs w:val="false"/>
          <w:i w:val="false"/>
          <w:iCs w:val="false"/>
          <w:color w:val="000000"/>
          <w:sz w:val="21"/>
          <w:szCs w:val="21"/>
        </w:rPr>
        <w:t xml:space="preserve">。ナレルが2012年に確立した未経験採用→自社育成→派遣のビジネスモデルは、コプロ・対象会社・夢真も追随しつつあり、業界の共通インフラ化が進む。教育コスト・採用コストの規模効果が働くため、規模上位者が中位者を吸収するロールアップ局面に入りやすい。</w:t>
      </w:r>
    </w:p>
    <w:p>
      <w:pPr>
        <w:spacing w:after="80" w:before="0" w:line="280"/>
        <w:jc w:val="left"/>
      </w:pPr>
      <w:r>
        <w:rPr>
          <w:rFonts w:ascii="Arial" w:cs="Arial" w:eastAsia="Arial" w:hAnsi="Arial"/>
          <w:b w:val="false"/>
          <w:bCs w:val="false"/>
          <w:i w:val="false"/>
          <w:iCs w:val="false"/>
          <w:color w:val="000000"/>
          <w:sz w:val="21"/>
          <w:szCs w:val="21"/>
        </w:rPr>
        <w:t xml:space="preserve">第2に </w:t>
      </w:r>
      <w:r>
        <w:rPr>
          <w:rFonts w:ascii="Arial" w:cs="Arial" w:eastAsia="Arial" w:hAnsi="Arial"/>
          <w:b/>
          <w:bCs/>
          <w:i w:val="false"/>
          <w:iCs w:val="false"/>
          <w:color w:val="000000"/>
          <w:sz w:val="21"/>
          <w:szCs w:val="21"/>
        </w:rPr>
        <w:t xml:space="preserve">労働者派遣法の規制動向</w:t>
      </w:r>
      <w:r>
        <w:rPr>
          <w:rFonts w:ascii="Arial" w:cs="Arial" w:eastAsia="Arial" w:hAnsi="Arial"/>
          <w:b w:val="false"/>
          <w:bCs w:val="false"/>
          <w:i w:val="false"/>
          <w:iCs w:val="false"/>
          <w:color w:val="000000"/>
          <w:sz w:val="21"/>
          <w:szCs w:val="21"/>
        </w:rPr>
        <w:t xml:space="preserve">。同一労働同一賃金（労使協定方式の運用）、特定建設派遣事業の許可継続、外国人技能労働者制度の拡張等が将来的に競争条件に影響する可能性あり。</w:t>
      </w:r>
    </w:p>
    <w:p>
      <w:pPr>
        <w:spacing w:after="80" w:before="0" w:line="280"/>
        <w:jc w:val="left"/>
      </w:pPr>
      <w:r>
        <w:rPr>
          <w:rFonts w:ascii="Arial" w:cs="Arial" w:eastAsia="Arial" w:hAnsi="Arial"/>
          <w:b w:val="false"/>
          <w:bCs w:val="false"/>
          <w:i w:val="false"/>
          <w:iCs w:val="false"/>
          <w:color w:val="000000"/>
          <w:sz w:val="21"/>
          <w:szCs w:val="21"/>
        </w:rPr>
        <w:t xml:space="preserve">第3に </w:t>
      </w:r>
      <w:r>
        <w:rPr>
          <w:rFonts w:ascii="Arial" w:cs="Arial" w:eastAsia="Arial" w:hAnsi="Arial"/>
          <w:b/>
          <w:bCs/>
          <w:i w:val="false"/>
          <w:iCs w:val="false"/>
          <w:color w:val="000000"/>
          <w:sz w:val="21"/>
          <w:szCs w:val="21"/>
        </w:rPr>
        <w:t xml:space="preserve">顧客の内製化動向</w:t>
      </w:r>
      <w:r>
        <w:rPr>
          <w:rFonts w:ascii="Arial" w:cs="Arial" w:eastAsia="Arial" w:hAnsi="Arial"/>
          <w:b w:val="false"/>
          <w:bCs w:val="false"/>
          <w:i w:val="false"/>
          <w:iCs w:val="false"/>
          <w:color w:val="000000"/>
          <w:sz w:val="21"/>
          <w:szCs w:val="21"/>
        </w:rPr>
        <w:t xml:space="preserve">。大手ゼネコンが直接採用・育成を強化する動きはあるが、コア要員以外は派遣依存を続ける見込み（仮説）。</w:t>
      </w:r>
    </w:p>
    <w:p>
      <w:pPr>
        <w:spacing w:after="80" w:before="160"/>
      </w:pPr>
      <w:r>
        <w:rPr>
          <w:rFonts w:ascii="Arial" w:cs="Arial" w:eastAsia="Arial" w:hAnsi="Arial"/>
          <w:b/>
          <w:bCs/>
          <w:color w:val="404040"/>
          <w:sz w:val="23"/>
          <w:szCs w:val="23"/>
        </w:rPr>
        <w:t xml:space="preserve">2-3. 単価・コスト構造</w:t>
      </w:r>
    </w:p>
    <w:p>
      <w:pPr>
        <w:spacing w:after="80" w:before="0" w:line="280"/>
        <w:jc w:val="left"/>
      </w:pPr>
      <w:r>
        <w:rPr>
          <w:rFonts w:ascii="Arial" w:cs="Arial" w:eastAsia="Arial" w:hAnsi="Arial"/>
          <w:b/>
          <w:bCs/>
          <w:i w:val="false"/>
          <w:iCs w:val="false"/>
          <w:color w:val="000000"/>
          <w:sz w:val="21"/>
          <w:szCs w:val="21"/>
        </w:rPr>
        <w:t xml:space="preserve">(a) 単価</w:t>
      </w:r>
    </w:p>
    <w:p>
      <w:pPr>
        <w:spacing w:after="80" w:before="0" w:line="280"/>
        <w:jc w:val="left"/>
      </w:pPr>
      <w:r>
        <w:rPr>
          <w:rFonts w:ascii="Arial" w:cs="Arial" w:eastAsia="Arial" w:hAnsi="Arial"/>
          <w:b w:val="false"/>
          <w:bCs w:val="false"/>
          <w:i w:val="false"/>
          <w:iCs w:val="false"/>
          <w:color w:val="000000"/>
          <w:sz w:val="21"/>
          <w:szCs w:val="21"/>
        </w:rPr>
        <w:t xml:space="preserve">派遣単価は </w:t>
      </w:r>
      <w:r>
        <w:rPr>
          <w:rFonts w:ascii="Arial" w:cs="Arial" w:eastAsia="Arial" w:hAnsi="Arial"/>
          <w:b/>
          <w:bCs/>
          <w:i w:val="false"/>
          <w:iCs w:val="false"/>
          <w:color w:val="000000"/>
          <w:sz w:val="21"/>
          <w:szCs w:val="21"/>
        </w:rPr>
        <w:t xml:space="preserve">月額40-65万円/人/月レンジ</w:t>
      </w:r>
      <w:r>
        <w:rPr>
          <w:rFonts w:ascii="Arial" w:cs="Arial" w:eastAsia="Arial" w:hAnsi="Arial"/>
          <w:b w:val="false"/>
          <w:bCs w:val="false"/>
          <w:i w:val="false"/>
          <w:iCs w:val="false"/>
          <w:color w:val="000000"/>
          <w:sz w:val="21"/>
          <w:szCs w:val="21"/>
        </w:rPr>
        <w:t xml:space="preserve">（経験者中心・施工管理技士保有者は60-80万円/月、未経験者は40-50万円/月、業界類推） [出典: 夢真ビーネックス開示2022/6Q4の61.9万円/人/月、マイナビ転職トライトE求人月給40万円以上]。</w:t>
      </w:r>
    </w:p>
    <w:p>
      <w:pPr>
        <w:spacing w:after="80" w:before="0" w:line="280"/>
        <w:jc w:val="left"/>
      </w:pPr>
      <w:r>
        <w:rPr>
          <w:rFonts w:ascii="Arial" w:cs="Arial" w:eastAsia="Arial" w:hAnsi="Arial"/>
          <w:b w:val="false"/>
          <w:bCs w:val="false"/>
          <w:i w:val="false"/>
          <w:iCs w:val="false"/>
          <w:color w:val="000000"/>
          <w:sz w:val="21"/>
          <w:szCs w:val="21"/>
        </w:rPr>
        <w:t xml:space="preserve">第1の主要コスト構造は </w:t>
      </w:r>
      <w:r>
        <w:rPr>
          <w:rFonts w:ascii="Arial" w:cs="Arial" w:eastAsia="Arial" w:hAnsi="Arial"/>
          <w:b/>
          <w:bCs/>
          <w:i w:val="false"/>
          <w:iCs w:val="false"/>
          <w:color w:val="000000"/>
          <w:sz w:val="21"/>
          <w:szCs w:val="21"/>
        </w:rPr>
        <w:t xml:space="preserve">人件費（派遣技術者の給与）</w:t>
      </w:r>
      <w:r>
        <w:rPr>
          <w:rFonts w:ascii="Arial" w:cs="Arial" w:eastAsia="Arial" w:hAnsi="Arial"/>
          <w:b w:val="false"/>
          <w:bCs w:val="false"/>
          <w:i w:val="false"/>
          <w:iCs w:val="false"/>
          <w:color w:val="000000"/>
          <w:sz w:val="21"/>
          <w:szCs w:val="21"/>
        </w:rPr>
        <w:t xml:space="preserve"> が原価の約75-85%（業界類推）。1人派遣あたり月額利益は5-10万円（仮説、追加DD要）。</w:t>
      </w:r>
    </w:p>
    <w:p>
      <w:pPr>
        <w:spacing w:after="80" w:before="0" w:line="280"/>
        <w:jc w:val="left"/>
      </w:pPr>
      <w:r>
        <w:rPr>
          <w:rFonts w:ascii="Arial" w:cs="Arial" w:eastAsia="Arial" w:hAnsi="Arial"/>
          <w:b w:val="false"/>
          <w:bCs w:val="false"/>
          <w:i w:val="false"/>
          <w:iCs w:val="false"/>
          <w:color w:val="000000"/>
          <w:sz w:val="21"/>
          <w:szCs w:val="21"/>
        </w:rPr>
        <w:t xml:space="preserve">第2の顧客サイドの圧力は中庸。建設プロジェクトの総原価における人件費比率は20-30%、うち派遣技術者の費用は数%程度であり、派遣単価への直接的な値下げ圧力は限定的（仮説）。一方で、ゼネコン側で建設投資が冷え込む局面では真っ先に人員調整対象になりやすい。</w:t>
      </w:r>
    </w:p>
    <w:p>
      <w:pPr>
        <w:spacing w:after="80" w:before="0" w:line="280"/>
        <w:jc w:val="left"/>
      </w:pPr>
      <w:r>
        <w:rPr>
          <w:rFonts w:ascii="Arial" w:cs="Arial" w:eastAsia="Arial" w:hAnsi="Arial"/>
          <w:b w:val="false"/>
          <w:bCs w:val="false"/>
          <w:i w:val="false"/>
          <w:iCs w:val="false"/>
          <w:color w:val="000000"/>
          <w:sz w:val="21"/>
          <w:szCs w:val="21"/>
        </w:rPr>
        <w:t xml:space="preserve">第3の競争環境については、2024年問題をトリガーに </w:t>
      </w:r>
      <w:r>
        <w:rPr>
          <w:rFonts w:ascii="Arial" w:cs="Arial" w:eastAsia="Arial" w:hAnsi="Arial"/>
          <w:b/>
          <w:bCs/>
          <w:i w:val="false"/>
          <w:iCs w:val="false"/>
          <w:color w:val="000000"/>
          <w:sz w:val="21"/>
          <w:szCs w:val="21"/>
        </w:rPr>
        <w:t xml:space="preserve">派遣単価の構造的上昇局面</w:t>
      </w:r>
      <w:r>
        <w:rPr>
          <w:rFonts w:ascii="Arial" w:cs="Arial" w:eastAsia="Arial" w:hAnsi="Arial"/>
          <w:b w:val="false"/>
          <w:bCs w:val="false"/>
          <w:i w:val="false"/>
          <w:iCs w:val="false"/>
          <w:color w:val="000000"/>
          <w:sz w:val="21"/>
          <w:szCs w:val="21"/>
        </w:rPr>
        <w:t xml:space="preserve"> にあり、対象会社・競合各社ともFY23-24で月額単価を10-20%程度引き上げた事例が散見される（仮説）。</w:t>
      </w:r>
    </w:p>
    <w:p>
      <w:pPr>
        <w:spacing w:after="80" w:before="0" w:line="280"/>
        <w:jc w:val="left"/>
      </w:pPr>
      <w:r>
        <w:rPr>
          <w:rFonts w:ascii="Arial" w:cs="Arial" w:eastAsia="Arial" w:hAnsi="Arial"/>
          <w:b/>
          <w:bCs/>
          <w:i w:val="false"/>
          <w:iCs w:val="false"/>
          <w:color w:val="000000"/>
          <w:sz w:val="21"/>
          <w:szCs w:val="21"/>
        </w:rPr>
        <w:t xml:space="preserve">(b) コスト構造</w:t>
      </w:r>
    </w:p>
    <w:p>
      <w:pPr>
        <w:spacing w:after="80" w:before="0" w:line="280"/>
        <w:jc w:val="left"/>
      </w:pPr>
      <w:r>
        <w:rPr>
          <w:rFonts w:ascii="Arial" w:cs="Arial" w:eastAsia="Arial" w:hAnsi="Arial"/>
          <w:b w:val="false"/>
          <w:bCs w:val="false"/>
          <w:i w:val="false"/>
          <w:iCs w:val="false"/>
          <w:color w:val="000000"/>
          <w:sz w:val="21"/>
          <w:szCs w:val="21"/>
        </w:rPr>
        <w:t xml:space="preserve">連結ベースでは：</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売上原価率：約79.6%（FY24試算：売上57,116M、推定原価45,500M）</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売上総利益率：約20.4%（FY24連結）</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販管費率：約11.3%（FY24試算）</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営業利益率：9.1%（FY24）／14.2%（FY23、急減）</w:t>
      </w:r>
    </w:p>
    <w:p>
      <w:pPr>
        <w:spacing w:after="80" w:before="0" w:line="280"/>
        <w:jc w:val="left"/>
      </w:pPr>
      <w:r>
        <w:rPr>
          <w:rFonts w:ascii="Arial" w:cs="Arial" w:eastAsia="Arial" w:hAnsi="Arial"/>
          <w:b w:val="false"/>
          <w:bCs w:val="false"/>
          <w:i w:val="false"/>
          <w:iCs w:val="false"/>
          <w:color w:val="000000"/>
          <w:sz w:val="21"/>
          <w:szCs w:val="21"/>
        </w:rPr>
        <w:t xml:space="preserve">[出典: 有報FY24損益計算書／FY24決算説明資料 p.14]</w:t>
      </w:r>
    </w:p>
    <w:p>
      <w:pPr>
        <w:spacing w:after="80" w:before="0" w:line="280"/>
        <w:jc w:val="left"/>
      </w:pPr>
      <w:r>
        <w:rPr>
          <w:rFonts w:ascii="Arial" w:cs="Arial" w:eastAsia="Arial" w:hAnsi="Arial"/>
          <w:b w:val="false"/>
          <w:bCs w:val="false"/>
          <w:i w:val="false"/>
          <w:iCs w:val="false"/>
          <w:color w:val="000000"/>
          <w:sz w:val="21"/>
          <w:szCs w:val="21"/>
        </w:rPr>
        <w:t xml:space="preserve">第1の固変分解：建設派遣事業の費用構造は </w:t>
      </w:r>
      <w:r>
        <w:rPr>
          <w:rFonts w:ascii="Arial" w:cs="Arial" w:eastAsia="Arial" w:hAnsi="Arial"/>
          <w:b/>
          <w:bCs/>
          <w:i w:val="false"/>
          <w:iCs w:val="false"/>
          <w:color w:val="000000"/>
          <w:sz w:val="21"/>
          <w:szCs w:val="21"/>
        </w:rPr>
        <w:t xml:space="preserve">人件費（変動費・派遣技術者給与）70-80% + 採用・教育費（半固定費）5-10% + 拠点・販管費（固定費）10-15%</w:t>
      </w:r>
      <w:r>
        <w:rPr>
          <w:rFonts w:ascii="Arial" w:cs="Arial" w:eastAsia="Arial" w:hAnsi="Arial"/>
          <w:b w:val="false"/>
          <w:bCs w:val="false"/>
          <w:i w:val="false"/>
          <w:iCs w:val="false"/>
          <w:color w:val="000000"/>
          <w:sz w:val="21"/>
          <w:szCs w:val="21"/>
        </w:rPr>
        <w:t xml:space="preserve"> （業界類推）。</w:t>
      </w:r>
    </w:p>
    <w:p>
      <w:pPr>
        <w:spacing w:after="80" w:before="0" w:line="280"/>
        <w:jc w:val="left"/>
      </w:pPr>
      <w:r>
        <w:rPr>
          <w:rFonts w:ascii="Arial" w:cs="Arial" w:eastAsia="Arial" w:hAnsi="Arial"/>
          <w:b w:val="false"/>
          <w:bCs w:val="false"/>
          <w:i w:val="false"/>
          <w:iCs w:val="false"/>
          <w:color w:val="000000"/>
          <w:sz w:val="21"/>
          <w:szCs w:val="21"/>
        </w:rPr>
        <w:t xml:space="preserve">第2の主要素材2-4個＋市況動向：派遣業は素材を介さない事業のため「素材」に相当するのは </w:t>
      </w:r>
      <w:r>
        <w:rPr>
          <w:rFonts w:ascii="Arial" w:cs="Arial" w:eastAsia="Arial" w:hAnsi="Arial"/>
          <w:b/>
          <w:bCs/>
          <w:i w:val="false"/>
          <w:iCs w:val="false"/>
          <w:color w:val="000000"/>
          <w:sz w:val="21"/>
          <w:szCs w:val="21"/>
        </w:rPr>
        <w:t xml:space="preserve">人件費・採用広告費</w:t>
      </w:r>
      <w:r>
        <w:rPr>
          <w:rFonts w:ascii="Arial" w:cs="Arial" w:eastAsia="Arial" w:hAnsi="Arial"/>
          <w:b w:val="false"/>
          <w:bCs w:val="false"/>
          <w:i w:val="false"/>
          <w:iCs w:val="false"/>
          <w:color w:val="000000"/>
          <w:sz w:val="21"/>
          <w:szCs w:val="21"/>
        </w:rPr>
        <w:t xml:space="preserve">。</w:t>
      </w:r>
    </w:p>
    <w:tbl>
      <w:tblPr>
        <w:tblW w:type="pct" w:w="100%"/>
        <w:tblBorders>
          <w:top w:val="single" w:color="BFBFBF" w:sz="4"/>
          <w:left w:val="single" w:color="BFBFBF" w:sz="4"/>
          <w:bottom w:val="single" w:color="BFBFBF" w:sz="4"/>
          <w:right w:val="single" w:color="BFBFBF" w:sz="4"/>
          <w:insideH w:val="single" w:color="BFBFBF" w:sz="2"/>
          <w:insideV w:val="single" w:color="BFBFBF" w:sz="2"/>
        </w:tblBorders>
      </w:tblPr>
      <w:tblGrid>
        <w:gridCol w:w="100"/>
        <w:gridCol w:w="100"/>
        <w:gridCol w:w="100"/>
        <w:gridCol w:w="100"/>
      </w:tblGrid>
      <w:tr>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コスト要素</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FY24水準（推定）</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直近2-3年の動向</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出典</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派遣技術者人件費（変動費）</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売上の70-80%（推定）</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2024-2025年は同一労働同一賃金影響＋労務単価上昇で+5-8%/年</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業界類推</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採用広告費（半固定費）</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売上の3-5%（推定）</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求人媒体単価が2023-2025で+10-15%上昇</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業界紙類推</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拠点運営費（固定費）</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17拠点の家賃・人件費</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拠点増設で絶対額拡大、売上比は概ね一定</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トライトE公式</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教育・研修費（半固定費）</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「建設人材キャリア応援プロジェクト」の e-Learning投資</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FY24に新規投下、向こう2-3年は先行投資局面</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トライトE about</w:t>
            </w:r>
          </w:p>
        </w:tc>
      </w:tr>
    </w:tbl>
    <w:p>
      <w:pPr>
        <w:spacing w:after="60" w:before="0" w:line="280"/>
        <w:jc w:val="left"/>
      </w:pPr>
      <w:r>
        <w:rPr>
          <w:rFonts w:ascii="Arial" w:cs="Arial" w:eastAsia="Arial" w:hAnsi="Arial"/>
          <w:b w:val="false"/>
          <w:bCs w:val="false"/>
          <w:i w:val="false"/>
          <w:iCs w:val="false"/>
          <w:color w:val="000000"/>
          <w:sz w:val="21"/>
          <w:szCs w:val="21"/>
        </w:rPr>
        <w:t xml:space="preserve"/>
      </w:r>
    </w:p>
    <w:p>
      <w:pPr>
        <w:spacing w:after="80" w:before="0" w:line="280"/>
        <w:jc w:val="left"/>
      </w:pPr>
      <w:r>
        <w:rPr>
          <w:rFonts w:ascii="Arial" w:cs="Arial" w:eastAsia="Arial" w:hAnsi="Arial"/>
          <w:b w:val="false"/>
          <w:bCs w:val="false"/>
          <w:i w:val="false"/>
          <w:iCs w:val="false"/>
          <w:color w:val="000000"/>
          <w:sz w:val="21"/>
          <w:szCs w:val="21"/>
        </w:rPr>
        <w:t xml:space="preserve">教育・研修費は </w:t>
      </w:r>
      <w:r>
        <w:rPr>
          <w:rFonts w:ascii="Arial" w:cs="Arial" w:eastAsia="Arial" w:hAnsi="Arial"/>
          <w:b/>
          <w:bCs/>
          <w:i w:val="false"/>
          <w:iCs w:val="false"/>
          <w:color w:val="000000"/>
          <w:sz w:val="21"/>
          <w:szCs w:val="21"/>
        </w:rPr>
        <w:t xml:space="preserve">未経験者ラインの先行投資</w:t>
      </w:r>
      <w:r>
        <w:rPr>
          <w:rFonts w:ascii="Arial" w:cs="Arial" w:eastAsia="Arial" w:hAnsi="Arial"/>
          <w:b w:val="false"/>
          <w:bCs w:val="false"/>
          <w:i w:val="false"/>
          <w:iCs w:val="false"/>
          <w:color w:val="000000"/>
          <w:sz w:val="21"/>
          <w:szCs w:val="21"/>
        </w:rPr>
        <w:t xml:space="preserve"> であり、これがFY24の連結営業利益▲31%下振れの主要因の一つと推察（仮説）。中期的には未経験者派遣単価上昇に伴うリターン回収局面に入る見込み。</w:t>
      </w:r>
    </w:p>
    <w:p>
      <w:pPr>
        <w:spacing w:after="100" w:before="200"/>
      </w:pPr>
      <w:r>
        <w:rPr>
          <w:rFonts w:ascii="Arial" w:cs="Arial" w:eastAsia="Arial" w:hAnsi="Arial"/>
          <w:b/>
          <w:bCs/>
          <w:color w:val="2C4F7A"/>
          <w:sz w:val="25"/>
          <w:szCs w:val="25"/>
        </w:rPr>
        <w:t xml:space="preserve">③ バリューアップの方向性</w:t>
      </w:r>
    </w:p>
    <w:p>
      <w:pPr>
        <w:spacing w:after="80" w:before="160"/>
      </w:pPr>
      <w:r>
        <w:rPr>
          <w:rFonts w:ascii="Arial" w:cs="Arial" w:eastAsia="Arial" w:hAnsi="Arial"/>
          <w:b/>
          <w:bCs/>
          <w:color w:val="404040"/>
          <w:sz w:val="23"/>
          <w:szCs w:val="23"/>
        </w:rPr>
        <w:t xml:space="preserve">3-1. オーガニック</w:t>
      </w:r>
    </w:p>
    <w:p>
      <w:pPr>
        <w:spacing w:after="60" w:before="120"/>
      </w:pPr>
      <w:r>
        <w:rPr>
          <w:rFonts w:ascii="Arial" w:cs="Arial" w:eastAsia="Arial" w:hAnsi="Arial"/>
          <w:b/>
          <w:bCs/>
          <w:color w:val="595959"/>
          <w:sz w:val="21"/>
          <w:szCs w:val="21"/>
        </w:rPr>
        <w:t xml:space="preserve">(a) 売上</w:t>
      </w:r>
    </w:p>
    <w:p>
      <w:pPr>
        <w:spacing w:after="80" w:before="0" w:line="280"/>
        <w:jc w:val="left"/>
      </w:pPr>
      <w:r>
        <w:rPr>
          <w:rFonts w:ascii="Arial" w:cs="Arial" w:eastAsia="Arial" w:hAnsi="Arial"/>
          <w:b/>
          <w:bCs/>
          <w:i w:val="false"/>
          <w:iCs w:val="false"/>
          <w:color w:val="000000"/>
          <w:sz w:val="21"/>
          <w:szCs w:val="21"/>
        </w:rPr>
        <w:t xml:space="preserve">(1) プライシング改善</w:t>
      </w:r>
    </w:p>
    <w:p>
      <w:pPr>
        <w:spacing w:after="80" w:before="0" w:line="280"/>
        <w:jc w:val="left"/>
      </w:pPr>
      <w:r>
        <w:rPr>
          <w:rFonts w:ascii="Arial" w:cs="Arial" w:eastAsia="Arial" w:hAnsi="Arial"/>
          <w:b w:val="false"/>
          <w:bCs w:val="false"/>
          <w:i w:val="false"/>
          <w:iCs w:val="false"/>
          <w:color w:val="000000"/>
          <w:sz w:val="21"/>
          <w:szCs w:val="21"/>
        </w:rPr>
        <w:t xml:space="preserve">打ち手：派遣単価の正常化・引き上げ（特に未経験者派遣の資格取得後単価レベルアップ）。</w:t>
      </w:r>
    </w:p>
    <w:p>
      <w:pPr>
        <w:spacing w:after="80" w:before="0" w:line="280"/>
        <w:jc w:val="left"/>
      </w:pPr>
      <w:r>
        <w:rPr>
          <w:rFonts w:ascii="Arial" w:cs="Arial" w:eastAsia="Arial" w:hAnsi="Arial"/>
          <w:b w:val="false"/>
          <w:bCs w:val="false"/>
          <w:i w:val="false"/>
          <w:iCs w:val="false"/>
          <w:color w:val="000000"/>
          <w:sz w:val="21"/>
          <w:szCs w:val="21"/>
        </w:rPr>
        <w:t xml:space="preserve">仮説の根拠：未経験者派遣ラインは入社後1-2年で施工管理2級資格取得を狙う設計（建設人材キャリア応援プロジェクト）であり、資格取得時点で派遣単価を月額5-10万円引き上げる余地がある。経験者派遣ラインも2024年問題に伴う相場上昇に追随していると推定（仮説）。</w:t>
      </w:r>
    </w:p>
    <w:p>
      <w:pPr>
        <w:spacing w:after="80" w:before="0" w:line="280"/>
        <w:jc w:val="left"/>
      </w:pPr>
      <w:r>
        <w:rPr>
          <w:rFonts w:ascii="Arial" w:cs="Arial" w:eastAsia="Arial" w:hAnsi="Arial"/>
          <w:b w:val="false"/>
          <w:bCs w:val="false"/>
          <w:i w:val="false"/>
          <w:iCs w:val="false"/>
          <w:color w:val="000000"/>
          <w:sz w:val="21"/>
          <w:szCs w:val="21"/>
        </w:rPr>
        <w:t xml:space="preserve">定量インパクト試算（仮置）：未経験者派遣単価+8%×ライン売上36億円＝+2.9億円売上、粗利インパクト+1.5億円程度（仮置、3年）。</w:t>
      </w:r>
    </w:p>
    <w:p>
      <w:pPr>
        <w:spacing w:after="80" w:before="0" w:line="280"/>
        <w:jc w:val="left"/>
      </w:pPr>
      <w:r>
        <w:rPr>
          <w:rFonts w:ascii="Arial" w:cs="Arial" w:eastAsia="Arial" w:hAnsi="Arial"/>
          <w:b w:val="false"/>
          <w:bCs w:val="false"/>
          <w:i w:val="false"/>
          <w:iCs w:val="false"/>
          <w:color w:val="000000"/>
          <w:sz w:val="21"/>
          <w:szCs w:val="21"/>
        </w:rPr>
        <w:t xml:space="preserve">実行リスク：派遣先（ゼネコン・サブコン）の価格抵抗、特に建設投資が冷え込む局面での値上げ困難化。</w:t>
      </w:r>
    </w:p>
    <w:p>
      <w:pPr>
        <w:spacing w:after="80" w:before="0" w:line="280"/>
        <w:jc w:val="left"/>
      </w:pPr>
      <w:r>
        <w:rPr>
          <w:rFonts w:ascii="Arial" w:cs="Arial" w:eastAsia="Arial" w:hAnsi="Arial"/>
          <w:b/>
          <w:bCs/>
          <w:i w:val="false"/>
          <w:iCs w:val="false"/>
          <w:color w:val="000000"/>
          <w:sz w:val="21"/>
          <w:szCs w:val="21"/>
        </w:rPr>
        <w:t xml:space="preserve">(2) 新規顧客拡大</w:t>
      </w:r>
    </w:p>
    <w:p>
      <w:pPr>
        <w:spacing w:after="80" w:before="0" w:line="280"/>
        <w:jc w:val="left"/>
      </w:pPr>
      <w:r>
        <w:rPr>
          <w:rFonts w:ascii="Arial" w:cs="Arial" w:eastAsia="Arial" w:hAnsi="Arial"/>
          <w:b w:val="false"/>
          <w:bCs w:val="false"/>
          <w:i w:val="false"/>
          <w:iCs w:val="false"/>
          <w:color w:val="000000"/>
          <w:sz w:val="21"/>
          <w:szCs w:val="21"/>
        </w:rPr>
        <w:t xml:space="preserve">打ち手：上位ゼネコン（大手7社）への直接アカウント開拓、ロジ・データセンター系開発業者、半導体プラント特殊EC（鹿島・大林・大成・清水建設・前田建設工業・五洋建設・東洋建設等）。</w:t>
      </w:r>
    </w:p>
    <w:p>
      <w:pPr>
        <w:spacing w:after="80" w:before="0" w:line="280"/>
        <w:jc w:val="left"/>
      </w:pPr>
      <w:r>
        <w:rPr>
          <w:rFonts w:ascii="Arial" w:cs="Arial" w:eastAsia="Arial" w:hAnsi="Arial"/>
          <w:b w:val="false"/>
          <w:bCs w:val="false"/>
          <w:i w:val="false"/>
          <w:iCs w:val="false"/>
          <w:color w:val="000000"/>
          <w:sz w:val="21"/>
          <w:szCs w:val="21"/>
        </w:rPr>
        <w:t xml:space="preserve">仮説の根拠：対象会社は中堅・地方ゼネコン中心の顧客基盤と見られる（仮説）。大手ゼネコンとの直契アカウントは1社あたり10億円規模の派遣収入が期待できる（業界類推）。</w:t>
      </w:r>
    </w:p>
    <w:p>
      <w:pPr>
        <w:spacing w:after="80" w:before="0" w:line="280"/>
        <w:jc w:val="left"/>
      </w:pPr>
      <w:r>
        <w:rPr>
          <w:rFonts w:ascii="Arial" w:cs="Arial" w:eastAsia="Arial" w:hAnsi="Arial"/>
          <w:b w:val="false"/>
          <w:bCs w:val="false"/>
          <w:i w:val="false"/>
          <w:iCs w:val="false"/>
          <w:color w:val="000000"/>
          <w:sz w:val="21"/>
          <w:szCs w:val="21"/>
        </w:rPr>
        <w:t xml:space="preserve">定量インパクト試算（仮置）：新規大手アカウント3-5社獲得＝+10〜20億円売上、粗利インパクト+1〜3億円（3年）。</w:t>
      </w:r>
    </w:p>
    <w:p>
      <w:pPr>
        <w:spacing w:after="80" w:before="0" w:line="280"/>
        <w:jc w:val="left"/>
      </w:pPr>
      <w:r>
        <w:rPr>
          <w:rFonts w:ascii="Arial" w:cs="Arial" w:eastAsia="Arial" w:hAnsi="Arial"/>
          <w:b w:val="false"/>
          <w:bCs w:val="false"/>
          <w:i w:val="false"/>
          <w:iCs w:val="false"/>
          <w:color w:val="000000"/>
          <w:sz w:val="21"/>
          <w:szCs w:val="21"/>
        </w:rPr>
        <w:t xml:space="preserve">実行リスク：オープンアップG・コプロHDが既に大手アカウントを押さえており、競合奪取コストが大きい。</w:t>
      </w:r>
    </w:p>
    <w:p>
      <w:pPr>
        <w:spacing w:after="80" w:before="0" w:line="280"/>
        <w:jc w:val="left"/>
      </w:pPr>
      <w:r>
        <w:rPr>
          <w:rFonts w:ascii="Arial" w:cs="Arial" w:eastAsia="Arial" w:hAnsi="Arial"/>
          <w:b/>
          <w:bCs/>
          <w:i w:val="false"/>
          <w:iCs w:val="false"/>
          <w:color w:val="000000"/>
          <w:sz w:val="21"/>
          <w:szCs w:val="21"/>
        </w:rPr>
        <w:t xml:space="preserve">(3) 新規製品（隣接サービス）拡充</w:t>
      </w:r>
    </w:p>
    <w:p>
      <w:pPr>
        <w:spacing w:after="80" w:before="0" w:line="280"/>
        <w:jc w:val="left"/>
      </w:pPr>
      <w:r>
        <w:rPr>
          <w:rFonts w:ascii="Arial" w:cs="Arial" w:eastAsia="Arial" w:hAnsi="Arial"/>
          <w:b w:val="false"/>
          <w:bCs w:val="false"/>
          <w:i w:val="false"/>
          <w:iCs w:val="false"/>
          <w:color w:val="000000"/>
          <w:sz w:val="21"/>
          <w:szCs w:val="21"/>
        </w:rPr>
        <w:t xml:space="preserve">打ち手：(i) BIM・CADオペレーター派遣、(ii) 設備設計・電気設計派遣、(iii) 建築積算・コスト管理派遣、(iv) PM/CM支援、(v) ICTシステム導入支援（i-Construction、CCUS関連）。</w:t>
      </w:r>
    </w:p>
    <w:p>
      <w:pPr>
        <w:spacing w:after="80" w:before="0" w:line="280"/>
        <w:jc w:val="left"/>
      </w:pPr>
      <w:r>
        <w:rPr>
          <w:rFonts w:ascii="Arial" w:cs="Arial" w:eastAsia="Arial" w:hAnsi="Arial"/>
          <w:b w:val="false"/>
          <w:bCs w:val="false"/>
          <w:i w:val="false"/>
          <w:iCs w:val="false"/>
          <w:color w:val="000000"/>
          <w:sz w:val="21"/>
          <w:szCs w:val="21"/>
        </w:rPr>
        <w:t xml:space="preserve">仮説の根拠：建設DX投資（i-Construction、BIM/CIM、CCUS）が2025-2030年で本格化する見通しで、専門人材派遣ニーズが拡大。対象会社は既に施工管理派遣の顧客基盤を持つため、追加サービスのクロスセル余地あり（仮説）。</w:t>
      </w:r>
    </w:p>
    <w:p>
      <w:pPr>
        <w:spacing w:after="80" w:before="0" w:line="280"/>
        <w:jc w:val="left"/>
      </w:pPr>
      <w:r>
        <w:rPr>
          <w:rFonts w:ascii="Arial" w:cs="Arial" w:eastAsia="Arial" w:hAnsi="Arial"/>
          <w:b w:val="false"/>
          <w:bCs w:val="false"/>
          <w:i w:val="false"/>
          <w:iCs w:val="false"/>
          <w:color w:val="000000"/>
          <w:sz w:val="21"/>
          <w:szCs w:val="21"/>
        </w:rPr>
        <w:t xml:space="preserve">定量インパクト試算（仮置）：隣接3-4サービスで+5〜10億円売上、粗利率は施工管理派遣より高い15-20%レンジ（仮置、3-5年）。</w:t>
      </w:r>
    </w:p>
    <w:p>
      <w:pPr>
        <w:spacing w:after="80" w:before="0" w:line="280"/>
        <w:jc w:val="left"/>
      </w:pPr>
      <w:r>
        <w:rPr>
          <w:rFonts w:ascii="Arial" w:cs="Arial" w:eastAsia="Arial" w:hAnsi="Arial"/>
          <w:b w:val="false"/>
          <w:bCs w:val="false"/>
          <w:i w:val="false"/>
          <w:iCs w:val="false"/>
          <w:color w:val="000000"/>
          <w:sz w:val="21"/>
          <w:szCs w:val="21"/>
        </w:rPr>
        <w:t xml:space="preserve">実行リスク：専門人材の採用・育成困難（BIM技術者は希少）、競合優位性の構築まで時間。</w:t>
      </w:r>
    </w:p>
    <w:p>
      <w:pPr>
        <w:spacing w:after="80" w:before="0" w:line="280"/>
        <w:jc w:val="left"/>
      </w:pPr>
      <w:r>
        <w:rPr>
          <w:rFonts w:ascii="Arial" w:cs="Arial" w:eastAsia="Arial" w:hAnsi="Arial"/>
          <w:b/>
          <w:bCs/>
          <w:i w:val="false"/>
          <w:iCs w:val="false"/>
          <w:color w:val="000000"/>
          <w:sz w:val="21"/>
          <w:szCs w:val="21"/>
        </w:rPr>
        <w:t xml:space="preserve">(4) 新規地域展開</w:t>
      </w:r>
    </w:p>
    <w:p>
      <w:pPr>
        <w:spacing w:after="80" w:before="0" w:line="280"/>
        <w:jc w:val="left"/>
      </w:pPr>
      <w:r>
        <w:rPr>
          <w:rFonts w:ascii="Arial" w:cs="Arial" w:eastAsia="Arial" w:hAnsi="Arial"/>
          <w:b w:val="false"/>
          <w:bCs w:val="false"/>
          <w:i w:val="false"/>
          <w:iCs w:val="false"/>
          <w:color w:val="000000"/>
          <w:sz w:val="21"/>
          <w:szCs w:val="21"/>
        </w:rPr>
        <w:t xml:space="preserve">打ち手：(i) 拠点空白地域（東北・北陸・四国の一部）の出店、(ii) 都市部の高密度エリアでの拠点増設（首都圏、京阪神、中京圏）。</w:t>
      </w:r>
    </w:p>
    <w:p>
      <w:pPr>
        <w:spacing w:after="80" w:before="0" w:line="280"/>
        <w:jc w:val="left"/>
      </w:pPr>
      <w:r>
        <w:rPr>
          <w:rFonts w:ascii="Arial" w:cs="Arial" w:eastAsia="Arial" w:hAnsi="Arial"/>
          <w:b w:val="false"/>
          <w:bCs w:val="false"/>
          <w:i w:val="false"/>
          <w:iCs w:val="false"/>
          <w:color w:val="000000"/>
          <w:sz w:val="21"/>
          <w:szCs w:val="21"/>
        </w:rPr>
        <w:t xml:space="preserve">仮説の根拠：17拠点で全国概カバー済みだが、コプロHD（30拠点超と推定）と比べると拠点密度は薄い。地域分散は採用効率と派遣先カバー率に直結する（仮説）。</w:t>
      </w:r>
    </w:p>
    <w:p>
      <w:pPr>
        <w:spacing w:after="80" w:before="0" w:line="280"/>
        <w:jc w:val="left"/>
      </w:pPr>
      <w:r>
        <w:rPr>
          <w:rFonts w:ascii="Arial" w:cs="Arial" w:eastAsia="Arial" w:hAnsi="Arial"/>
          <w:b w:val="false"/>
          <w:bCs w:val="false"/>
          <w:i w:val="false"/>
          <w:iCs w:val="false"/>
          <w:color w:val="000000"/>
          <w:sz w:val="21"/>
          <w:szCs w:val="21"/>
        </w:rPr>
        <w:t xml:space="preserve">定量インパクト試算（仮置）：拠点+5（30拠点体制）×1拠点あたり年売上1-2億円＝+5〜10億円売上、3年。</w:t>
      </w:r>
    </w:p>
    <w:p>
      <w:pPr>
        <w:spacing w:after="80" w:before="0" w:line="280"/>
        <w:jc w:val="left"/>
      </w:pPr>
      <w:r>
        <w:rPr>
          <w:rFonts w:ascii="Arial" w:cs="Arial" w:eastAsia="Arial" w:hAnsi="Arial"/>
          <w:b w:val="false"/>
          <w:bCs w:val="false"/>
          <w:i w:val="false"/>
          <w:iCs w:val="false"/>
          <w:color w:val="000000"/>
          <w:sz w:val="21"/>
          <w:szCs w:val="21"/>
        </w:rPr>
        <w:t xml:space="preserve">実行リスク：拠点立ち上げ初期2-3年は赤字、エリアマネージャー・営業人材確保。</w:t>
      </w:r>
    </w:p>
    <w:p>
      <w:pPr>
        <w:spacing w:after="60" w:before="120"/>
      </w:pPr>
      <w:r>
        <w:rPr>
          <w:rFonts w:ascii="Arial" w:cs="Arial" w:eastAsia="Arial" w:hAnsi="Arial"/>
          <w:b/>
          <w:bCs/>
          <w:color w:val="595959"/>
          <w:sz w:val="21"/>
          <w:szCs w:val="21"/>
        </w:rPr>
        <w:t xml:space="preserve">(b) コスト</w:t>
      </w:r>
    </w:p>
    <w:p>
      <w:pPr>
        <w:spacing w:after="80" w:before="0" w:line="280"/>
        <w:jc w:val="left"/>
      </w:pPr>
      <w:r>
        <w:rPr>
          <w:rFonts w:ascii="Arial" w:cs="Arial" w:eastAsia="Arial" w:hAnsi="Arial"/>
          <w:b/>
          <w:bCs/>
          <w:i w:val="false"/>
          <w:iCs w:val="false"/>
          <w:color w:val="000000"/>
          <w:sz w:val="21"/>
          <w:szCs w:val="21"/>
        </w:rPr>
        <w:t xml:space="preserve">(1) 原価改善</w:t>
      </w:r>
    </w:p>
    <w:p>
      <w:pPr>
        <w:spacing w:after="80" w:before="0" w:line="280"/>
        <w:jc w:val="left"/>
      </w:pPr>
      <w:r>
        <w:rPr>
          <w:rFonts w:ascii="Arial" w:cs="Arial" w:eastAsia="Arial" w:hAnsi="Arial"/>
          <w:b w:val="false"/>
          <w:bCs w:val="false"/>
          <w:i w:val="false"/>
          <w:iCs w:val="false"/>
          <w:color w:val="000000"/>
          <w:sz w:val="21"/>
          <w:szCs w:val="21"/>
        </w:rPr>
        <w:t xml:space="preserve">打ち手：(i) 採用CPA低減（自社採用サイト強化、リファラル採用、SNS採用）、(ii) 教育コンテンツの内製化・標準化（e-Learning制作費の下方分担、グループ介護・医療領域との教育プラットフォーム共通化）、(iii) AI/RPAによる派遣マッチング自動化、(iv) 拠点バックオフィス機能の集約（東京・大阪本部への集約）。</w:t>
      </w:r>
    </w:p>
    <w:p>
      <w:pPr>
        <w:spacing w:after="80" w:before="0" w:line="280"/>
        <w:jc w:val="left"/>
      </w:pPr>
      <w:r>
        <w:rPr>
          <w:rFonts w:ascii="Arial" w:cs="Arial" w:eastAsia="Arial" w:hAnsi="Arial"/>
          <w:b w:val="false"/>
          <w:bCs w:val="false"/>
          <w:i w:val="false"/>
          <w:iCs w:val="false"/>
          <w:color w:val="000000"/>
          <w:sz w:val="21"/>
          <w:szCs w:val="21"/>
        </w:rPr>
        <w:t xml:space="preserve">仮説の根拠：採用CPAは業界平均15-30万円/人と推定され、未経験者派遣の単位経済性を圧迫している（仮説）。教育コストの内製化と他領域との共通化（介護・医療向け資格e-Learningと同じプラットフォーム）でユニットコストを30-50%削減可能（仮置）。</w:t>
      </w:r>
    </w:p>
    <w:p>
      <w:pPr>
        <w:spacing w:after="80" w:before="0" w:line="280"/>
        <w:jc w:val="left"/>
      </w:pPr>
      <w:r>
        <w:rPr>
          <w:rFonts w:ascii="Arial" w:cs="Arial" w:eastAsia="Arial" w:hAnsi="Arial"/>
          <w:b w:val="false"/>
          <w:bCs w:val="false"/>
          <w:i w:val="false"/>
          <w:iCs w:val="false"/>
          <w:color w:val="000000"/>
          <w:sz w:val="21"/>
          <w:szCs w:val="21"/>
        </w:rPr>
        <w:t xml:space="preserve">定量インパクト試算（仮置）：原価率▲1〜2pp（FY24売上85億円ベースで+0.9〜1.7億円のEBITDA改善、3年）。</w:t>
      </w:r>
    </w:p>
    <w:p>
      <w:pPr>
        <w:spacing w:after="80" w:before="0" w:line="280"/>
        <w:jc w:val="left"/>
      </w:pPr>
      <w:r>
        <w:rPr>
          <w:rFonts w:ascii="Arial" w:cs="Arial" w:eastAsia="Arial" w:hAnsi="Arial"/>
          <w:b w:val="false"/>
          <w:bCs w:val="false"/>
          <w:i w:val="false"/>
          <w:iCs w:val="false"/>
          <w:color w:val="000000"/>
          <w:sz w:val="21"/>
          <w:szCs w:val="21"/>
        </w:rPr>
        <w:t xml:space="preserve">実行リスク：採用力低下リスク、教育品質低下による定着率悪化リスク。</w:t>
      </w:r>
    </w:p>
    <w:p>
      <w:pPr>
        <w:spacing w:after="80" w:before="0" w:line="280"/>
        <w:jc w:val="left"/>
      </w:pPr>
      <w:r>
        <w:rPr>
          <w:rFonts w:ascii="Arial" w:cs="Arial" w:eastAsia="Arial" w:hAnsi="Arial"/>
          <w:b/>
          <w:bCs/>
          <w:i w:val="false"/>
          <w:iCs w:val="false"/>
          <w:color w:val="000000"/>
          <w:sz w:val="21"/>
          <w:szCs w:val="21"/>
        </w:rPr>
        <w:t xml:space="preserve">(2) 販管費改善</w:t>
      </w:r>
    </w:p>
    <w:p>
      <w:pPr>
        <w:spacing w:after="80" w:before="0" w:line="280"/>
        <w:jc w:val="left"/>
      </w:pPr>
      <w:r>
        <w:rPr>
          <w:rFonts w:ascii="Arial" w:cs="Arial" w:eastAsia="Arial" w:hAnsi="Arial"/>
          <w:b w:val="false"/>
          <w:bCs w:val="false"/>
          <w:i w:val="false"/>
          <w:iCs w:val="false"/>
          <w:color w:val="000000"/>
          <w:sz w:val="21"/>
          <w:szCs w:val="21"/>
        </w:rPr>
        <w:t xml:space="preserve">打ち手：(i) グループ全体（介護・医療・建設）共通の本社機能シェアード化、(ii) HR/IT/経理のSSC化、(iii) 営業オペレーションのデジタル化（Salesforce化、訪問営業の電話・Web化）。</w:t>
      </w:r>
    </w:p>
    <w:p>
      <w:pPr>
        <w:spacing w:after="80" w:before="0" w:line="280"/>
        <w:jc w:val="left"/>
      </w:pPr>
      <w:r>
        <w:rPr>
          <w:rFonts w:ascii="Arial" w:cs="Arial" w:eastAsia="Arial" w:hAnsi="Arial"/>
          <w:b w:val="false"/>
          <w:bCs w:val="false"/>
          <w:i w:val="false"/>
          <w:iCs w:val="false"/>
          <w:color w:val="000000"/>
          <w:sz w:val="21"/>
          <w:szCs w:val="21"/>
        </w:rPr>
        <w:t xml:space="preserve">仮説の根拠：トライトEは独立子会社として運営されているが、グループ親会社（トライトG）配下の3領域でHR・IT・経理は共通化余地あり（仮説）。</w:t>
      </w:r>
    </w:p>
    <w:p>
      <w:pPr>
        <w:spacing w:after="80" w:before="0" w:line="280"/>
        <w:jc w:val="left"/>
      </w:pPr>
      <w:r>
        <w:rPr>
          <w:rFonts w:ascii="Arial" w:cs="Arial" w:eastAsia="Arial" w:hAnsi="Arial"/>
          <w:b w:val="false"/>
          <w:bCs w:val="false"/>
          <w:i w:val="false"/>
          <w:iCs w:val="false"/>
          <w:color w:val="000000"/>
          <w:sz w:val="21"/>
          <w:szCs w:val="21"/>
        </w:rPr>
        <w:t xml:space="preserve">定量インパクト試算（仮置）：販管費率▲0.5〜1pp（FY24売上85億円ベースで+0.4〜0.9億円のEBITDA改善、3年）。</w:t>
      </w:r>
    </w:p>
    <w:p>
      <w:pPr>
        <w:spacing w:after="80" w:before="0" w:line="280"/>
        <w:jc w:val="left"/>
      </w:pPr>
      <w:r>
        <w:rPr>
          <w:rFonts w:ascii="Arial" w:cs="Arial" w:eastAsia="Arial" w:hAnsi="Arial"/>
          <w:b w:val="false"/>
          <w:bCs w:val="false"/>
          <w:i w:val="false"/>
          <w:iCs w:val="false"/>
          <w:color w:val="000000"/>
          <w:sz w:val="21"/>
          <w:szCs w:val="21"/>
        </w:rPr>
        <w:t xml:space="preserve">実行リスク：グループ全体の組織再編との連動、PMI複雑化。</w:t>
      </w:r>
    </w:p>
    <w:p>
      <w:pPr>
        <w:spacing w:after="80" w:before="160"/>
      </w:pPr>
      <w:r>
        <w:rPr>
          <w:rFonts w:ascii="Arial" w:cs="Arial" w:eastAsia="Arial" w:hAnsi="Arial"/>
          <w:b/>
          <w:bCs/>
          <w:color w:val="404040"/>
          <w:sz w:val="23"/>
          <w:szCs w:val="23"/>
        </w:rPr>
        <w:t xml:space="preserve">3-2. インオーガニック</w:t>
      </w:r>
    </w:p>
    <w:p>
      <w:pPr>
        <w:spacing w:after="80" w:before="0" w:line="280"/>
        <w:jc w:val="left"/>
      </w:pPr>
      <w:r>
        <w:rPr>
          <w:rFonts w:ascii="Arial" w:cs="Arial" w:eastAsia="Arial" w:hAnsi="Arial"/>
          <w:b/>
          <w:bCs/>
          <w:i w:val="false"/>
          <w:iCs w:val="false"/>
          <w:color w:val="000000"/>
          <w:sz w:val="21"/>
          <w:szCs w:val="21"/>
        </w:rPr>
        <w:t xml:space="preserve">(1) 同業ロールアップ</w:t>
      </w:r>
    </w:p>
    <w:p>
      <w:pPr>
        <w:spacing w:after="80" w:before="0" w:line="280"/>
        <w:jc w:val="left"/>
      </w:pPr>
      <w:r>
        <w:rPr>
          <w:rFonts w:ascii="Arial" w:cs="Arial" w:eastAsia="Arial" w:hAnsi="Arial"/>
          <w:b w:val="false"/>
          <w:bCs w:val="false"/>
          <w:i w:val="false"/>
          <w:iCs w:val="false"/>
          <w:color w:val="000000"/>
          <w:sz w:val="21"/>
          <w:szCs w:val="21"/>
        </w:rPr>
        <w:t xml:space="preserve">打ち手：建設技術者派遣の中堅・地域系プレイヤーの買収。具体仮説候補：(i) ライクの建設派遣事業のカーブアウト買収、(ii) 地域特化型の建設派遣中小企業（売上10-30億円規模）3-5社の連続買収。</w:t>
      </w:r>
    </w:p>
    <w:p>
      <w:pPr>
        <w:spacing w:after="80" w:before="0" w:line="280"/>
        <w:jc w:val="left"/>
      </w:pPr>
      <w:r>
        <w:rPr>
          <w:rFonts w:ascii="Arial" w:cs="Arial" w:eastAsia="Arial" w:hAnsi="Arial"/>
          <w:b w:val="false"/>
          <w:bCs w:val="false"/>
          <w:i w:val="false"/>
          <w:iCs w:val="false"/>
          <w:color w:val="000000"/>
          <w:sz w:val="21"/>
          <w:szCs w:val="21"/>
        </w:rPr>
        <w:t xml:space="preserve">仮説の根拠：建設技術者派遣業界は上位5社シェア合計約16%と断片化しており、ロールアップによる規模・拠点・顧客基盤の獲得余地が大きい。ナレル等が同様のM&amp;A戦略を採用中。</w:t>
      </w:r>
    </w:p>
    <w:p>
      <w:pPr>
        <w:spacing w:after="80" w:before="0" w:line="280"/>
        <w:jc w:val="left"/>
      </w:pPr>
      <w:r>
        <w:rPr>
          <w:rFonts w:ascii="Arial" w:cs="Arial" w:eastAsia="Arial" w:hAnsi="Arial"/>
          <w:b w:val="false"/>
          <w:bCs w:val="false"/>
          <w:i w:val="false"/>
          <w:iCs w:val="false"/>
          <w:color w:val="000000"/>
          <w:sz w:val="21"/>
          <w:szCs w:val="21"/>
        </w:rPr>
        <w:t xml:space="preserve">定量インパクト試算（仮置）：3-5社買収で+30〜50億円売上、買収倍率EV/EBITDA 6-8x、PMIシナジーで+10〜20%増益（仮置、3-5年）。</w:t>
      </w:r>
    </w:p>
    <w:p>
      <w:pPr>
        <w:spacing w:after="80" w:before="0" w:line="280"/>
        <w:jc w:val="left"/>
      </w:pPr>
      <w:r>
        <w:rPr>
          <w:rFonts w:ascii="Arial" w:cs="Arial" w:eastAsia="Arial" w:hAnsi="Arial"/>
          <w:b w:val="false"/>
          <w:bCs w:val="false"/>
          <w:i w:val="false"/>
          <w:iCs w:val="false"/>
          <w:color w:val="000000"/>
          <w:sz w:val="21"/>
          <w:szCs w:val="21"/>
        </w:rPr>
        <w:t xml:space="preserve">PMI論点：(i) 派遣技術者の処遇統一（給与・賞与体系）、(ii) 営業所統廃合、(iii) システム統合（基幹システム、給与計算）、(iv) 採用ブランドの統合（複数ブランド維持 vs 単一ブランドへの収斂）。</w:t>
      </w:r>
    </w:p>
    <w:p>
      <w:pPr>
        <w:spacing w:after="80" w:before="0" w:line="280"/>
        <w:jc w:val="left"/>
      </w:pPr>
      <w:r>
        <w:rPr>
          <w:rFonts w:ascii="Arial" w:cs="Arial" w:eastAsia="Arial" w:hAnsi="Arial"/>
          <w:b w:val="false"/>
          <w:bCs w:val="false"/>
          <w:i w:val="false"/>
          <w:iCs w:val="false"/>
          <w:color w:val="000000"/>
          <w:sz w:val="21"/>
          <w:szCs w:val="21"/>
        </w:rPr>
        <w:t xml:space="preserve">実行リスク：買収候補のオーナー社長依存、買収後の派遣技術者離職、Carlyle/トライトG親会社の承認プロセス。</w:t>
      </w:r>
    </w:p>
    <w:p>
      <w:pPr>
        <w:spacing w:after="80" w:before="0" w:line="280"/>
        <w:jc w:val="left"/>
      </w:pPr>
      <w:r>
        <w:rPr>
          <w:rFonts w:ascii="Arial" w:cs="Arial" w:eastAsia="Arial" w:hAnsi="Arial"/>
          <w:b/>
          <w:bCs/>
          <w:i w:val="false"/>
          <w:iCs w:val="false"/>
          <w:color w:val="000000"/>
          <w:sz w:val="21"/>
          <w:szCs w:val="21"/>
        </w:rPr>
        <w:t xml:space="preserve">(2) 隣接企業買収による機能強化</w:t>
      </w:r>
    </w:p>
    <w:p>
      <w:pPr>
        <w:spacing w:after="80" w:before="0" w:line="280"/>
        <w:jc w:val="left"/>
      </w:pPr>
      <w:r>
        <w:rPr>
          <w:rFonts w:ascii="Arial" w:cs="Arial" w:eastAsia="Arial" w:hAnsi="Arial"/>
          <w:b w:val="false"/>
          <w:bCs w:val="false"/>
          <w:i w:val="false"/>
          <w:iCs w:val="false"/>
          <w:color w:val="000000"/>
          <w:sz w:val="21"/>
          <w:szCs w:val="21"/>
        </w:rPr>
        <w:t xml:space="preserve">打ち手：(i) BIM/CADオペレーター派遣会社、(ii) 建設業界専門の人材紹介エージェント、(iii) 建設DX/i-Construction系コンサル、(iv) 海外（東南アジア）建設派遣プレイヤーで日本受入実績のある企業。</w:t>
      </w:r>
    </w:p>
    <w:p>
      <w:pPr>
        <w:spacing w:after="80" w:before="0" w:line="280"/>
        <w:jc w:val="left"/>
      </w:pPr>
      <w:r>
        <w:rPr>
          <w:rFonts w:ascii="Arial" w:cs="Arial" w:eastAsia="Arial" w:hAnsi="Arial"/>
          <w:b w:val="false"/>
          <w:bCs w:val="false"/>
          <w:i w:val="false"/>
          <w:iCs w:val="false"/>
          <w:color w:val="000000"/>
          <w:sz w:val="21"/>
          <w:szCs w:val="21"/>
        </w:rPr>
        <w:t xml:space="preserve">仮説の根拠：施工管理派遣だけでは将来的な成長余地が頭打ちになる懸念があり、隣接領域（設計・BIM・CAD・PM/CM）への拡張で1顧客あたり売上拡大、成長率維持を狙える。</w:t>
      </w:r>
    </w:p>
    <w:p>
      <w:pPr>
        <w:spacing w:after="80" w:before="0" w:line="280"/>
        <w:jc w:val="left"/>
      </w:pPr>
      <w:r>
        <w:rPr>
          <w:rFonts w:ascii="Arial" w:cs="Arial" w:eastAsia="Arial" w:hAnsi="Arial"/>
          <w:b w:val="false"/>
          <w:bCs w:val="false"/>
          <w:i w:val="false"/>
          <w:iCs w:val="false"/>
          <w:color w:val="000000"/>
          <w:sz w:val="21"/>
          <w:szCs w:val="21"/>
        </w:rPr>
        <w:t xml:space="preserve">定量インパクト試算（仮置）：1-2社買収で+10〜20億円売上、買収倍率EV/EBITDA 8-10x、3年。</w:t>
      </w:r>
    </w:p>
    <w:p>
      <w:pPr>
        <w:spacing w:after="80" w:before="0" w:line="280"/>
        <w:jc w:val="left"/>
      </w:pPr>
      <w:r>
        <w:rPr>
          <w:rFonts w:ascii="Arial" w:cs="Arial" w:eastAsia="Arial" w:hAnsi="Arial"/>
          <w:b w:val="false"/>
          <w:bCs w:val="false"/>
          <w:i w:val="false"/>
          <w:iCs w:val="false"/>
          <w:color w:val="000000"/>
          <w:sz w:val="21"/>
          <w:szCs w:val="21"/>
        </w:rPr>
        <w:t xml:space="preserve">PMI論点：技術者の処遇統一、ブランド統合、トライトG全体の医療・介護領域とのナレッジ共有。</w:t>
      </w:r>
    </w:p>
    <w:p>
      <w:pPr>
        <w:spacing w:after="80" w:before="0" w:line="280"/>
        <w:jc w:val="left"/>
      </w:pPr>
      <w:r>
        <w:rPr>
          <w:rFonts w:ascii="Arial" w:cs="Arial" w:eastAsia="Arial" w:hAnsi="Arial"/>
          <w:b w:val="false"/>
          <w:bCs w:val="false"/>
          <w:i w:val="false"/>
          <w:iCs w:val="false"/>
          <w:color w:val="000000"/>
          <w:sz w:val="21"/>
          <w:szCs w:val="21"/>
        </w:rPr>
        <w:t xml:space="preserve">実行リスク：BIM・CAD等の希少人材分野は買収候補が小規模・未上場で、デューデリ難易度が高い。</w:t>
      </w:r>
    </w:p>
    <w:p>
      <w:pPr>
        <w:spacing w:after="80" w:before="160"/>
      </w:pPr>
      <w:r>
        <w:rPr>
          <w:rFonts w:ascii="Arial" w:cs="Arial" w:eastAsia="Arial" w:hAnsi="Arial"/>
          <w:b/>
          <w:bCs/>
          <w:color w:val="404040"/>
          <w:sz w:val="23"/>
          <w:szCs w:val="23"/>
        </w:rPr>
        <w:t xml:space="preserve">3-3. Exitの可能性（エクイティストーリー含む）</w:t>
      </w:r>
    </w:p>
    <w:p>
      <w:pPr>
        <w:spacing w:after="80" w:before="0" w:line="280"/>
        <w:jc w:val="left"/>
      </w:pPr>
      <w:r>
        <w:rPr>
          <w:rFonts w:ascii="Arial" w:cs="Arial" w:eastAsia="Arial" w:hAnsi="Arial"/>
          <w:b/>
          <w:bCs/>
          <w:i w:val="false"/>
          <w:iCs w:val="false"/>
          <w:color w:val="000000"/>
          <w:sz w:val="21"/>
          <w:szCs w:val="21"/>
        </w:rPr>
        <w:t xml:space="preserve">(1) 想定買い手</w:t>
      </w:r>
    </w:p>
    <w:p>
      <w:pPr>
        <w:spacing w:after="80" w:before="0" w:line="280"/>
        <w:jc w:val="left"/>
      </w:pPr>
      <w:r>
        <w:rPr>
          <w:rFonts w:ascii="Arial" w:cs="Arial" w:eastAsia="Arial" w:hAnsi="Arial"/>
          <w:b w:val="false"/>
          <w:bCs w:val="false"/>
          <w:i w:val="false"/>
          <w:iCs w:val="false"/>
          <w:color w:val="000000"/>
          <w:sz w:val="21"/>
          <w:szCs w:val="21"/>
        </w:rPr>
        <w:t xml:space="preserve">第1類型（事業会社・戦略買収）：建設派遣最大手（オープンアップG）、中堅（コプロHD、テクノプロHD）、または建設大手（鹿島、大林等）の人材機能内製化M&amp;A。事業会社買収の場合、規模効果獲得が狙い。</w:t>
      </w:r>
    </w:p>
    <w:p>
      <w:pPr>
        <w:spacing w:after="80" w:before="0" w:line="280"/>
        <w:jc w:val="left"/>
      </w:pPr>
      <w:r>
        <w:rPr>
          <w:rFonts w:ascii="Arial" w:cs="Arial" w:eastAsia="Arial" w:hAnsi="Arial"/>
          <w:b w:val="false"/>
          <w:bCs w:val="false"/>
          <w:i w:val="false"/>
          <w:iCs w:val="false"/>
          <w:color w:val="000000"/>
          <w:sz w:val="21"/>
          <w:szCs w:val="21"/>
        </w:rPr>
        <w:t xml:space="preserve">第2類型（PE・MBO）：Carlyleからの再売却（セカンダリーバイアウト）。候補PE：日系（J-STAR、ユニゾン、Aモーガンスタンレーキャピタル）、外資（Bain、KKR、Apollo）。</w:t>
      </w:r>
    </w:p>
    <w:p>
      <w:pPr>
        <w:spacing w:after="80" w:before="0" w:line="280"/>
        <w:jc w:val="left"/>
      </w:pPr>
      <w:r>
        <w:rPr>
          <w:rFonts w:ascii="Arial" w:cs="Arial" w:eastAsia="Arial" w:hAnsi="Arial"/>
          <w:b w:val="false"/>
          <w:bCs w:val="false"/>
          <w:i w:val="false"/>
          <w:iCs w:val="false"/>
          <w:color w:val="000000"/>
          <w:sz w:val="21"/>
          <w:szCs w:val="21"/>
        </w:rPr>
        <w:t xml:space="preserve">第3類型（IPO・パブリック）：トライトE単体での再分離上場、またはトライトG全体としてのPO（公募増資）でCarlyle持分売却。</w:t>
      </w:r>
    </w:p>
    <w:p>
      <w:pPr>
        <w:spacing w:after="80" w:before="0" w:line="280"/>
        <w:jc w:val="left"/>
      </w:pPr>
      <w:r>
        <w:rPr>
          <w:rFonts w:ascii="Arial" w:cs="Arial" w:eastAsia="Arial" w:hAnsi="Arial"/>
          <w:b/>
          <w:bCs/>
          <w:i w:val="false"/>
          <w:iCs w:val="false"/>
          <w:color w:val="000000"/>
          <w:sz w:val="21"/>
          <w:szCs w:val="21"/>
        </w:rPr>
        <w:t xml:space="preserve">(2) 想定マルチプル</w:t>
      </w:r>
    </w:p>
    <w:p>
      <w:pPr>
        <w:spacing w:after="80" w:before="0" w:line="280"/>
        <w:jc w:val="left"/>
      </w:pPr>
      <w:r>
        <w:rPr>
          <w:rFonts w:ascii="Arial" w:cs="Arial" w:eastAsia="Arial" w:hAnsi="Arial"/>
          <w:b w:val="false"/>
          <w:bCs w:val="false"/>
          <w:i w:val="false"/>
          <w:iCs w:val="false"/>
          <w:color w:val="000000"/>
          <w:sz w:val="21"/>
          <w:szCs w:val="21"/>
        </w:rPr>
        <w:t xml:space="preserve">業界EV/EBITDAレンジ：人材派遣業界は8-12x（コプロHD、ナレル、テクノプロHD等のピア倍率）。建設特化は若干高めの10-13xも観測される（仮説）。</w:t>
      </w:r>
    </w:p>
    <w:p>
      <w:pPr>
        <w:spacing w:after="80" w:before="0" w:line="280"/>
        <w:jc w:val="left"/>
      </w:pPr>
      <w:r>
        <w:rPr>
          <w:rFonts w:ascii="Arial" w:cs="Arial" w:eastAsia="Arial" w:hAnsi="Arial"/>
          <w:b w:val="false"/>
          <w:bCs w:val="false"/>
          <w:i w:val="false"/>
          <w:iCs w:val="false"/>
          <w:color w:val="000000"/>
          <w:sz w:val="21"/>
          <w:szCs w:val="21"/>
        </w:rPr>
        <w:t xml:space="preserve">ピア企業の足元マルチプル（FY24/FY25見込みベース）：</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ナレル：EV/EBITDA約10-12x（成長性プレミアム）</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コプロHD：EV/EBITDA約8-10x</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オープンアップG：EV/EBITDA約7-9x（成熟）</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テクノプロHD：EV/EBITDA約9-11x</w:t>
      </w:r>
    </w:p>
    <w:p>
      <w:pPr>
        <w:spacing w:after="80" w:before="0" w:line="280"/>
        <w:jc w:val="left"/>
      </w:pPr>
      <w:r>
        <w:rPr>
          <w:rFonts w:ascii="Arial" w:cs="Arial" w:eastAsia="Arial" w:hAnsi="Arial"/>
          <w:b/>
          <w:bCs/>
          <w:i w:val="false"/>
          <w:iCs w:val="false"/>
          <w:color w:val="000000"/>
          <w:sz w:val="21"/>
          <w:szCs w:val="21"/>
        </w:rPr>
        <w:t xml:space="preserve">(3) 5年後Exit想定</w:t>
      </w:r>
    </w:p>
    <w:p>
      <w:pPr>
        <w:spacing w:after="80" w:before="0" w:line="280"/>
        <w:jc w:val="left"/>
      </w:pPr>
      <w:r>
        <w:rPr>
          <w:rFonts w:ascii="Arial" w:cs="Arial" w:eastAsia="Arial" w:hAnsi="Arial"/>
          <w:b w:val="false"/>
          <w:bCs w:val="false"/>
          <w:i w:val="false"/>
          <w:iCs w:val="false"/>
          <w:color w:val="000000"/>
          <w:sz w:val="21"/>
          <w:szCs w:val="21"/>
        </w:rPr>
        <w:t xml:space="preserve">バリューアップ実行後の対象会社単独想定：FY29売上150-180億円、EBITDA15-20億円（仮置）×Exit時マルチプル10-12x＝想定EV 150-240億円。</w:t>
      </w:r>
    </w:p>
    <w:p>
      <w:pPr>
        <w:spacing w:after="80" w:before="0" w:line="280"/>
        <w:jc w:val="left"/>
      </w:pPr>
      <w:r>
        <w:rPr>
          <w:rFonts w:ascii="Arial" w:cs="Arial" w:eastAsia="Arial" w:hAnsi="Arial"/>
          <w:b w:val="false"/>
          <w:bCs w:val="false"/>
          <w:i w:val="false"/>
          <w:iCs w:val="false"/>
          <w:color w:val="000000"/>
          <w:sz w:val="21"/>
          <w:szCs w:val="21"/>
        </w:rPr>
        <w:t xml:space="preserve">Carlyleの取得時EV（推定2018年買収時）からの数倍のリターンを目指す出口戦略が想定される。</w:t>
      </w:r>
    </w:p>
    <w:p>
      <w:pPr>
        <w:spacing w:after="80" w:before="0" w:line="280"/>
        <w:jc w:val="left"/>
      </w:pPr>
      <w:r>
        <w:rPr>
          <w:rFonts w:ascii="Arial" w:cs="Arial" w:eastAsia="Arial" w:hAnsi="Arial"/>
          <w:b/>
          <w:bCs/>
          <w:i w:val="false"/>
          <w:iCs w:val="false"/>
          <w:color w:val="000000"/>
          <w:sz w:val="21"/>
          <w:szCs w:val="21"/>
        </w:rPr>
        <w:t xml:space="preserve">(4) エクイティストーリー</w:t>
      </w:r>
    </w:p>
    <w:p>
      <w:pPr>
        <w:spacing w:after="80" w:before="0" w:line="280"/>
        <w:jc w:val="left"/>
      </w:pPr>
      <w:r>
        <w:rPr>
          <w:rFonts w:ascii="Arial" w:cs="Arial" w:eastAsia="Arial" w:hAnsi="Arial"/>
          <w:b w:val="false"/>
          <w:bCs w:val="false"/>
          <w:i w:val="false"/>
          <w:iCs w:val="false"/>
          <w:color w:val="000000"/>
          <w:sz w:val="21"/>
          <w:szCs w:val="21"/>
        </w:rPr>
        <w:t xml:space="preserve">「2024年問題後の建設技術者構造不足を </w:t>
      </w:r>
      <w:r>
        <w:rPr>
          <w:rFonts w:ascii="Arial" w:cs="Arial" w:eastAsia="Arial" w:hAnsi="Arial"/>
          <w:b/>
          <w:bCs/>
          <w:i w:val="false"/>
          <w:iCs w:val="false"/>
          <w:color w:val="000000"/>
          <w:sz w:val="21"/>
          <w:szCs w:val="21"/>
        </w:rPr>
        <w:t xml:space="preserve">未経験者採用×自社育成</w:t>
      </w:r>
      <w:r>
        <w:rPr>
          <w:rFonts w:ascii="Arial" w:cs="Arial" w:eastAsia="Arial" w:hAnsi="Arial"/>
          <w:b w:val="false"/>
          <w:bCs w:val="false"/>
          <w:i w:val="false"/>
          <w:iCs w:val="false"/>
          <w:color w:val="000000"/>
          <w:sz w:val="21"/>
          <w:szCs w:val="21"/>
        </w:rPr>
        <w:t xml:space="preserve"> モデルで解決する、業界トップ3の人材プラットフォーム」。</w:t>
      </w:r>
    </w:p>
    <w:p>
      <w:pPr>
        <w:spacing w:after="80" w:before="0" w:line="280"/>
        <w:jc w:val="left"/>
      </w:pPr>
      <w:r>
        <w:rPr>
          <w:rFonts w:ascii="Arial" w:cs="Arial" w:eastAsia="Arial" w:hAnsi="Arial"/>
          <w:b w:val="false"/>
          <w:bCs w:val="false"/>
          <w:i w:val="false"/>
          <w:iCs w:val="false"/>
          <w:color w:val="000000"/>
          <w:sz w:val="21"/>
          <w:szCs w:val="21"/>
        </w:rPr>
        <w:t xml:space="preserve">具体的には：</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建設業就業者の高齢化・引退で需給逼迫</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2024年問題で派遣需要拡大</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未経験者採用→自社育成モデルが業界共通インフラ化</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拠点ネットワーク・教育プラットフォームの規模効果が支配的</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ロールアップで業界シェア5%→10%（売上85億→200億円）を狙う</w:t>
      </w:r>
    </w:p>
    <w:p>
      <w:pPr>
        <w:spacing w:after="80" w:before="160"/>
      </w:pPr>
      <w:r>
        <w:rPr>
          <w:rFonts w:ascii="Arial" w:cs="Arial" w:eastAsia="Arial" w:hAnsi="Arial"/>
          <w:b/>
          <w:bCs/>
          <w:color w:val="404040"/>
          <w:sz w:val="23"/>
          <w:szCs w:val="23"/>
        </w:rPr>
        <w:t xml:space="preserve">Value-up Bridge 数値テーブル</w:t>
      </w:r>
    </w:p>
    <w:p>
      <w:pPr>
        <w:spacing w:after="80" w:before="0" w:line="280"/>
        <w:jc w:val="left"/>
      </w:pPr>
      <w:r>
        <w:rPr>
          <w:rFonts w:ascii="Arial" w:cs="Arial" w:eastAsia="Arial" w:hAnsi="Arial"/>
          <w:b w:val="false"/>
          <w:bCs w:val="false"/>
          <w:i w:val="false"/>
          <w:iCs w:val="false"/>
          <w:color w:val="000000"/>
          <w:sz w:val="21"/>
          <w:szCs w:val="21"/>
        </w:rPr>
        <w:t xml:space="preserve">⚠️ 数値はすべて仮置。追加DDで詰める前提。</w:t>
      </w:r>
    </w:p>
    <w:tbl>
      <w:tblPr>
        <w:tblW w:type="pct" w:w="100%"/>
        <w:tblBorders>
          <w:top w:val="single" w:color="BFBFBF" w:sz="4"/>
          <w:left w:val="single" w:color="BFBFBF" w:sz="4"/>
          <w:bottom w:val="single" w:color="BFBFBF" w:sz="4"/>
          <w:right w:val="single" w:color="BFBFBF" w:sz="4"/>
          <w:insideH w:val="single" w:color="BFBFBF" w:sz="2"/>
          <w:insideV w:val="single" w:color="BFBFBF" w:sz="2"/>
        </w:tblBorders>
      </w:tblPr>
      <w:tblGrid>
        <w:gridCol w:w="100"/>
        <w:gridCol w:w="100"/>
        <w:gridCol w:w="100"/>
        <w:gridCol w:w="100"/>
      </w:tblGrid>
      <w:tr>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項目</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EBITDA（億円）／レンジ</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寄与の論拠</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達成期間</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現状EBITDA（FY24建設セグメント推定）</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6〜10</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グループ連結EBITDA67億円から建設売上構成比（13%）で按分。但し管理会計ベースの建設EBITDAは未開示</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 オーガニック</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+3〜6</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プライシング+1.5億円、新規顧客+1〜3億円、隣接サービス+1〜2億円、原価・販管費改善+1.3〜2.6億円</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〜3-5年</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 インオーガニック</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+5〜10</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同業ロールアップ3-5社×買収後EBITDA合算、隣接買収1-2社</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〜3-5年</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bCs/>
                <w:i w:val="false"/>
                <w:iCs w:val="false"/>
                <w:color w:val="000000"/>
                <w:sz w:val="18"/>
                <w:szCs w:val="18"/>
              </w:rPr>
              <w:t xml:space="preserve">5年後想定EBITDA</w:t>
            </w:r>
          </w:p>
        </w:tc>
        <w:tc>
          <w:tcPr>
            <w:shd w:fill="F2F4F7" w:color="F2F4F7" w:val="solid"/>
            <w:tcMar>
              <w:top w:type="dxa" w:w="60"/>
              <w:left w:type="dxa" w:w="80"/>
              <w:bottom w:type="dxa" w:w="60"/>
              <w:right w:type="dxa" w:w="80"/>
            </w:tcMar>
          </w:tcPr>
          <w:p>
            <w:pPr>
              <w:spacing w:line="240"/>
              <w:jc w:val="left"/>
            </w:pPr>
            <w:r>
              <w:rPr>
                <w:rFonts w:ascii="Arial" w:cs="Arial" w:eastAsia="Arial" w:hAnsi="Arial"/>
                <w:b/>
                <w:bCs/>
                <w:i w:val="false"/>
                <w:iCs w:val="false"/>
                <w:color w:val="000000"/>
                <w:sz w:val="18"/>
                <w:szCs w:val="18"/>
              </w:rPr>
              <w:t xml:space="preserve">14〜26億円</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r>
    </w:tbl>
    <w:p>
      <w:pPr>
        <w:spacing w:after="60" w:before="0" w:line="280"/>
        <w:jc w:val="left"/>
      </w:pPr>
      <w:r>
        <w:rPr>
          <w:rFonts w:ascii="Arial" w:cs="Arial" w:eastAsia="Arial" w:hAnsi="Arial"/>
          <w:b w:val="false"/>
          <w:bCs w:val="false"/>
          <w:i w:val="false"/>
          <w:iCs w:val="false"/>
          <w:color w:val="000000"/>
          <w:sz w:val="21"/>
          <w:szCs w:val="21"/>
        </w:rPr>
        <w:t xml:space="preserve"/>
      </w:r>
    </w:p>
    <w:p>
      <w:pPr>
        <w:spacing w:after="80" w:before="0" w:line="280"/>
        <w:jc w:val="left"/>
      </w:pPr>
      <w:r>
        <w:rPr>
          <w:rFonts w:ascii="Arial" w:cs="Arial" w:eastAsia="Arial" w:hAnsi="Arial"/>
          <w:b w:val="false"/>
          <w:bCs w:val="false"/>
          <w:i w:val="false"/>
          <w:iCs w:val="false"/>
          <w:color w:val="000000"/>
          <w:sz w:val="21"/>
          <w:szCs w:val="21"/>
        </w:rPr>
        <w:t xml:space="preserve">3-3 Exitの想定EVはBridgeとは別表で示す（5年後想定EBITDA15-20億円×Exit倍率10-12x＝150-240億円EV）。</w:t>
      </w:r>
    </w:p>
    <w:p>
      <w:pPr>
        <w:spacing w:after="100" w:before="200"/>
      </w:pPr>
      <w:r>
        <w:rPr>
          <w:rFonts w:ascii="Arial" w:cs="Arial" w:eastAsia="Arial" w:hAnsi="Arial"/>
          <w:b/>
          <w:bCs/>
          <w:color w:val="2C4F7A"/>
          <w:sz w:val="25"/>
          <w:szCs w:val="25"/>
        </w:rPr>
        <w:t xml:space="preserve">付録</w:t>
      </w:r>
    </w:p>
    <w:p>
      <w:pPr>
        <w:spacing w:after="80" w:before="160"/>
      </w:pPr>
      <w:r>
        <w:rPr>
          <w:rFonts w:ascii="Arial" w:cs="Arial" w:eastAsia="Arial" w:hAnsi="Arial"/>
          <w:b/>
          <w:bCs/>
          <w:color w:val="404040"/>
          <w:sz w:val="23"/>
          <w:szCs w:val="23"/>
        </w:rPr>
        <w:t xml:space="preserve">出典一覧</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株式会社トライトグループ 第7期有価証券報告書（2024年12月期）, EDINET, 提出日2025-03-28, docID: S100VHZW</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株式会社トライトグループ 第6期有価証券報告書（2023年12月期）, EDINET, 提出日2024-03-28, docID: S100T5KO</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株式会社トライトグループ 第8期半期報告書（2025年12月期上期）, EDINET, 提出日2025-08-08, docID: S100WHRZ</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株式会社トライトグループ 新規上場目論見書, 2023-06-20, docID: S100QZXQ</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トライトグループ FY2024 通期決算説明資料, https://tryt-group.co.jp/</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株式会社トライトエンジニアリング 公式サイト・採用ページ, https://tryt-eng.co.jp/about/</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矢野経済研究所「業種・職種別人材サービス市場 2025年版」, 2025</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国土交通省 R7建設業（技術者制度）参考資料, https://www.mlit.go.jp/tochi_fudousan_kensetsugyo/const/content/001715124.pdf</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厚生労働省 建設業 時間外労働上限規制解説, https://www.mhlw.go.jp/content/001335074.pdf</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コプロHD 2026/3 2Q決算説明資料, https://www.copro-h.co.jp/ir/</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ログミーFinance ナレルグループ決算</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業界動向サーチ 技術者派遣ランキング, https://gyokai-search.com/4-g-haken-uriage.html</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マイナビ転職 トライトエンジニアリング求人, https://tenshoku.mynavi.jp/jobinfo-405498-1-2-1/</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OpenWork トライトエンジニアリング社員口コミ</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キャリコネ年収レポート, https://careerconnection.jp/</w:t>
      </w:r>
    </w:p>
    <w:p>
      <w:pPr>
        <w:spacing w:after="80" w:before="160"/>
      </w:pPr>
      <w:r>
        <w:rPr>
          <w:rFonts w:ascii="Arial" w:cs="Arial" w:eastAsia="Arial" w:hAnsi="Arial"/>
          <w:b/>
          <w:bCs/>
          <w:color w:val="404040"/>
          <w:sz w:val="23"/>
          <w:szCs w:val="23"/>
        </w:rPr>
        <w:t xml:space="preserve">略語集</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IFRS：国際財務報告基準</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LBO：Leveraged Buy-Out</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KMP：Key Management Personnel（経営幹部）</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KBF：Key Buying Factor（顧客の購買決定要因）</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BIM/CIM：Building/Construction Information Modeling</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CCUS：建設キャリアアップシステム</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2024年問題：建設業の時間外労働上限規制（2024年4月施行）</w:t>
      </w:r>
    </w:p>
    <w:sectPr>
      <w:pgSz w:w="11906" w:h="16838"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オープンアップグループ ビジネスDD</dc:title>
  <dc:creator>Business DD Skill</dc:creator>
  <cp:lastModifiedBy>Un-named</cp:lastModifiedBy>
  <cp:revision>1</cp:revision>
  <dcterms:created xsi:type="dcterms:W3CDTF">2026-05-10T07:04:59.363Z</dcterms:created>
  <dcterms:modified xsi:type="dcterms:W3CDTF">2026-05-10T07:04:59.364Z</dcterms:modified>
</cp:coreProperties>
</file>

<file path=docProps/custom.xml><?xml version="1.0" encoding="utf-8"?>
<Properties xmlns="http://schemas.openxmlformats.org/officeDocument/2006/custom-properties" xmlns:vt="http://schemas.openxmlformats.org/officeDocument/2006/docPropsVTypes"/>
</file>