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6"/>
          <w:rFonts w:eastAsia="Yu Gothic"/>
        </w:rPr>
        <w:t>レオン自動機株式会社（6272） ビジネスDDレポート（2026年4月）</w:t>
      </w:r>
    </w:p>
    <w:p>
      <w:pPr>
        <w:spacing w:before="200" w:after="80"/>
      </w:pPr>
      <w:r>
        <w:rPr>
          <w:b/>
          <w:sz w:val="28"/>
          <w:rFonts w:eastAsia="Yu Gothic" w:ascii="Arial" w:hAnsi="Arial"/>
        </w:rPr>
        <w:t>エグゼクティブサマリー</w:t>
      </w:r>
    </w:p>
    <w:p>
      <w:pPr>
        <w:spacing w:before="120" w:after="40"/>
      </w:pPr>
      <w:r>
        <w:rPr>
          <w:b/>
          <w:sz w:val="21"/>
          <w:rFonts w:eastAsia="Yu Gothic" w:ascii="Arial" w:hAnsi="Arial"/>
        </w:rPr>
        <w:t>投資仮説（Investment Thesis）</w:t>
      </w:r>
    </w:p>
    <w:p>
      <w:pPr>
        <w:spacing w:before="0" w:after="40"/>
      </w:pPr>
      <w:r>
        <w:rPr>
          <w:rFonts w:ascii="Arial" w:hAnsi="Arial"/>
          <w:sz w:val="21"/>
          <w:rFonts w:eastAsia="Yu Gothic" w:ascii="Arial" w:hAnsi="Arial"/>
        </w:rPr>
        <w:t>レオン自動機は具材を生地で包む「包あん機」で世界約130カ国・1.74万社へ出荷実績を持つグローバルニッチトップ食品機械メーカーで、FY2025連結売上392億円・営業利益率13.5%と過去2期連続で最高益を更新中。中核の食品加工機械事業は売上構成59%・セグメント利益構成75%・利益率24.5%の超高収益事業で、米オレンジベーカリー（食品製造販売41%）を機械の実証・販促拠点として併用する垂直統合モデルが収益の二層構造を支える。包あん機の基本特許失効による中国模造品流入と米トランプ関税不透明、および創業家系財団等で30%超を保有する安定株主構成下のサクセッション・ガバナンス論点が買収検討上の主要リスク。インド・中東・北アフリカの新興国開拓、欧米のアルチザンブレッド／ペストリーラインの大型自動化案件、27年4月以降稼働予定のオレンジベーカリー新工場（総額60百万ドル）でのスマートファクトリー実証──これらを推進することで、5年後にEBITDAレベルで80-110億円超への成長余地と、TOB成立後のPMI余地を持つ。</w:t>
      </w:r>
    </w:p>
    <w:p>
      <w:pPr>
        <w:spacing w:before="120" w:after="40"/>
      </w:pPr>
      <w:r>
        <w:rPr>
          <w:b/>
          <w:sz w:val="21"/>
          <w:rFonts w:eastAsia="Yu Gothic" w:ascii="Arial" w:hAnsi="Arial"/>
        </w:rPr>
        <w:t>主要観察事実（Key Observations）</w:t>
      </w:r>
    </w:p>
    <w:p>
      <w:pPr>
        <w:pStyle w:val="ListBullet"/>
        <w:spacing w:after="20"/>
      </w:pPr>
      <w:r>
        <w:rPr>
          <w:sz w:val="21"/>
          <w:rFonts w:eastAsia="Yu Gothic" w:ascii="Arial" w:hAnsi="Arial"/>
        </w:rPr>
        <w:t>世界約130カ国・1.74万社への出荷実績を持つ「包あん機」（食品成形機）の世界トップサプライヤー。経済産業省「グローバルニッチトップ企業100選」（2020）に選定 [出典: Nomura IR Research 2026/3/6, p.6]。</w:t>
      </w:r>
    </w:p>
    <w:p>
      <w:pPr>
        <w:pStyle w:val="ListBullet"/>
        <w:spacing w:after="20"/>
      </w:pPr>
      <w:r>
        <w:rPr>
          <w:sz w:val="21"/>
          <w:rFonts w:eastAsia="Yu Gothic" w:ascii="Arial" w:hAnsi="Arial"/>
        </w:rPr>
        <w:t>FY2025連結売上392億円（5年CAGR +15.2%）、営業利益53.0億円（同 +39.4%）、営業利益率13.5%、ROE10.4%、自己資本比率78.5%、実質ネットキャッシュ（現預金&gt;有利子負債） [出典: 有報第63期]。</w:t>
      </w:r>
    </w:p>
    <w:p>
      <w:pPr>
        <w:pStyle w:val="ListBullet"/>
        <w:spacing w:after="20"/>
      </w:pPr>
      <w:r>
        <w:rPr>
          <w:sz w:val="21"/>
          <w:rFonts w:eastAsia="Yu Gothic" w:ascii="Arial" w:hAnsi="Arial"/>
        </w:rPr>
        <w:t>セグメント構造：食品加工機械製造販売事業（売上230億・構成59%・利益率24.5%／本社費控除前）と、食品製造販売事業（オレンジベーカリー＋ホシノ天然酵母、売上162億・構成41%・利益率11.5%）の2軸 [出典: 有報第63期]。</w:t>
      </w:r>
    </w:p>
    <w:p>
      <w:pPr>
        <w:pStyle w:val="ListBullet"/>
        <w:spacing w:after="20"/>
      </w:pPr>
      <w:r>
        <w:rPr>
          <w:sz w:val="21"/>
          <w:rFonts w:eastAsia="Yu Gothic" w:ascii="Arial" w:hAnsi="Arial"/>
        </w:rPr>
        <w:t>地域構成（FY2025顧客所在地ベース）：北米南米205億（米国198億）、日本120億、欧州46億、アジア・オセアニア21億。海外売上比率69.3% [出典: 有報第63期]。</w:t>
      </w:r>
    </w:p>
    <w:p>
      <w:pPr>
        <w:pStyle w:val="ListBullet"/>
        <w:spacing w:after="20"/>
      </w:pPr>
      <w:r>
        <w:rPr>
          <w:sz w:val="21"/>
          <w:rFonts w:eastAsia="Yu Gothic" w:ascii="Arial" w:hAnsi="Arial"/>
        </w:rPr>
        <w:t>現社長は小林幹央氏（2021年4月就任、技術サービス部門出身）。創業者・故林虎彦氏が1961年に世界初の包あん機を発明、1963年創業 [出典: 有報、日経 2025/5/13]。</w:t>
      </w:r>
    </w:p>
    <w:p>
      <w:pPr>
        <w:pStyle w:val="ListBullet"/>
        <w:spacing w:after="20"/>
      </w:pPr>
      <w:r>
        <w:rPr>
          <w:sz w:val="21"/>
          <w:rFonts w:eastAsia="Yu Gothic" w:ascii="Arial" w:hAnsi="Arial"/>
        </w:rPr>
        <w:t>中期経営計画（FY2024-FY2028、25年5月修正）：FY2028売上444億円（修正前420億円→上方）、営業利益率12%、ROE9%。次期中計（FY2026-FY2028）期間は連結配当性向40%以上＋累進配当を基本方針 [出典: rheon.com IR、Nomura IR Research]。</w:t>
      </w:r>
    </w:p>
    <w:p>
      <w:pPr>
        <w:pStyle w:val="ListBullet"/>
        <w:spacing w:after="20"/>
      </w:pPr>
      <w:r>
        <w:rPr>
          <w:sz w:val="21"/>
          <w:rFonts w:eastAsia="Yu Gothic" w:ascii="Arial" w:hAnsi="Arial"/>
        </w:rPr>
        <w:t>オレンジベーカリー新工場（米加州、既存第1工場隣接、約1万㎡）：当初26年4月稼働→25年5月に米政権関税不透明で27年4月以降に延期、投資総額約60百万ドル、スマートファクトリー実証拠点 [出典: 日経 2024/8/26, Nomura IR p.34]。</w:t>
      </w:r>
    </w:p>
    <w:p>
      <w:pPr>
        <w:spacing w:before="120" w:after="40"/>
      </w:pPr>
      <w:r>
        <w:rPr>
          <w:b/>
          <w:sz w:val="21"/>
          <w:rFonts w:eastAsia="Yu Gothic" w:ascii="Arial" w:hAnsi="Arial"/>
        </w:rPr>
        <w:t>観察されたリスク要因（Observed Risk Factors）</w:t>
      </w:r>
    </w:p>
    <w:p>
      <w:pPr>
        <w:pStyle w:val="ListBullet"/>
        <w:spacing w:after="20"/>
      </w:pPr>
      <w:r>
        <w:rPr>
          <w:sz w:val="21"/>
          <w:rFonts w:eastAsia="Yu Gothic" w:ascii="Arial" w:hAnsi="Arial"/>
        </w:rPr>
        <w:t>**米国エクスポージャ集中**：FY2025顧客所在地の米国売上198億円（連結売上の50.4%）。うち食品加工機械事業の北米南米48億円（同事業比21%）と食品製造販売157億円。トランプ関税および関税起因の景気減速の二重影響、新工場稼働遅延の主因 [出典: 有報、日経 2025/5/13]。</w:t>
      </w:r>
    </w:p>
    <w:p>
      <w:pPr>
        <w:pStyle w:val="ListBullet"/>
        <w:spacing w:after="20"/>
      </w:pPr>
      <w:r>
        <w:rPr>
          <w:sz w:val="21"/>
          <w:rFonts w:eastAsia="Yu Gothic" w:ascii="Arial" w:hAnsi="Arial"/>
        </w:rPr>
        <w:t>**包あん機特許失効と中国模造品**：「包み込む技術そのものは大きく変わっておらず、その点では特許は切れた」（日経 2025/5/13）。中国売上は2019年度の14.9億円から2023年度4.99億円へ縮小、有報・SWOTで模造品流通を明示 [出典: 日経、IR briefing FY2024 p.13、Nomura IR p.42]。</w:t>
      </w:r>
    </w:p>
    <w:p>
      <w:pPr>
        <w:pStyle w:val="ListBullet"/>
        <w:spacing w:after="20"/>
      </w:pPr>
      <w:r>
        <w:rPr>
          <w:sz w:val="21"/>
          <w:rFonts w:eastAsia="Yu Gothic" w:ascii="Arial" w:hAnsi="Arial"/>
        </w:rPr>
        <w:t>**本社・主力工場の宇都宮一極集中**：唯一の機械工場が栃木県宇都宮市・上河内工場。BCP上の地震・風水害リスクは有報のリスク項目で会社自身が言及 [出典: Nomura IR p.42]。</w:t>
      </w:r>
    </w:p>
    <w:p>
      <w:pPr>
        <w:pStyle w:val="ListBullet"/>
        <w:spacing w:after="20"/>
      </w:pPr>
      <w:r>
        <w:rPr>
          <w:sz w:val="21"/>
          <w:rFonts w:eastAsia="Yu Gothic" w:ascii="Arial" w:hAnsi="Arial"/>
        </w:rPr>
        <w:t>**食品製造販売事業（オレンジベーカリー）の収益ボラティリティ**：FY2022セグメント利益△4.8億円（赤字）からFY2025 18.6億円まで急回復するも、米国一国・パン製造業の景気・原材料・人件費感応度が高く、機械事業との二重シクリカル化リスク [出典: 有報5期分]。</w:t>
      </w:r>
    </w:p>
    <w:p>
      <w:pPr>
        <w:spacing w:before="120" w:after="40"/>
      </w:pPr>
      <w:r>
        <w:rPr>
          <w:b/>
          <w:sz w:val="21"/>
          <w:rFonts w:eastAsia="Yu Gothic" w:ascii="Arial" w:hAnsi="Arial"/>
        </w:rPr>
        <w:t>追加DDで詰めるべき論点（Open Questions）</w:t>
      </w:r>
    </w:p>
    <w:p>
      <w:pPr>
        <w:pStyle w:val="ListBullet"/>
        <w:spacing w:after="20"/>
      </w:pPr>
      <w:r>
        <w:rPr>
          <w:sz w:val="21"/>
          <w:rFonts w:eastAsia="Yu Gothic" w:ascii="Arial" w:hAnsi="Arial"/>
        </w:rPr>
        <w:t>**創業家・財団・取引先銀行の安定株主層（30%超）の意向**：公益財団法人林レオロジー記念財団11.3%、ラム商事6.3%、双葉企画1.8%（創業家関連と推定 計19.4%）、足利銀行4.3%、栃木銀行1.8%（合計約25.5%、地元金融）。TOBに対する受け入れ姿勢、株式売却同意の取付可能性。</w:t>
      </w:r>
    </w:p>
    <w:p>
      <w:pPr>
        <w:pStyle w:val="ListBullet"/>
        <w:spacing w:after="20"/>
      </w:pPr>
      <w:r>
        <w:rPr>
          <w:sz w:val="21"/>
          <w:rFonts w:eastAsia="Yu Gothic" w:ascii="Arial" w:hAnsi="Arial"/>
        </w:rPr>
        <w:t>**サクセッション・KMP契約**：小林社長（2021年4月就任）の在任見通し、後継者プラン、KMPリテンションパッケージの設計余地、技術系幹部（包あん機技術・レオロジー研究）のリテンション。</w:t>
      </w:r>
    </w:p>
    <w:p>
      <w:pPr>
        <w:pStyle w:val="ListBullet"/>
        <w:spacing w:after="20"/>
      </w:pPr>
      <w:r>
        <w:rPr>
          <w:sz w:val="21"/>
          <w:rFonts w:eastAsia="Yu Gothic" w:ascii="Arial" w:hAnsi="Arial"/>
        </w:rPr>
        <w:t>**包あん機シェア定量データ**：単独メーカーとしての世界シェア（金額・台数）、コバード（国内、非上場）以外の地域別ローカル競合シェア、中国模造品の数量影響推定。</w:t>
      </w:r>
    </w:p>
    <w:p>
      <w:pPr>
        <w:pStyle w:val="ListBullet"/>
        <w:spacing w:after="20"/>
      </w:pPr>
      <w:r>
        <w:rPr>
          <w:sz w:val="21"/>
          <w:rFonts w:eastAsia="Yu Gothic" w:ascii="Arial" w:hAnsi="Arial"/>
        </w:rPr>
        <w:t>**オレンジベーカリー新工場のキャッシュフロー精査**：総額60百万ドルの投資内訳、操業開始後3年のEBITDA寄与、スマートファクトリー成功時の機械事業へのスピルオーバー試算。</w:t>
      </w:r>
    </w:p>
    <w:p>
      <w:pPr>
        <w:pStyle w:val="ListBullet"/>
        <w:spacing w:after="20"/>
      </w:pPr>
      <w:r>
        <w:rPr>
          <w:sz w:val="21"/>
          <w:rFonts w:eastAsia="Yu Gothic" w:ascii="Arial" w:hAnsi="Arial"/>
        </w:rPr>
        <w:t>**製パンライン納期長期化（12カ月超）の本質**：欧米案件増加が主因か、生産能力ボトルネックか。標準化・SCM投資のCAPEX回収期間。</w:t>
      </w:r>
    </w:p>
    <w:p>
      <w:pPr>
        <w:pStyle w:val="ListBullet"/>
        <w:spacing w:after="20"/>
      </w:pPr>
      <w:r>
        <w:rPr>
          <w:sz w:val="21"/>
          <w:rFonts w:eastAsia="Yu Gothic" w:ascii="Arial" w:hAnsi="Arial"/>
        </w:rPr>
        <w:t>**主要顧客集中度**：5期連続で「10%超顧客なし」開示。Top10/Top20顧客の名称・売上構成比、菓子卸・大手小売・調理冷凍食品メーカーの個社依存度の実態。</w:t>
      </w:r>
    </w:p>
    <w:p>
      <w:r>
        <w:br w:type="page"/>
      </w:r>
    </w:p>
    <w:p>
      <w:pPr>
        <w:spacing w:before="200" w:after="80"/>
      </w:pPr>
      <w:r>
        <w:rPr>
          <w:b/>
          <w:sz w:val="28"/>
          <w:rFonts w:eastAsia="Yu Gothic" w:ascii="Arial" w:hAnsi="Arial"/>
        </w:rPr>
        <w:t>① 事業概要</w:t>
      </w:r>
    </w:p>
    <w:p>
      <w:pPr>
        <w:spacing w:before="160" w:after="60"/>
      </w:pPr>
      <w:r>
        <w:rPr>
          <w:b/>
          <w:sz w:val="24"/>
          <w:rFonts w:eastAsia="Yu Gothic" w:ascii="Arial" w:hAnsi="Arial"/>
        </w:rPr>
        <w:t>1-1. 事業セグメント構造</w:t>
      </w:r>
    </w:p>
    <w:p>
      <w:pPr>
        <w:spacing w:before="0" w:after="40"/>
      </w:pPr>
      <w:r>
        <w:rPr>
          <w:rFonts w:ascii="Arial" w:hAnsi="Arial"/>
          <w:sz w:val="21"/>
          <w:rFonts w:eastAsia="Yu Gothic" w:ascii="Arial" w:hAnsi="Arial"/>
        </w:rPr>
        <w:t>レオン自動機グループは、食品加工機械（包あん機・製パンライン等）の開発製造販売事業と、米オレンジベーカリーでのパン・菓子の食品製造販売事業の2セグメントで構成される。後者は機械事業のモデル工場・スマートファクトリー実証拠点として位置付けられており、機械販売の販促・実証と、食品BtoB売上の二重収益を担う独特の垂直統合モデル [出典: 有報第63期]。</w:t>
      </w:r>
    </w:p>
    <w:p>
      <w:pPr>
        <w:spacing w:before="120" w:after="40"/>
      </w:pPr>
      <w:r>
        <w:rPr>
          <w:b/>
          <w:sz w:val="21"/>
          <w:rFonts w:eastAsia="Yu Gothic" w:ascii="Arial" w:hAnsi="Arial"/>
        </w:rPr>
        <w:t>テーブル A：5期セグメント別業績推移（連結、単位：億円）</w:t>
      </w:r>
    </w:p>
    <w:tbl>
      <w:tblPr>
        <w:tblStyle w:val="LightGrid-Accent1"/>
        <w:tblW w:type="auto" w:w="0"/>
        <w:tblLook w:firstColumn="1" w:firstRow="1" w:lastColumn="0" w:lastRow="0" w:noHBand="0" w:noVBand="1" w:val="04A0"/>
      </w:tblPr>
      <w:tblGrid>
        <w:gridCol w:w="1289"/>
        <w:gridCol w:w="1289"/>
        <w:gridCol w:w="1289"/>
        <w:gridCol w:w="1289"/>
        <w:gridCol w:w="1289"/>
        <w:gridCol w:w="1289"/>
        <w:gridCol w:w="1289"/>
      </w:tblGrid>
      <w:tr>
        <w:tc>
          <w:tcPr>
            <w:tcW w:type="dxa" w:w="2041"/>
            <w:shd w:val="clear" w:color="auto" w:fill="1F4E78"/>
          </w:tcPr>
          <w:p>
            <w:r>
              <w:rPr>
                <w:color w:val="FFFFFF"/>
              </w:rPr>
            </w:r>
            <w:r>
              <w:rPr>
                <w:rFonts w:ascii="Arial" w:hAnsi="Arial"/>
                <w:b/>
                <w:color w:val="FFFFFF"/>
                <w:sz w:val="18"/>
                <w:rFonts w:eastAsia="Yu Gothic" w:ascii="Arial" w:hAnsi="Arial"/>
              </w:rPr>
              <w:t>セグメント</w:t>
            </w:r>
          </w:p>
        </w:tc>
        <w:tc>
          <w:tcPr>
            <w:tcW w:type="dxa" w:w="1361"/>
            <w:shd w:val="clear" w:color="auto" w:fill="1F4E78"/>
          </w:tcPr>
          <w:p>
            <w:r>
              <w:rPr>
                <w:color w:val="FFFFFF"/>
              </w:rPr>
            </w:r>
            <w:r>
              <w:rPr>
                <w:rFonts w:ascii="Arial" w:hAnsi="Arial"/>
                <w:b/>
                <w:color w:val="FFFFFF"/>
                <w:sz w:val="18"/>
                <w:rFonts w:eastAsia="Yu Gothic" w:ascii="Arial" w:hAnsi="Arial"/>
              </w:rPr>
              <w:t>指標</w:t>
            </w:r>
          </w:p>
        </w:tc>
        <w:tc>
          <w:tcPr>
            <w:tcW w:type="dxa" w:w="1020"/>
            <w:shd w:val="clear" w:color="auto" w:fill="1F4E78"/>
          </w:tcPr>
          <w:p>
            <w:r>
              <w:rPr>
                <w:color w:val="FFFFFF"/>
              </w:rPr>
            </w:r>
            <w:r>
              <w:rPr>
                <w:rFonts w:ascii="Arial" w:hAnsi="Arial"/>
                <w:b/>
                <w:color w:val="FFFFFF"/>
                <w:sz w:val="18"/>
                <w:rFonts w:eastAsia="Yu Gothic" w:ascii="Arial" w:hAnsi="Arial"/>
              </w:rPr>
              <w:t>FY2021</w:t>
            </w:r>
          </w:p>
        </w:tc>
        <w:tc>
          <w:tcPr>
            <w:tcW w:type="dxa" w:w="1020"/>
            <w:shd w:val="clear" w:color="auto" w:fill="1F4E78"/>
          </w:tcPr>
          <w:p>
            <w:r>
              <w:rPr>
                <w:color w:val="FFFFFF"/>
              </w:rPr>
            </w:r>
            <w:r>
              <w:rPr>
                <w:rFonts w:ascii="Arial" w:hAnsi="Arial"/>
                <w:b/>
                <w:color w:val="FFFFFF"/>
                <w:sz w:val="18"/>
                <w:rFonts w:eastAsia="Yu Gothic" w:ascii="Arial" w:hAnsi="Arial"/>
              </w:rPr>
              <w:t>FY2022</w:t>
            </w:r>
          </w:p>
        </w:tc>
        <w:tc>
          <w:tcPr>
            <w:tcW w:type="dxa" w:w="1020"/>
            <w:shd w:val="clear" w:color="auto" w:fill="1F4E78"/>
          </w:tcPr>
          <w:p>
            <w:r>
              <w:rPr>
                <w:color w:val="FFFFFF"/>
              </w:rPr>
            </w:r>
            <w:r>
              <w:rPr>
                <w:rFonts w:ascii="Arial" w:hAnsi="Arial"/>
                <w:b/>
                <w:color w:val="FFFFFF"/>
                <w:sz w:val="18"/>
                <w:rFonts w:eastAsia="Yu Gothic" w:ascii="Arial" w:hAnsi="Arial"/>
              </w:rPr>
              <w:t>FY2023</w:t>
            </w:r>
          </w:p>
        </w:tc>
        <w:tc>
          <w:tcPr>
            <w:tcW w:type="dxa" w:w="1020"/>
            <w:shd w:val="clear" w:color="auto" w:fill="1F4E78"/>
          </w:tcPr>
          <w:p>
            <w:r>
              <w:rPr>
                <w:color w:val="FFFFFF"/>
              </w:rPr>
            </w:r>
            <w:r>
              <w:rPr>
                <w:rFonts w:ascii="Arial" w:hAnsi="Arial"/>
                <w:b/>
                <w:color w:val="FFFFFF"/>
                <w:sz w:val="18"/>
                <w:rFonts w:eastAsia="Yu Gothic" w:ascii="Arial" w:hAnsi="Arial"/>
              </w:rPr>
              <w:t>FY2024</w:t>
            </w:r>
          </w:p>
        </w:tc>
        <w:tc>
          <w:tcPr>
            <w:tcW w:type="dxa" w:w="1020"/>
            <w:shd w:val="clear" w:color="auto" w:fill="1F4E78"/>
          </w:tcPr>
          <w:p>
            <w:r>
              <w:rPr>
                <w:color w:val="FFFFFF"/>
              </w:rPr>
            </w:r>
            <w:r>
              <w:rPr>
                <w:rFonts w:ascii="Arial" w:hAnsi="Arial"/>
                <w:b/>
                <w:color w:val="FFFFFF"/>
                <w:sz w:val="18"/>
                <w:rFonts w:eastAsia="Yu Gothic" w:ascii="Arial" w:hAnsi="Arial"/>
              </w:rPr>
              <w:t>FY2025</w:t>
            </w:r>
          </w:p>
        </w:tc>
      </w:tr>
      <w:tr>
        <w:tc>
          <w:tcPr>
            <w:tcW w:type="dxa" w:w="2041"/>
          </w:tcPr>
          <w:p>
            <w:r/>
            <w:r>
              <w:rPr>
                <w:rFonts w:ascii="Arial" w:hAnsi="Arial"/>
                <w:sz w:val="18"/>
                <w:rFonts w:eastAsia="Yu Gothic" w:ascii="Arial" w:hAnsi="Arial"/>
              </w:rPr>
              <w:t>食品加工機械製造販売事業</w:t>
            </w:r>
          </w:p>
        </w:tc>
        <w:tc>
          <w:tcPr>
            <w:tcW w:type="dxa" w:w="1361"/>
          </w:tcPr>
          <w:p>
            <w:r/>
            <w:r>
              <w:rPr>
                <w:rFonts w:ascii="Arial" w:hAnsi="Arial"/>
                <w:sz w:val="18"/>
                <w:rFonts w:eastAsia="Yu Gothic" w:ascii="Arial" w:hAnsi="Arial"/>
              </w:rPr>
              <w:t>売上高</w:t>
            </w:r>
          </w:p>
        </w:tc>
        <w:tc>
          <w:tcPr>
            <w:tcW w:type="dxa" w:w="1020"/>
          </w:tcPr>
          <w:p>
            <w:r/>
            <w:r>
              <w:rPr>
                <w:rFonts w:ascii="Arial" w:hAnsi="Arial"/>
                <w:sz w:val="18"/>
                <w:rFonts w:eastAsia="Yu Gothic" w:ascii="Arial" w:hAnsi="Arial"/>
              </w:rPr>
              <w:t>160.8</w:t>
            </w:r>
          </w:p>
        </w:tc>
        <w:tc>
          <w:tcPr>
            <w:tcW w:type="dxa" w:w="1020"/>
          </w:tcPr>
          <w:p>
            <w:r/>
            <w:r>
              <w:rPr>
                <w:rFonts w:ascii="Arial" w:hAnsi="Arial"/>
                <w:sz w:val="18"/>
                <w:rFonts w:eastAsia="Yu Gothic" w:ascii="Arial" w:hAnsi="Arial"/>
              </w:rPr>
              <w:t>177.3</w:t>
            </w:r>
          </w:p>
        </w:tc>
        <w:tc>
          <w:tcPr>
            <w:tcW w:type="dxa" w:w="1020"/>
          </w:tcPr>
          <w:p>
            <w:r/>
            <w:r>
              <w:rPr>
                <w:rFonts w:ascii="Arial" w:hAnsi="Arial"/>
                <w:sz w:val="18"/>
                <w:rFonts w:eastAsia="Yu Gothic" w:ascii="Arial" w:hAnsi="Arial"/>
              </w:rPr>
              <w:t>215.2</w:t>
            </w:r>
          </w:p>
        </w:tc>
        <w:tc>
          <w:tcPr>
            <w:tcW w:type="dxa" w:w="1020"/>
          </w:tcPr>
          <w:p>
            <w:r/>
            <w:r>
              <w:rPr>
                <w:rFonts w:ascii="Arial" w:hAnsi="Arial"/>
                <w:sz w:val="18"/>
                <w:rFonts w:eastAsia="Yu Gothic" w:ascii="Arial" w:hAnsi="Arial"/>
              </w:rPr>
              <w:t>226.1</w:t>
            </w:r>
          </w:p>
        </w:tc>
        <w:tc>
          <w:tcPr>
            <w:tcW w:type="dxa" w:w="1020"/>
          </w:tcPr>
          <w:p>
            <w:r/>
            <w:r>
              <w:rPr>
                <w:rFonts w:ascii="Arial" w:hAnsi="Arial"/>
                <w:sz w:val="18"/>
                <w:rFonts w:eastAsia="Yu Gothic" w:ascii="Arial" w:hAnsi="Arial"/>
              </w:rPr>
              <w:t>230.3</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セグメント利益</w:t>
            </w:r>
          </w:p>
        </w:tc>
        <w:tc>
          <w:tcPr>
            <w:tcW w:type="dxa" w:w="1020"/>
          </w:tcPr>
          <w:p>
            <w:r/>
            <w:r>
              <w:rPr>
                <w:rFonts w:ascii="Arial" w:hAnsi="Arial"/>
                <w:sz w:val="18"/>
                <w:rFonts w:eastAsia="Yu Gothic" w:ascii="Arial" w:hAnsi="Arial"/>
              </w:rPr>
              <w:t>30.6</w:t>
            </w:r>
          </w:p>
        </w:tc>
        <w:tc>
          <w:tcPr>
            <w:tcW w:type="dxa" w:w="1020"/>
          </w:tcPr>
          <w:p>
            <w:r/>
            <w:r>
              <w:rPr>
                <w:rFonts w:ascii="Arial" w:hAnsi="Arial"/>
                <w:sz w:val="18"/>
                <w:rFonts w:eastAsia="Yu Gothic" w:ascii="Arial" w:hAnsi="Arial"/>
              </w:rPr>
              <w:t>35.5</w:t>
            </w:r>
          </w:p>
        </w:tc>
        <w:tc>
          <w:tcPr>
            <w:tcW w:type="dxa" w:w="1020"/>
          </w:tcPr>
          <w:p>
            <w:r/>
            <w:r>
              <w:rPr>
                <w:rFonts w:ascii="Arial" w:hAnsi="Arial"/>
                <w:sz w:val="18"/>
                <w:rFonts w:eastAsia="Yu Gothic" w:ascii="Arial" w:hAnsi="Arial"/>
              </w:rPr>
              <w:t>44.6</w:t>
            </w:r>
          </w:p>
        </w:tc>
        <w:tc>
          <w:tcPr>
            <w:tcW w:type="dxa" w:w="1020"/>
          </w:tcPr>
          <w:p>
            <w:r/>
            <w:r>
              <w:rPr>
                <w:rFonts w:ascii="Arial" w:hAnsi="Arial"/>
                <w:sz w:val="18"/>
                <w:rFonts w:eastAsia="Yu Gothic" w:ascii="Arial" w:hAnsi="Arial"/>
              </w:rPr>
              <w:t>54.9</w:t>
            </w:r>
          </w:p>
        </w:tc>
        <w:tc>
          <w:tcPr>
            <w:tcW w:type="dxa" w:w="1020"/>
          </w:tcPr>
          <w:p>
            <w:r/>
            <w:r>
              <w:rPr>
                <w:rFonts w:ascii="Arial" w:hAnsi="Arial"/>
                <w:sz w:val="18"/>
                <w:rFonts w:eastAsia="Yu Gothic" w:ascii="Arial" w:hAnsi="Arial"/>
              </w:rPr>
              <w:t>56.5</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利益率（%）</w:t>
            </w:r>
          </w:p>
        </w:tc>
        <w:tc>
          <w:tcPr>
            <w:tcW w:type="dxa" w:w="1020"/>
          </w:tcPr>
          <w:p>
            <w:r/>
            <w:r>
              <w:rPr>
                <w:rFonts w:ascii="Arial" w:hAnsi="Arial"/>
                <w:sz w:val="18"/>
                <w:rFonts w:eastAsia="Yu Gothic" w:ascii="Arial" w:hAnsi="Arial"/>
              </w:rPr>
              <w:t>19.1%</w:t>
            </w:r>
          </w:p>
        </w:tc>
        <w:tc>
          <w:tcPr>
            <w:tcW w:type="dxa" w:w="1020"/>
          </w:tcPr>
          <w:p>
            <w:r/>
            <w:r>
              <w:rPr>
                <w:rFonts w:ascii="Arial" w:hAnsi="Arial"/>
                <w:sz w:val="18"/>
                <w:rFonts w:eastAsia="Yu Gothic" w:ascii="Arial" w:hAnsi="Arial"/>
              </w:rPr>
              <w:t>20.1%</w:t>
            </w:r>
          </w:p>
        </w:tc>
        <w:tc>
          <w:tcPr>
            <w:tcW w:type="dxa" w:w="1020"/>
          </w:tcPr>
          <w:p>
            <w:r/>
            <w:r>
              <w:rPr>
                <w:rFonts w:ascii="Arial" w:hAnsi="Arial"/>
                <w:sz w:val="18"/>
                <w:rFonts w:eastAsia="Yu Gothic" w:ascii="Arial" w:hAnsi="Arial"/>
              </w:rPr>
              <w:t>20.7%</w:t>
            </w:r>
          </w:p>
        </w:tc>
        <w:tc>
          <w:tcPr>
            <w:tcW w:type="dxa" w:w="1020"/>
          </w:tcPr>
          <w:p>
            <w:r/>
            <w:r>
              <w:rPr>
                <w:rFonts w:ascii="Arial" w:hAnsi="Arial"/>
                <w:sz w:val="18"/>
                <w:rFonts w:eastAsia="Yu Gothic" w:ascii="Arial" w:hAnsi="Arial"/>
              </w:rPr>
              <w:t>24.3%</w:t>
            </w:r>
          </w:p>
        </w:tc>
        <w:tc>
          <w:tcPr>
            <w:tcW w:type="dxa" w:w="1020"/>
          </w:tcPr>
          <w:p>
            <w:r/>
            <w:r>
              <w:rPr>
                <w:rFonts w:ascii="Arial" w:hAnsi="Arial"/>
                <w:sz w:val="18"/>
                <w:rFonts w:eastAsia="Yu Gothic" w:ascii="Arial" w:hAnsi="Arial"/>
              </w:rPr>
              <w:t>24.5%</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設備投資</w:t>
            </w:r>
          </w:p>
        </w:tc>
        <w:tc>
          <w:tcPr>
            <w:tcW w:type="dxa" w:w="1020"/>
          </w:tcPr>
          <w:p>
            <w:r/>
            <w:r>
              <w:rPr>
                <w:rFonts w:ascii="Arial" w:hAnsi="Arial"/>
                <w:sz w:val="18"/>
                <w:rFonts w:eastAsia="Yu Gothic" w:ascii="Arial" w:hAnsi="Arial"/>
              </w:rPr>
              <w:t>1.3</w:t>
            </w:r>
          </w:p>
        </w:tc>
        <w:tc>
          <w:tcPr>
            <w:tcW w:type="dxa" w:w="1020"/>
          </w:tcPr>
          <w:p>
            <w:r/>
            <w:r>
              <w:rPr>
                <w:rFonts w:ascii="Arial" w:hAnsi="Arial"/>
                <w:sz w:val="18"/>
                <w:rFonts w:eastAsia="Yu Gothic" w:ascii="Arial" w:hAnsi="Arial"/>
              </w:rPr>
              <w:t>0.4</w:t>
            </w:r>
          </w:p>
        </w:tc>
        <w:tc>
          <w:tcPr>
            <w:tcW w:type="dxa" w:w="1020"/>
          </w:tcPr>
          <w:p>
            <w:r/>
            <w:r>
              <w:rPr>
                <w:rFonts w:ascii="Arial" w:hAnsi="Arial"/>
                <w:sz w:val="18"/>
                <w:rFonts w:eastAsia="Yu Gothic" w:ascii="Arial" w:hAnsi="Arial"/>
              </w:rPr>
              <w:t>2.1</w:t>
            </w:r>
          </w:p>
        </w:tc>
        <w:tc>
          <w:tcPr>
            <w:tcW w:type="dxa" w:w="1020"/>
          </w:tcPr>
          <w:p>
            <w:r/>
            <w:r>
              <w:rPr>
                <w:rFonts w:ascii="Arial" w:hAnsi="Arial"/>
                <w:sz w:val="18"/>
                <w:rFonts w:eastAsia="Yu Gothic" w:ascii="Arial" w:hAnsi="Arial"/>
              </w:rPr>
              <w:t>8.4</w:t>
            </w:r>
          </w:p>
        </w:tc>
        <w:tc>
          <w:tcPr>
            <w:tcW w:type="dxa" w:w="1020"/>
          </w:tcPr>
          <w:p>
            <w:r/>
            <w:r>
              <w:rPr>
                <w:rFonts w:ascii="Arial" w:hAnsi="Arial"/>
                <w:sz w:val="18"/>
                <w:rFonts w:eastAsia="Yu Gothic" w:ascii="Arial" w:hAnsi="Arial"/>
              </w:rPr>
              <w:t>9.5</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設備投資/売上</w:t>
            </w:r>
          </w:p>
        </w:tc>
        <w:tc>
          <w:tcPr>
            <w:tcW w:type="dxa" w:w="1020"/>
          </w:tcPr>
          <w:p>
            <w:r/>
            <w:r>
              <w:rPr>
                <w:rFonts w:ascii="Arial" w:hAnsi="Arial"/>
                <w:sz w:val="18"/>
                <w:rFonts w:eastAsia="Yu Gothic" w:ascii="Arial" w:hAnsi="Arial"/>
              </w:rPr>
              <w:t>0.8%</w:t>
            </w:r>
          </w:p>
        </w:tc>
        <w:tc>
          <w:tcPr>
            <w:tcW w:type="dxa" w:w="1020"/>
          </w:tcPr>
          <w:p>
            <w:r/>
            <w:r>
              <w:rPr>
                <w:rFonts w:ascii="Arial" w:hAnsi="Arial"/>
                <w:sz w:val="18"/>
                <w:rFonts w:eastAsia="Yu Gothic" w:ascii="Arial" w:hAnsi="Arial"/>
              </w:rPr>
              <w:t>0.2%</w:t>
            </w:r>
          </w:p>
        </w:tc>
        <w:tc>
          <w:tcPr>
            <w:tcW w:type="dxa" w:w="1020"/>
          </w:tcPr>
          <w:p>
            <w:r/>
            <w:r>
              <w:rPr>
                <w:rFonts w:ascii="Arial" w:hAnsi="Arial"/>
                <w:sz w:val="18"/>
                <w:rFonts w:eastAsia="Yu Gothic" w:ascii="Arial" w:hAnsi="Arial"/>
              </w:rPr>
              <w:t>1.0%</w:t>
            </w:r>
          </w:p>
        </w:tc>
        <w:tc>
          <w:tcPr>
            <w:tcW w:type="dxa" w:w="1020"/>
          </w:tcPr>
          <w:p>
            <w:r/>
            <w:r>
              <w:rPr>
                <w:rFonts w:ascii="Arial" w:hAnsi="Arial"/>
                <w:sz w:val="18"/>
                <w:rFonts w:eastAsia="Yu Gothic" w:ascii="Arial" w:hAnsi="Arial"/>
              </w:rPr>
              <w:t>3.7%</w:t>
            </w:r>
          </w:p>
        </w:tc>
        <w:tc>
          <w:tcPr>
            <w:tcW w:type="dxa" w:w="1020"/>
          </w:tcPr>
          <w:p>
            <w:r/>
            <w:r>
              <w:rPr>
                <w:rFonts w:ascii="Arial" w:hAnsi="Arial"/>
                <w:sz w:val="18"/>
                <w:rFonts w:eastAsia="Yu Gothic" w:ascii="Arial" w:hAnsi="Arial"/>
              </w:rPr>
              <w:t>4.1%</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減価償却費</w:t>
            </w:r>
          </w:p>
        </w:tc>
        <w:tc>
          <w:tcPr>
            <w:tcW w:type="dxa" w:w="1020"/>
          </w:tcPr>
          <w:p>
            <w:r/>
            <w:r>
              <w:rPr>
                <w:rFonts w:ascii="Arial" w:hAnsi="Arial"/>
                <w:sz w:val="18"/>
                <w:rFonts w:eastAsia="Yu Gothic" w:ascii="Arial" w:hAnsi="Arial"/>
              </w:rPr>
              <w:t>1.1</w:t>
            </w:r>
          </w:p>
        </w:tc>
        <w:tc>
          <w:tcPr>
            <w:tcW w:type="dxa" w:w="1020"/>
          </w:tcPr>
          <w:p>
            <w:r/>
            <w:r>
              <w:rPr>
                <w:rFonts w:ascii="Arial" w:hAnsi="Arial"/>
                <w:sz w:val="18"/>
                <w:rFonts w:eastAsia="Yu Gothic" w:ascii="Arial" w:hAnsi="Arial"/>
              </w:rPr>
              <w:t>3.2</w:t>
            </w:r>
          </w:p>
        </w:tc>
        <w:tc>
          <w:tcPr>
            <w:tcW w:type="dxa" w:w="1020"/>
          </w:tcPr>
          <w:p>
            <w:r/>
            <w:r>
              <w:rPr>
                <w:rFonts w:ascii="Arial" w:hAnsi="Arial"/>
                <w:sz w:val="18"/>
                <w:rFonts w:eastAsia="Yu Gothic" w:ascii="Arial" w:hAnsi="Arial"/>
              </w:rPr>
              <w:t>3.1</w:t>
            </w:r>
          </w:p>
        </w:tc>
        <w:tc>
          <w:tcPr>
            <w:tcW w:type="dxa" w:w="1020"/>
          </w:tcPr>
          <w:p>
            <w:r/>
            <w:r>
              <w:rPr>
                <w:rFonts w:ascii="Arial" w:hAnsi="Arial"/>
                <w:sz w:val="18"/>
                <w:rFonts w:eastAsia="Yu Gothic" w:ascii="Arial" w:hAnsi="Arial"/>
              </w:rPr>
              <w:t>3.3</w:t>
            </w:r>
          </w:p>
        </w:tc>
        <w:tc>
          <w:tcPr>
            <w:tcW w:type="dxa" w:w="1020"/>
          </w:tcPr>
          <w:p>
            <w:r/>
            <w:r>
              <w:rPr>
                <w:rFonts w:ascii="Arial" w:hAnsi="Arial"/>
                <w:sz w:val="18"/>
                <w:rFonts w:eastAsia="Yu Gothic" w:ascii="Arial" w:hAnsi="Arial"/>
              </w:rPr>
              <w:t>4.3</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減価償却費/売上</w:t>
            </w:r>
          </w:p>
        </w:tc>
        <w:tc>
          <w:tcPr>
            <w:tcW w:type="dxa" w:w="1020"/>
          </w:tcPr>
          <w:p>
            <w:r/>
            <w:r>
              <w:rPr>
                <w:rFonts w:ascii="Arial" w:hAnsi="Arial"/>
                <w:sz w:val="18"/>
                <w:rFonts w:eastAsia="Yu Gothic" w:ascii="Arial" w:hAnsi="Arial"/>
              </w:rPr>
              <w:t>0.7%</w:t>
            </w:r>
          </w:p>
        </w:tc>
        <w:tc>
          <w:tcPr>
            <w:tcW w:type="dxa" w:w="1020"/>
          </w:tcPr>
          <w:p>
            <w:r/>
            <w:r>
              <w:rPr>
                <w:rFonts w:ascii="Arial" w:hAnsi="Arial"/>
                <w:sz w:val="18"/>
                <w:rFonts w:eastAsia="Yu Gothic" w:ascii="Arial" w:hAnsi="Arial"/>
              </w:rPr>
              <w:t>1.8%</w:t>
            </w:r>
          </w:p>
        </w:tc>
        <w:tc>
          <w:tcPr>
            <w:tcW w:type="dxa" w:w="1020"/>
          </w:tcPr>
          <w:p>
            <w:r/>
            <w:r>
              <w:rPr>
                <w:rFonts w:ascii="Arial" w:hAnsi="Arial"/>
                <w:sz w:val="18"/>
                <w:rFonts w:eastAsia="Yu Gothic" w:ascii="Arial" w:hAnsi="Arial"/>
              </w:rPr>
              <w:t>1.5%</w:t>
            </w:r>
          </w:p>
        </w:tc>
        <w:tc>
          <w:tcPr>
            <w:tcW w:type="dxa" w:w="1020"/>
          </w:tcPr>
          <w:p>
            <w:r/>
            <w:r>
              <w:rPr>
                <w:rFonts w:ascii="Arial" w:hAnsi="Arial"/>
                <w:sz w:val="18"/>
                <w:rFonts w:eastAsia="Yu Gothic" w:ascii="Arial" w:hAnsi="Arial"/>
              </w:rPr>
              <w:t>1.5%</w:t>
            </w:r>
          </w:p>
        </w:tc>
        <w:tc>
          <w:tcPr>
            <w:tcW w:type="dxa" w:w="1020"/>
          </w:tcPr>
          <w:p>
            <w:r/>
            <w:r>
              <w:rPr>
                <w:rFonts w:ascii="Arial" w:hAnsi="Arial"/>
                <w:sz w:val="18"/>
                <w:rFonts w:eastAsia="Yu Gothic" w:ascii="Arial" w:hAnsi="Arial"/>
              </w:rPr>
              <w:t>1.9%</w:t>
            </w:r>
          </w:p>
        </w:tc>
      </w:tr>
      <w:tr>
        <w:tc>
          <w:tcPr>
            <w:tcW w:type="dxa" w:w="2041"/>
          </w:tcPr>
          <w:p>
            <w:r/>
            <w:r>
              <w:rPr>
                <w:rFonts w:ascii="Arial" w:hAnsi="Arial"/>
                <w:sz w:val="18"/>
                <w:rFonts w:eastAsia="Yu Gothic" w:ascii="Arial" w:hAnsi="Arial"/>
              </w:rPr>
              <w:t>食品製造販売事業</w:t>
            </w:r>
          </w:p>
        </w:tc>
        <w:tc>
          <w:tcPr>
            <w:tcW w:type="dxa" w:w="1361"/>
          </w:tcPr>
          <w:p>
            <w:r/>
            <w:r>
              <w:rPr>
                <w:rFonts w:ascii="Arial" w:hAnsi="Arial"/>
                <w:sz w:val="18"/>
                <w:rFonts w:eastAsia="Yu Gothic" w:ascii="Arial" w:hAnsi="Arial"/>
              </w:rPr>
              <w:t>売上高</w:t>
            </w:r>
          </w:p>
        </w:tc>
        <w:tc>
          <w:tcPr>
            <w:tcW w:type="dxa" w:w="1020"/>
          </w:tcPr>
          <w:p>
            <w:r/>
            <w:r>
              <w:rPr>
                <w:rFonts w:ascii="Arial" w:hAnsi="Arial"/>
                <w:sz w:val="18"/>
                <w:rFonts w:eastAsia="Yu Gothic" w:ascii="Arial" w:hAnsi="Arial"/>
              </w:rPr>
              <w:t>62.0</w:t>
            </w:r>
          </w:p>
        </w:tc>
        <w:tc>
          <w:tcPr>
            <w:tcW w:type="dxa" w:w="1020"/>
          </w:tcPr>
          <w:p>
            <w:r/>
            <w:r>
              <w:rPr>
                <w:rFonts w:ascii="Arial" w:hAnsi="Arial"/>
                <w:sz w:val="18"/>
                <w:rFonts w:eastAsia="Yu Gothic" w:ascii="Arial" w:hAnsi="Arial"/>
              </w:rPr>
              <w:t>88.6</w:t>
            </w:r>
          </w:p>
        </w:tc>
        <w:tc>
          <w:tcPr>
            <w:tcW w:type="dxa" w:w="1020"/>
          </w:tcPr>
          <w:p>
            <w:r/>
            <w:r>
              <w:rPr>
                <w:rFonts w:ascii="Arial" w:hAnsi="Arial"/>
                <w:sz w:val="18"/>
                <w:rFonts w:eastAsia="Yu Gothic" w:ascii="Arial" w:hAnsi="Arial"/>
              </w:rPr>
              <w:t>137.5</w:t>
            </w:r>
          </w:p>
        </w:tc>
        <w:tc>
          <w:tcPr>
            <w:tcW w:type="dxa" w:w="1020"/>
          </w:tcPr>
          <w:p>
            <w:r/>
            <w:r>
              <w:rPr>
                <w:rFonts w:ascii="Arial" w:hAnsi="Arial"/>
                <w:sz w:val="18"/>
                <w:rFonts w:eastAsia="Yu Gothic" w:ascii="Arial" w:hAnsi="Arial"/>
              </w:rPr>
              <w:t>151.0</w:t>
            </w:r>
          </w:p>
        </w:tc>
        <w:tc>
          <w:tcPr>
            <w:tcW w:type="dxa" w:w="1020"/>
          </w:tcPr>
          <w:p>
            <w:r/>
            <w:r>
              <w:rPr>
                <w:rFonts w:ascii="Arial" w:hAnsi="Arial"/>
                <w:sz w:val="18"/>
                <w:rFonts w:eastAsia="Yu Gothic" w:ascii="Arial" w:hAnsi="Arial"/>
              </w:rPr>
              <w:t>161.9</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セグメント利益</w:t>
            </w:r>
          </w:p>
        </w:tc>
        <w:tc>
          <w:tcPr>
            <w:tcW w:type="dxa" w:w="1020"/>
          </w:tcPr>
          <w:p>
            <w:r/>
            <w:r>
              <w:rPr>
                <w:rFonts w:ascii="Arial" w:hAnsi="Arial"/>
                <w:sz w:val="18"/>
                <w:rFonts w:eastAsia="Yu Gothic" w:ascii="Arial" w:hAnsi="Arial"/>
              </w:rPr>
              <w:t>1.8</w:t>
            </w:r>
          </w:p>
        </w:tc>
        <w:tc>
          <w:tcPr>
            <w:tcW w:type="dxa" w:w="1020"/>
          </w:tcPr>
          <w:p>
            <w:r/>
            <w:r>
              <w:rPr>
                <w:rFonts w:ascii="Arial" w:hAnsi="Arial"/>
                <w:sz w:val="18"/>
                <w:rFonts w:eastAsia="Yu Gothic" w:ascii="Arial" w:hAnsi="Arial"/>
              </w:rPr>
              <w:t>△4.8</w:t>
            </w:r>
          </w:p>
        </w:tc>
        <w:tc>
          <w:tcPr>
            <w:tcW w:type="dxa" w:w="1020"/>
          </w:tcPr>
          <w:p>
            <w:r/>
            <w:r>
              <w:rPr>
                <w:rFonts w:ascii="Arial" w:hAnsi="Arial"/>
                <w:sz w:val="18"/>
                <w:rFonts w:eastAsia="Yu Gothic" w:ascii="Arial" w:hAnsi="Arial"/>
              </w:rPr>
              <w:t>6.6</w:t>
            </w:r>
          </w:p>
        </w:tc>
        <w:tc>
          <w:tcPr>
            <w:tcW w:type="dxa" w:w="1020"/>
          </w:tcPr>
          <w:p>
            <w:r/>
            <w:r>
              <w:rPr>
                <w:rFonts w:ascii="Arial" w:hAnsi="Arial"/>
                <w:sz w:val="18"/>
                <w:rFonts w:eastAsia="Yu Gothic" w:ascii="Arial" w:hAnsi="Arial"/>
              </w:rPr>
              <w:t>17.4</w:t>
            </w:r>
          </w:p>
        </w:tc>
        <w:tc>
          <w:tcPr>
            <w:tcW w:type="dxa" w:w="1020"/>
          </w:tcPr>
          <w:p>
            <w:r/>
            <w:r>
              <w:rPr>
                <w:rFonts w:ascii="Arial" w:hAnsi="Arial"/>
                <w:sz w:val="18"/>
                <w:rFonts w:eastAsia="Yu Gothic" w:ascii="Arial" w:hAnsi="Arial"/>
              </w:rPr>
              <w:t>18.6</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利益率（%）</w:t>
            </w:r>
          </w:p>
        </w:tc>
        <w:tc>
          <w:tcPr>
            <w:tcW w:type="dxa" w:w="1020"/>
          </w:tcPr>
          <w:p>
            <w:r/>
            <w:r>
              <w:rPr>
                <w:rFonts w:ascii="Arial" w:hAnsi="Arial"/>
                <w:sz w:val="18"/>
                <w:rFonts w:eastAsia="Yu Gothic" w:ascii="Arial" w:hAnsi="Arial"/>
              </w:rPr>
              <w:t>3.0%</w:t>
            </w:r>
          </w:p>
        </w:tc>
        <w:tc>
          <w:tcPr>
            <w:tcW w:type="dxa" w:w="1020"/>
          </w:tcPr>
          <w:p>
            <w:r/>
            <w:r>
              <w:rPr>
                <w:rFonts w:ascii="Arial" w:hAnsi="Arial"/>
                <w:sz w:val="18"/>
                <w:rFonts w:eastAsia="Yu Gothic" w:ascii="Arial" w:hAnsi="Arial"/>
              </w:rPr>
              <w:t>△5.4%</w:t>
            </w:r>
          </w:p>
        </w:tc>
        <w:tc>
          <w:tcPr>
            <w:tcW w:type="dxa" w:w="1020"/>
          </w:tcPr>
          <w:p>
            <w:r/>
            <w:r>
              <w:rPr>
                <w:rFonts w:ascii="Arial" w:hAnsi="Arial"/>
                <w:sz w:val="18"/>
                <w:rFonts w:eastAsia="Yu Gothic" w:ascii="Arial" w:hAnsi="Arial"/>
              </w:rPr>
              <w:t>4.8%</w:t>
            </w:r>
          </w:p>
        </w:tc>
        <w:tc>
          <w:tcPr>
            <w:tcW w:type="dxa" w:w="1020"/>
          </w:tcPr>
          <w:p>
            <w:r/>
            <w:r>
              <w:rPr>
                <w:rFonts w:ascii="Arial" w:hAnsi="Arial"/>
                <w:sz w:val="18"/>
                <w:rFonts w:eastAsia="Yu Gothic" w:ascii="Arial" w:hAnsi="Arial"/>
              </w:rPr>
              <w:t>11.5%</w:t>
            </w:r>
          </w:p>
        </w:tc>
        <w:tc>
          <w:tcPr>
            <w:tcW w:type="dxa" w:w="1020"/>
          </w:tcPr>
          <w:p>
            <w:r/>
            <w:r>
              <w:rPr>
                <w:rFonts w:ascii="Arial" w:hAnsi="Arial"/>
                <w:sz w:val="18"/>
                <w:rFonts w:eastAsia="Yu Gothic" w:ascii="Arial" w:hAnsi="Arial"/>
              </w:rPr>
              <w:t>11.5%</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設備投資</w:t>
            </w:r>
          </w:p>
        </w:tc>
        <w:tc>
          <w:tcPr>
            <w:tcW w:type="dxa" w:w="1020"/>
          </w:tcPr>
          <w:p>
            <w:r/>
            <w:r>
              <w:rPr>
                <w:rFonts w:ascii="Arial" w:hAnsi="Arial"/>
                <w:sz w:val="18"/>
                <w:rFonts w:eastAsia="Yu Gothic" w:ascii="Arial" w:hAnsi="Arial"/>
              </w:rPr>
              <w:t>1.3</w:t>
            </w:r>
          </w:p>
        </w:tc>
        <w:tc>
          <w:tcPr>
            <w:tcW w:type="dxa" w:w="1020"/>
          </w:tcPr>
          <w:p>
            <w:r/>
            <w:r>
              <w:rPr>
                <w:rFonts w:ascii="Arial" w:hAnsi="Arial"/>
                <w:sz w:val="18"/>
                <w:rFonts w:eastAsia="Yu Gothic" w:ascii="Arial" w:hAnsi="Arial"/>
              </w:rPr>
              <w:t>1.0</w:t>
            </w:r>
          </w:p>
        </w:tc>
        <w:tc>
          <w:tcPr>
            <w:tcW w:type="dxa" w:w="1020"/>
          </w:tcPr>
          <w:p>
            <w:r/>
            <w:r>
              <w:rPr>
                <w:rFonts w:ascii="Arial" w:hAnsi="Arial"/>
                <w:sz w:val="18"/>
                <w:rFonts w:eastAsia="Yu Gothic" w:ascii="Arial" w:hAnsi="Arial"/>
              </w:rPr>
              <w:t>5.3</w:t>
            </w:r>
          </w:p>
        </w:tc>
        <w:tc>
          <w:tcPr>
            <w:tcW w:type="dxa" w:w="1020"/>
          </w:tcPr>
          <w:p>
            <w:r/>
            <w:r>
              <w:rPr>
                <w:rFonts w:ascii="Arial" w:hAnsi="Arial"/>
                <w:sz w:val="18"/>
                <w:rFonts w:eastAsia="Yu Gothic" w:ascii="Arial" w:hAnsi="Arial"/>
              </w:rPr>
              <w:t>11.0</w:t>
            </w:r>
          </w:p>
        </w:tc>
        <w:tc>
          <w:tcPr>
            <w:tcW w:type="dxa" w:w="1020"/>
          </w:tcPr>
          <w:p>
            <w:r/>
            <w:r>
              <w:rPr>
                <w:rFonts w:ascii="Arial" w:hAnsi="Arial"/>
                <w:sz w:val="18"/>
                <w:rFonts w:eastAsia="Yu Gothic" w:ascii="Arial" w:hAnsi="Arial"/>
              </w:rPr>
              <w:t>12.7</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設備投資/売上</w:t>
            </w:r>
          </w:p>
        </w:tc>
        <w:tc>
          <w:tcPr>
            <w:tcW w:type="dxa" w:w="1020"/>
          </w:tcPr>
          <w:p>
            <w:r/>
            <w:r>
              <w:rPr>
                <w:rFonts w:ascii="Arial" w:hAnsi="Arial"/>
                <w:sz w:val="18"/>
                <w:rFonts w:eastAsia="Yu Gothic" w:ascii="Arial" w:hAnsi="Arial"/>
              </w:rPr>
              <w:t>2.2%</w:t>
            </w:r>
          </w:p>
        </w:tc>
        <w:tc>
          <w:tcPr>
            <w:tcW w:type="dxa" w:w="1020"/>
          </w:tcPr>
          <w:p>
            <w:r/>
            <w:r>
              <w:rPr>
                <w:rFonts w:ascii="Arial" w:hAnsi="Arial"/>
                <w:sz w:val="18"/>
                <w:rFonts w:eastAsia="Yu Gothic" w:ascii="Arial" w:hAnsi="Arial"/>
              </w:rPr>
              <w:t>1.2%</w:t>
            </w:r>
          </w:p>
        </w:tc>
        <w:tc>
          <w:tcPr>
            <w:tcW w:type="dxa" w:w="1020"/>
          </w:tcPr>
          <w:p>
            <w:r/>
            <w:r>
              <w:rPr>
                <w:rFonts w:ascii="Arial" w:hAnsi="Arial"/>
                <w:sz w:val="18"/>
                <w:rFonts w:eastAsia="Yu Gothic" w:ascii="Arial" w:hAnsi="Arial"/>
              </w:rPr>
              <w:t>3.9%</w:t>
            </w:r>
          </w:p>
        </w:tc>
        <w:tc>
          <w:tcPr>
            <w:tcW w:type="dxa" w:w="1020"/>
          </w:tcPr>
          <w:p>
            <w:r/>
            <w:r>
              <w:rPr>
                <w:rFonts w:ascii="Arial" w:hAnsi="Arial"/>
                <w:sz w:val="18"/>
                <w:rFonts w:eastAsia="Yu Gothic" w:ascii="Arial" w:hAnsi="Arial"/>
              </w:rPr>
              <w:t>7.3%</w:t>
            </w:r>
          </w:p>
        </w:tc>
        <w:tc>
          <w:tcPr>
            <w:tcW w:type="dxa" w:w="1020"/>
          </w:tcPr>
          <w:p>
            <w:r/>
            <w:r>
              <w:rPr>
                <w:rFonts w:ascii="Arial" w:hAnsi="Arial"/>
                <w:sz w:val="18"/>
                <w:rFonts w:eastAsia="Yu Gothic" w:ascii="Arial" w:hAnsi="Arial"/>
              </w:rPr>
              <w:t>7.8%</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減価償却費</w:t>
            </w:r>
          </w:p>
        </w:tc>
        <w:tc>
          <w:tcPr>
            <w:tcW w:type="dxa" w:w="1020"/>
          </w:tcPr>
          <w:p>
            <w:r/>
            <w:r>
              <w:rPr>
                <w:rFonts w:ascii="Arial" w:hAnsi="Arial"/>
                <w:sz w:val="18"/>
                <w:rFonts w:eastAsia="Yu Gothic" w:ascii="Arial" w:hAnsi="Arial"/>
              </w:rPr>
              <w:t>4.1</w:t>
            </w:r>
          </w:p>
        </w:tc>
        <w:tc>
          <w:tcPr>
            <w:tcW w:type="dxa" w:w="1020"/>
          </w:tcPr>
          <w:p>
            <w:r/>
            <w:r>
              <w:rPr>
                <w:rFonts w:ascii="Arial" w:hAnsi="Arial"/>
                <w:sz w:val="18"/>
                <w:rFonts w:eastAsia="Yu Gothic" w:ascii="Arial" w:hAnsi="Arial"/>
              </w:rPr>
              <w:t>3.9</w:t>
            </w:r>
          </w:p>
        </w:tc>
        <w:tc>
          <w:tcPr>
            <w:tcW w:type="dxa" w:w="1020"/>
          </w:tcPr>
          <w:p>
            <w:r/>
            <w:r>
              <w:rPr>
                <w:rFonts w:ascii="Arial" w:hAnsi="Arial"/>
                <w:sz w:val="18"/>
                <w:rFonts w:eastAsia="Yu Gothic" w:ascii="Arial" w:hAnsi="Arial"/>
              </w:rPr>
              <w:t>4.6</w:t>
            </w:r>
          </w:p>
        </w:tc>
        <w:tc>
          <w:tcPr>
            <w:tcW w:type="dxa" w:w="1020"/>
          </w:tcPr>
          <w:p>
            <w:r/>
            <w:r>
              <w:rPr>
                <w:rFonts w:ascii="Arial" w:hAnsi="Arial"/>
                <w:sz w:val="18"/>
                <w:rFonts w:eastAsia="Yu Gothic" w:ascii="Arial" w:hAnsi="Arial"/>
              </w:rPr>
              <w:t>5.1</w:t>
            </w:r>
          </w:p>
        </w:tc>
        <w:tc>
          <w:tcPr>
            <w:tcW w:type="dxa" w:w="1020"/>
          </w:tcPr>
          <w:p>
            <w:r/>
            <w:r>
              <w:rPr>
                <w:rFonts w:ascii="Arial" w:hAnsi="Arial"/>
                <w:sz w:val="18"/>
                <w:rFonts w:eastAsia="Yu Gothic" w:ascii="Arial" w:hAnsi="Arial"/>
              </w:rPr>
              <w:t>10.5</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減価償却費/売上</w:t>
            </w:r>
          </w:p>
        </w:tc>
        <w:tc>
          <w:tcPr>
            <w:tcW w:type="dxa" w:w="1020"/>
          </w:tcPr>
          <w:p>
            <w:r/>
            <w:r>
              <w:rPr>
                <w:rFonts w:ascii="Arial" w:hAnsi="Arial"/>
                <w:sz w:val="18"/>
                <w:rFonts w:eastAsia="Yu Gothic" w:ascii="Arial" w:hAnsi="Arial"/>
              </w:rPr>
              <w:t>6.6%</w:t>
            </w:r>
          </w:p>
        </w:tc>
        <w:tc>
          <w:tcPr>
            <w:tcW w:type="dxa" w:w="1020"/>
          </w:tcPr>
          <w:p>
            <w:r/>
            <w:r>
              <w:rPr>
                <w:rFonts w:ascii="Arial" w:hAnsi="Arial"/>
                <w:sz w:val="18"/>
                <w:rFonts w:eastAsia="Yu Gothic" w:ascii="Arial" w:hAnsi="Arial"/>
              </w:rPr>
              <w:t>4.4%</w:t>
            </w:r>
          </w:p>
        </w:tc>
        <w:tc>
          <w:tcPr>
            <w:tcW w:type="dxa" w:w="1020"/>
          </w:tcPr>
          <w:p>
            <w:r/>
            <w:r>
              <w:rPr>
                <w:rFonts w:ascii="Arial" w:hAnsi="Arial"/>
                <w:sz w:val="18"/>
                <w:rFonts w:eastAsia="Yu Gothic" w:ascii="Arial" w:hAnsi="Arial"/>
              </w:rPr>
              <w:t>3.4%</w:t>
            </w:r>
          </w:p>
        </w:tc>
        <w:tc>
          <w:tcPr>
            <w:tcW w:type="dxa" w:w="1020"/>
          </w:tcPr>
          <w:p>
            <w:r/>
            <w:r>
              <w:rPr>
                <w:rFonts w:ascii="Arial" w:hAnsi="Arial"/>
                <w:sz w:val="18"/>
                <w:rFonts w:eastAsia="Yu Gothic" w:ascii="Arial" w:hAnsi="Arial"/>
              </w:rPr>
              <w:t>3.4%</w:t>
            </w:r>
          </w:p>
        </w:tc>
        <w:tc>
          <w:tcPr>
            <w:tcW w:type="dxa" w:w="1020"/>
          </w:tcPr>
          <w:p>
            <w:r/>
            <w:r>
              <w:rPr>
                <w:rFonts w:ascii="Arial" w:hAnsi="Arial"/>
                <w:sz w:val="18"/>
                <w:rFonts w:eastAsia="Yu Gothic" w:ascii="Arial" w:hAnsi="Arial"/>
              </w:rPr>
              <w:t>6.5%</w:t>
            </w:r>
          </w:p>
        </w:tc>
      </w:tr>
      <w:tr>
        <w:tc>
          <w:tcPr>
            <w:tcW w:type="dxa" w:w="2041"/>
          </w:tcPr>
          <w:p>
            <w:r/>
            <w:r>
              <w:rPr>
                <w:rFonts w:ascii="Arial" w:hAnsi="Arial"/>
                <w:sz w:val="18"/>
                <w:rFonts w:eastAsia="Yu Gothic" w:ascii="Arial" w:hAnsi="Arial"/>
              </w:rPr>
              <w:t>連結</w:t>
            </w:r>
          </w:p>
        </w:tc>
        <w:tc>
          <w:tcPr>
            <w:tcW w:type="dxa" w:w="1361"/>
          </w:tcPr>
          <w:p>
            <w:r/>
            <w:r>
              <w:rPr>
                <w:rFonts w:ascii="Arial" w:hAnsi="Arial"/>
                <w:sz w:val="18"/>
                <w:rFonts w:eastAsia="Yu Gothic" w:ascii="Arial" w:hAnsi="Arial"/>
              </w:rPr>
              <w:t>売上高</w:t>
            </w:r>
          </w:p>
        </w:tc>
        <w:tc>
          <w:tcPr>
            <w:tcW w:type="dxa" w:w="1020"/>
          </w:tcPr>
          <w:p>
            <w:r/>
            <w:r>
              <w:rPr>
                <w:rFonts w:ascii="Arial" w:hAnsi="Arial"/>
                <w:sz w:val="18"/>
                <w:rFonts w:eastAsia="Yu Gothic" w:ascii="Arial" w:hAnsi="Arial"/>
              </w:rPr>
              <w:t>222.8</w:t>
            </w:r>
          </w:p>
        </w:tc>
        <w:tc>
          <w:tcPr>
            <w:tcW w:type="dxa" w:w="1020"/>
          </w:tcPr>
          <w:p>
            <w:r/>
            <w:r>
              <w:rPr>
                <w:rFonts w:ascii="Arial" w:hAnsi="Arial"/>
                <w:sz w:val="18"/>
                <w:rFonts w:eastAsia="Yu Gothic" w:ascii="Arial" w:hAnsi="Arial"/>
              </w:rPr>
              <w:t>265.9</w:t>
            </w:r>
          </w:p>
        </w:tc>
        <w:tc>
          <w:tcPr>
            <w:tcW w:type="dxa" w:w="1020"/>
          </w:tcPr>
          <w:p>
            <w:r/>
            <w:r>
              <w:rPr>
                <w:rFonts w:ascii="Arial" w:hAnsi="Arial"/>
                <w:sz w:val="18"/>
                <w:rFonts w:eastAsia="Yu Gothic" w:ascii="Arial" w:hAnsi="Arial"/>
              </w:rPr>
              <w:t>352.7</w:t>
            </w:r>
          </w:p>
        </w:tc>
        <w:tc>
          <w:tcPr>
            <w:tcW w:type="dxa" w:w="1020"/>
          </w:tcPr>
          <w:p>
            <w:r/>
            <w:r>
              <w:rPr>
                <w:rFonts w:ascii="Arial" w:hAnsi="Arial"/>
                <w:sz w:val="18"/>
                <w:rFonts w:eastAsia="Yu Gothic" w:ascii="Arial" w:hAnsi="Arial"/>
              </w:rPr>
              <w:t>377.0</w:t>
            </w:r>
          </w:p>
        </w:tc>
        <w:tc>
          <w:tcPr>
            <w:tcW w:type="dxa" w:w="1020"/>
          </w:tcPr>
          <w:p>
            <w:r/>
            <w:r>
              <w:rPr>
                <w:rFonts w:ascii="Arial" w:hAnsi="Arial"/>
                <w:sz w:val="18"/>
                <w:rFonts w:eastAsia="Yu Gothic" w:ascii="Arial" w:hAnsi="Arial"/>
              </w:rPr>
              <w:t>392.1</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営業利益</w:t>
            </w:r>
          </w:p>
        </w:tc>
        <w:tc>
          <w:tcPr>
            <w:tcW w:type="dxa" w:w="1020"/>
          </w:tcPr>
          <w:p>
            <w:r/>
            <w:r>
              <w:rPr>
                <w:rFonts w:ascii="Arial" w:hAnsi="Arial"/>
                <w:sz w:val="18"/>
                <w:rFonts w:eastAsia="Yu Gothic" w:ascii="Arial" w:hAnsi="Arial"/>
              </w:rPr>
              <w:t>14.0</w:t>
            </w:r>
          </w:p>
        </w:tc>
        <w:tc>
          <w:tcPr>
            <w:tcW w:type="dxa" w:w="1020"/>
          </w:tcPr>
          <w:p>
            <w:r/>
            <w:r>
              <w:rPr>
                <w:rFonts w:ascii="Arial" w:hAnsi="Arial"/>
                <w:sz w:val="18"/>
                <w:rFonts w:eastAsia="Yu Gothic" w:ascii="Arial" w:hAnsi="Arial"/>
              </w:rPr>
              <w:t>11.0</w:t>
            </w:r>
          </w:p>
        </w:tc>
        <w:tc>
          <w:tcPr>
            <w:tcW w:type="dxa" w:w="1020"/>
          </w:tcPr>
          <w:p>
            <w:r/>
            <w:r>
              <w:rPr>
                <w:rFonts w:ascii="Arial" w:hAnsi="Arial"/>
                <w:sz w:val="18"/>
                <w:rFonts w:eastAsia="Yu Gothic" w:ascii="Arial" w:hAnsi="Arial"/>
              </w:rPr>
              <w:t>30.1</w:t>
            </w:r>
          </w:p>
        </w:tc>
        <w:tc>
          <w:tcPr>
            <w:tcW w:type="dxa" w:w="1020"/>
          </w:tcPr>
          <w:p>
            <w:r/>
            <w:r>
              <w:rPr>
                <w:rFonts w:ascii="Arial" w:hAnsi="Arial"/>
                <w:sz w:val="18"/>
                <w:rFonts w:eastAsia="Yu Gothic" w:ascii="Arial" w:hAnsi="Arial"/>
              </w:rPr>
              <w:t>48.8</w:t>
            </w:r>
          </w:p>
        </w:tc>
        <w:tc>
          <w:tcPr>
            <w:tcW w:type="dxa" w:w="1020"/>
          </w:tcPr>
          <w:p>
            <w:r/>
            <w:r>
              <w:rPr>
                <w:rFonts w:ascii="Arial" w:hAnsi="Arial"/>
                <w:sz w:val="18"/>
                <w:rFonts w:eastAsia="Yu Gothic" w:ascii="Arial" w:hAnsi="Arial"/>
              </w:rPr>
              <w:t>53.0</w:t>
            </w:r>
          </w:p>
        </w:tc>
      </w:tr>
      <w:tr>
        <w:tc>
          <w:tcPr>
            <w:tcW w:type="dxa" w:w="2041"/>
          </w:tcPr>
          <w:p>
            <w:r/>
            <w:r>
              <w:rPr>
                <w:rFonts w:ascii="Arial" w:hAnsi="Arial"/>
                <w:sz w:val="18"/>
                <w:rFonts w:eastAsia="Yu Gothic" w:ascii="Arial" w:hAnsi="Arial"/>
              </w:rPr>
            </w:r>
          </w:p>
        </w:tc>
        <w:tc>
          <w:tcPr>
            <w:tcW w:type="dxa" w:w="1361"/>
          </w:tcPr>
          <w:p>
            <w:r/>
            <w:r>
              <w:rPr>
                <w:rFonts w:ascii="Arial" w:hAnsi="Arial"/>
                <w:sz w:val="18"/>
                <w:rFonts w:eastAsia="Yu Gothic" w:ascii="Arial" w:hAnsi="Arial"/>
              </w:rPr>
              <w:t>営業利益率</w:t>
            </w:r>
          </w:p>
        </w:tc>
        <w:tc>
          <w:tcPr>
            <w:tcW w:type="dxa" w:w="1020"/>
          </w:tcPr>
          <w:p>
            <w:r/>
            <w:r>
              <w:rPr>
                <w:rFonts w:ascii="Arial" w:hAnsi="Arial"/>
                <w:sz w:val="18"/>
                <w:rFonts w:eastAsia="Yu Gothic" w:ascii="Arial" w:hAnsi="Arial"/>
              </w:rPr>
              <w:t>6.3%</w:t>
            </w:r>
          </w:p>
        </w:tc>
        <w:tc>
          <w:tcPr>
            <w:tcW w:type="dxa" w:w="1020"/>
          </w:tcPr>
          <w:p>
            <w:r/>
            <w:r>
              <w:rPr>
                <w:rFonts w:ascii="Arial" w:hAnsi="Arial"/>
                <w:sz w:val="18"/>
                <w:rFonts w:eastAsia="Yu Gothic" w:ascii="Arial" w:hAnsi="Arial"/>
              </w:rPr>
              <w:t>4.1%</w:t>
            </w:r>
          </w:p>
        </w:tc>
        <w:tc>
          <w:tcPr>
            <w:tcW w:type="dxa" w:w="1020"/>
          </w:tcPr>
          <w:p>
            <w:r/>
            <w:r>
              <w:rPr>
                <w:rFonts w:ascii="Arial" w:hAnsi="Arial"/>
                <w:sz w:val="18"/>
                <w:rFonts w:eastAsia="Yu Gothic" w:ascii="Arial" w:hAnsi="Arial"/>
              </w:rPr>
              <w:t>8.5%</w:t>
            </w:r>
          </w:p>
        </w:tc>
        <w:tc>
          <w:tcPr>
            <w:tcW w:type="dxa" w:w="1020"/>
          </w:tcPr>
          <w:p>
            <w:r/>
            <w:r>
              <w:rPr>
                <w:rFonts w:ascii="Arial" w:hAnsi="Arial"/>
                <w:sz w:val="18"/>
                <w:rFonts w:eastAsia="Yu Gothic" w:ascii="Arial" w:hAnsi="Arial"/>
              </w:rPr>
              <w:t>13.0%</w:t>
            </w:r>
          </w:p>
        </w:tc>
        <w:tc>
          <w:tcPr>
            <w:tcW w:type="dxa" w:w="1020"/>
          </w:tcPr>
          <w:p>
            <w:r/>
            <w:r>
              <w:rPr>
                <w:rFonts w:ascii="Arial" w:hAnsi="Arial"/>
                <w:sz w:val="18"/>
                <w:rFonts w:eastAsia="Yu Gothic" w:ascii="Arial" w:hAnsi="Arial"/>
              </w:rPr>
              <w:t>13.5%</w:t>
            </w:r>
          </w:p>
        </w:tc>
      </w:tr>
    </w:tbl>
    <w:p>
      <w:pPr>
        <w:spacing w:before="0" w:after="40"/>
      </w:pPr>
      <w:r>
        <w:rPr>
          <w:rFonts w:ascii="Arial" w:hAnsi="Arial"/>
          <w:i/>
          <w:sz w:val="17"/>
          <w:rFonts w:eastAsia="Yu Gothic" w:ascii="Arial" w:hAnsi="Arial"/>
        </w:rPr>
        <w:t>（注）セグメント利益は本社一般管理費控除前。連結営業利益はセグメント利益合計から本社費・セグメント間消去を控除して算出。億円単位、小数第1位四捨五入。出典：有価証券報告書 第59期-第63期。</w:t>
      </w:r>
    </w:p>
    <w:p>
      <w:pPr>
        <w:spacing w:before="120" w:after="40"/>
      </w:pPr>
      <w:r>
        <w:rPr>
          <w:b/>
          <w:sz w:val="21"/>
          <w:rFonts w:eastAsia="Yu Gothic" w:ascii="Arial" w:hAnsi="Arial"/>
        </w:rPr>
        <w:t>テーブル B：直近期（FY2025）セグメント構成比</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2835"/>
            <w:shd w:val="clear" w:color="auto" w:fill="1F4E78"/>
          </w:tcPr>
          <w:p>
            <w:r>
              <w:rPr>
                <w:color w:val="FFFFFF"/>
              </w:rPr>
            </w:r>
            <w:r>
              <w:rPr>
                <w:rFonts w:ascii="Arial" w:hAnsi="Arial"/>
                <w:b/>
                <w:color w:val="FFFFFF"/>
                <w:sz w:val="18"/>
                <w:rFonts w:eastAsia="Yu Gothic" w:ascii="Arial" w:hAnsi="Arial"/>
              </w:rPr>
              <w:t>セグメント</w:t>
            </w:r>
          </w:p>
        </w:tc>
        <w:tc>
          <w:tcPr>
            <w:tcW w:type="dxa" w:w="1134"/>
            <w:shd w:val="clear" w:color="auto" w:fill="1F4E78"/>
          </w:tcPr>
          <w:p>
            <w:r>
              <w:rPr>
                <w:color w:val="FFFFFF"/>
              </w:rPr>
            </w:r>
            <w:r>
              <w:rPr>
                <w:rFonts w:ascii="Arial" w:hAnsi="Arial"/>
                <w:b/>
                <w:color w:val="FFFFFF"/>
                <w:sz w:val="18"/>
                <w:rFonts w:eastAsia="Yu Gothic" w:ascii="Arial" w:hAnsi="Arial"/>
              </w:rPr>
              <w:t>売上（億円）</w:t>
            </w:r>
          </w:p>
        </w:tc>
        <w:tc>
          <w:tcPr>
            <w:tcW w:type="dxa" w:w="1020"/>
            <w:shd w:val="clear" w:color="auto" w:fill="1F4E78"/>
          </w:tcPr>
          <w:p>
            <w:r>
              <w:rPr>
                <w:color w:val="FFFFFF"/>
              </w:rPr>
            </w:r>
            <w:r>
              <w:rPr>
                <w:rFonts w:ascii="Arial" w:hAnsi="Arial"/>
                <w:b/>
                <w:color w:val="FFFFFF"/>
                <w:sz w:val="18"/>
                <w:rFonts w:eastAsia="Yu Gothic" w:ascii="Arial" w:hAnsi="Arial"/>
              </w:rPr>
              <w:t>売上構成比</w:t>
            </w:r>
          </w:p>
        </w:tc>
        <w:tc>
          <w:tcPr>
            <w:tcW w:type="dxa" w:w="1134"/>
            <w:shd w:val="clear" w:color="auto" w:fill="1F4E78"/>
          </w:tcPr>
          <w:p>
            <w:r>
              <w:rPr>
                <w:color w:val="FFFFFF"/>
              </w:rPr>
            </w:r>
            <w:r>
              <w:rPr>
                <w:rFonts w:ascii="Arial" w:hAnsi="Arial"/>
                <w:b/>
                <w:color w:val="FFFFFF"/>
                <w:sz w:val="18"/>
                <w:rFonts w:eastAsia="Yu Gothic" w:ascii="Arial" w:hAnsi="Arial"/>
              </w:rPr>
              <w:t>セグメント利益（億円）</w:t>
            </w:r>
          </w:p>
        </w:tc>
        <w:tc>
          <w:tcPr>
            <w:tcW w:type="dxa" w:w="1020"/>
            <w:shd w:val="clear" w:color="auto" w:fill="1F4E78"/>
          </w:tcPr>
          <w:p>
            <w:r>
              <w:rPr>
                <w:color w:val="FFFFFF"/>
              </w:rPr>
            </w:r>
            <w:r>
              <w:rPr>
                <w:rFonts w:ascii="Arial" w:hAnsi="Arial"/>
                <w:b/>
                <w:color w:val="FFFFFF"/>
                <w:sz w:val="18"/>
                <w:rFonts w:eastAsia="Yu Gothic" w:ascii="Arial" w:hAnsi="Arial"/>
              </w:rPr>
              <w:t>利益構成比</w:t>
            </w:r>
          </w:p>
        </w:tc>
        <w:tc>
          <w:tcPr>
            <w:tcW w:type="dxa" w:w="907"/>
            <w:shd w:val="clear" w:color="auto" w:fill="1F4E78"/>
          </w:tcPr>
          <w:p>
            <w:r>
              <w:rPr>
                <w:color w:val="FFFFFF"/>
              </w:rPr>
            </w:r>
            <w:r>
              <w:rPr>
                <w:rFonts w:ascii="Arial" w:hAnsi="Arial"/>
                <w:b/>
                <w:color w:val="FFFFFF"/>
                <w:sz w:val="18"/>
                <w:rFonts w:eastAsia="Yu Gothic" w:ascii="Arial" w:hAnsi="Arial"/>
              </w:rPr>
              <w:t>利益率</w:t>
            </w:r>
          </w:p>
        </w:tc>
      </w:tr>
      <w:tr>
        <w:tc>
          <w:tcPr>
            <w:tcW w:type="dxa" w:w="2835"/>
          </w:tcPr>
          <w:p>
            <w:r/>
            <w:r>
              <w:rPr>
                <w:rFonts w:ascii="Arial" w:hAnsi="Arial"/>
                <w:sz w:val="18"/>
                <w:rFonts w:eastAsia="Yu Gothic" w:ascii="Arial" w:hAnsi="Arial"/>
              </w:rPr>
              <w:t>食品加工機械製造販売事業</w:t>
            </w:r>
          </w:p>
        </w:tc>
        <w:tc>
          <w:tcPr>
            <w:tcW w:type="dxa" w:w="1134"/>
          </w:tcPr>
          <w:p>
            <w:r/>
            <w:r>
              <w:rPr>
                <w:rFonts w:ascii="Arial" w:hAnsi="Arial"/>
                <w:sz w:val="18"/>
                <w:rFonts w:eastAsia="Yu Gothic" w:ascii="Arial" w:hAnsi="Arial"/>
              </w:rPr>
              <w:t>230.3</w:t>
            </w:r>
          </w:p>
        </w:tc>
        <w:tc>
          <w:tcPr>
            <w:tcW w:type="dxa" w:w="1020"/>
          </w:tcPr>
          <w:p>
            <w:r/>
            <w:r>
              <w:rPr>
                <w:rFonts w:ascii="Arial" w:hAnsi="Arial"/>
                <w:sz w:val="18"/>
                <w:rFonts w:eastAsia="Yu Gothic" w:ascii="Arial" w:hAnsi="Arial"/>
              </w:rPr>
              <w:t>58.7%</w:t>
            </w:r>
          </w:p>
        </w:tc>
        <w:tc>
          <w:tcPr>
            <w:tcW w:type="dxa" w:w="1134"/>
          </w:tcPr>
          <w:p>
            <w:r/>
            <w:r>
              <w:rPr>
                <w:rFonts w:ascii="Arial" w:hAnsi="Arial"/>
                <w:sz w:val="18"/>
                <w:rFonts w:eastAsia="Yu Gothic" w:ascii="Arial" w:hAnsi="Arial"/>
              </w:rPr>
              <w:t>56.5</w:t>
            </w:r>
          </w:p>
        </w:tc>
        <w:tc>
          <w:tcPr>
            <w:tcW w:type="dxa" w:w="1020"/>
          </w:tcPr>
          <w:p>
            <w:r/>
            <w:r>
              <w:rPr>
                <w:rFonts w:ascii="Arial" w:hAnsi="Arial"/>
                <w:sz w:val="18"/>
                <w:rFonts w:eastAsia="Yu Gothic" w:ascii="Arial" w:hAnsi="Arial"/>
              </w:rPr>
              <w:t>75.2%</w:t>
            </w:r>
          </w:p>
        </w:tc>
        <w:tc>
          <w:tcPr>
            <w:tcW w:type="dxa" w:w="907"/>
          </w:tcPr>
          <w:p>
            <w:r/>
            <w:r>
              <w:rPr>
                <w:rFonts w:ascii="Arial" w:hAnsi="Arial"/>
                <w:sz w:val="18"/>
                <w:rFonts w:eastAsia="Yu Gothic" w:ascii="Arial" w:hAnsi="Arial"/>
              </w:rPr>
              <w:t>24.5%</w:t>
            </w:r>
          </w:p>
        </w:tc>
      </w:tr>
      <w:tr>
        <w:tc>
          <w:tcPr>
            <w:tcW w:type="dxa" w:w="2835"/>
          </w:tcPr>
          <w:p>
            <w:r/>
            <w:r>
              <w:rPr>
                <w:rFonts w:ascii="Arial" w:hAnsi="Arial"/>
                <w:sz w:val="18"/>
                <w:rFonts w:eastAsia="Yu Gothic" w:ascii="Arial" w:hAnsi="Arial"/>
              </w:rPr>
              <w:t>食品製造販売事業（オレンジベーカリー他）</w:t>
            </w:r>
          </w:p>
        </w:tc>
        <w:tc>
          <w:tcPr>
            <w:tcW w:type="dxa" w:w="1134"/>
          </w:tcPr>
          <w:p>
            <w:r/>
            <w:r>
              <w:rPr>
                <w:rFonts w:ascii="Arial" w:hAnsi="Arial"/>
                <w:sz w:val="18"/>
                <w:rFonts w:eastAsia="Yu Gothic" w:ascii="Arial" w:hAnsi="Arial"/>
              </w:rPr>
              <w:t>161.9</w:t>
            </w:r>
          </w:p>
        </w:tc>
        <w:tc>
          <w:tcPr>
            <w:tcW w:type="dxa" w:w="1020"/>
          </w:tcPr>
          <w:p>
            <w:r/>
            <w:r>
              <w:rPr>
                <w:rFonts w:ascii="Arial" w:hAnsi="Arial"/>
                <w:sz w:val="18"/>
                <w:rFonts w:eastAsia="Yu Gothic" w:ascii="Arial" w:hAnsi="Arial"/>
              </w:rPr>
              <w:t>41.3%</w:t>
            </w:r>
          </w:p>
        </w:tc>
        <w:tc>
          <w:tcPr>
            <w:tcW w:type="dxa" w:w="1134"/>
          </w:tcPr>
          <w:p>
            <w:r/>
            <w:r>
              <w:rPr>
                <w:rFonts w:ascii="Arial" w:hAnsi="Arial"/>
                <w:sz w:val="18"/>
                <w:rFonts w:eastAsia="Yu Gothic" w:ascii="Arial" w:hAnsi="Arial"/>
              </w:rPr>
              <w:t>18.6</w:t>
            </w:r>
          </w:p>
        </w:tc>
        <w:tc>
          <w:tcPr>
            <w:tcW w:type="dxa" w:w="1020"/>
          </w:tcPr>
          <w:p>
            <w:r/>
            <w:r>
              <w:rPr>
                <w:rFonts w:ascii="Arial" w:hAnsi="Arial"/>
                <w:sz w:val="18"/>
                <w:rFonts w:eastAsia="Yu Gothic" w:ascii="Arial" w:hAnsi="Arial"/>
              </w:rPr>
              <w:t>24.8%</w:t>
            </w:r>
          </w:p>
        </w:tc>
        <w:tc>
          <w:tcPr>
            <w:tcW w:type="dxa" w:w="907"/>
          </w:tcPr>
          <w:p>
            <w:r/>
            <w:r>
              <w:rPr>
                <w:rFonts w:ascii="Arial" w:hAnsi="Arial"/>
                <w:sz w:val="18"/>
                <w:rFonts w:eastAsia="Yu Gothic" w:ascii="Arial" w:hAnsi="Arial"/>
              </w:rPr>
              <w:t>11.5%</w:t>
            </w:r>
          </w:p>
        </w:tc>
      </w:tr>
      <w:tr>
        <w:tc>
          <w:tcPr>
            <w:tcW w:type="dxa" w:w="2835"/>
          </w:tcPr>
          <w:p>
            <w:r/>
            <w:r>
              <w:rPr>
                <w:rFonts w:ascii="Arial" w:hAnsi="Arial"/>
                <w:sz w:val="18"/>
                <w:rFonts w:eastAsia="Yu Gothic" w:ascii="Arial" w:hAnsi="Arial"/>
              </w:rPr>
              <w:t>合計（本社費控除前ベース）</w:t>
            </w:r>
          </w:p>
        </w:tc>
        <w:tc>
          <w:tcPr>
            <w:tcW w:type="dxa" w:w="1134"/>
          </w:tcPr>
          <w:p>
            <w:r/>
            <w:r>
              <w:rPr>
                <w:rFonts w:ascii="Arial" w:hAnsi="Arial"/>
                <w:sz w:val="18"/>
                <w:rFonts w:eastAsia="Yu Gothic" w:ascii="Arial" w:hAnsi="Arial"/>
              </w:rPr>
              <w:t>392.1</w:t>
            </w:r>
          </w:p>
        </w:tc>
        <w:tc>
          <w:tcPr>
            <w:tcW w:type="dxa" w:w="1020"/>
          </w:tcPr>
          <w:p>
            <w:r/>
            <w:r>
              <w:rPr>
                <w:rFonts w:ascii="Arial" w:hAnsi="Arial"/>
                <w:sz w:val="18"/>
                <w:rFonts w:eastAsia="Yu Gothic" w:ascii="Arial" w:hAnsi="Arial"/>
              </w:rPr>
              <w:t>100.0%</w:t>
            </w:r>
          </w:p>
        </w:tc>
        <w:tc>
          <w:tcPr>
            <w:tcW w:type="dxa" w:w="1134"/>
          </w:tcPr>
          <w:p>
            <w:r/>
            <w:r>
              <w:rPr>
                <w:rFonts w:ascii="Arial" w:hAnsi="Arial"/>
                <w:sz w:val="18"/>
                <w:rFonts w:eastAsia="Yu Gothic" w:ascii="Arial" w:hAnsi="Arial"/>
              </w:rPr>
              <w:t>75.1</w:t>
            </w:r>
          </w:p>
        </w:tc>
        <w:tc>
          <w:tcPr>
            <w:tcW w:type="dxa" w:w="1020"/>
          </w:tcPr>
          <w:p>
            <w:r/>
            <w:r>
              <w:rPr>
                <w:rFonts w:ascii="Arial" w:hAnsi="Arial"/>
                <w:sz w:val="18"/>
                <w:rFonts w:eastAsia="Yu Gothic" w:ascii="Arial" w:hAnsi="Arial"/>
              </w:rPr>
              <w:t>100.0%</w:t>
            </w:r>
          </w:p>
        </w:tc>
        <w:tc>
          <w:tcPr>
            <w:tcW w:type="dxa" w:w="907"/>
          </w:tcPr>
          <w:p>
            <w:r/>
            <w:r>
              <w:rPr>
                <w:rFonts w:ascii="Arial" w:hAnsi="Arial"/>
                <w:sz w:val="18"/>
                <w:rFonts w:eastAsia="Yu Gothic" w:ascii="Arial" w:hAnsi="Arial"/>
              </w:rPr>
              <w:t>—</w:t>
            </w:r>
          </w:p>
        </w:tc>
      </w:tr>
    </w:tbl>
    <w:p>
      <w:pPr>
        <w:spacing w:before="0" w:after="40"/>
      </w:pPr>
      <w:r>
        <w:rPr>
          <w:rFonts w:ascii="Arial" w:hAnsi="Arial"/>
          <w:sz w:val="20"/>
          <w:rFonts w:eastAsia="Yu Gothic" w:ascii="Arial" w:hAnsi="Arial"/>
        </w:rPr>
        <w:t>**含意**：売上構成比59:41に対し利益構成比は75:25と、機械事業が利益の4分の3を稼ぐ非対称構造。食品加工機械の利益率24.5%が連結ROE10%・PBR1倍水準を支えている一方、食品製造販売11.5%は機械事業の販促・実証コストを内包しており、両セグメントを切り離してEBITDAマルチプル評価する場合は片方ずつのスタンドアロン採算検証が論点となる。</w:t>
      </w:r>
    </w:p>
    <w:p>
      <w:pPr>
        <w:spacing w:before="160" w:after="60"/>
      </w:pPr>
      <w:r>
        <w:rPr>
          <w:b/>
          <w:sz w:val="24"/>
          <w:rFonts w:eastAsia="Yu Gothic" w:ascii="Arial" w:hAnsi="Arial"/>
        </w:rPr>
        <w:t>1-2. 製品・サービス</w:t>
      </w:r>
    </w:p>
    <w:p>
      <w:pPr>
        <w:spacing w:before="0" w:after="40"/>
      </w:pPr>
      <w:r>
        <w:rPr>
          <w:rFonts w:ascii="Arial" w:hAnsi="Arial"/>
          <w:sz w:val="21"/>
          <w:rFonts w:eastAsia="Yu Gothic" w:ascii="Arial" w:hAnsi="Arial"/>
        </w:rPr>
        <w:t>**食品加工機械製造販売事業（売上構成59%）**は4領域で構成される [出典: Nomura IR p.14]：</w:t>
      </w:r>
    </w:p>
    <w:p>
      <w:pPr>
        <w:pStyle w:val="ListBullet"/>
        <w:spacing w:after="20"/>
      </w:pPr>
      <w:r>
        <w:rPr>
          <w:sz w:val="21"/>
          <w:rFonts w:eastAsia="Yu Gothic" w:ascii="Arial" w:hAnsi="Arial"/>
        </w:rPr>
        <w:t>**食品成形機**（包あん機「火星人」シリーズ＝CN700/CN500/AN210/EZデバイダー等）：祖業。シャッター型「非粘着インクラスター」で生地により餡・具材を包む工程を職人6工程→1工程に圧縮 [出典: 日経 2025/5/13]。</w:t>
      </w:r>
    </w:p>
    <w:p>
      <w:pPr>
        <w:pStyle w:val="ListBullet"/>
        <w:spacing w:after="20"/>
      </w:pPr>
      <w:r>
        <w:rPr>
          <w:sz w:val="21"/>
          <w:rFonts w:eastAsia="Yu Gothic" w:ascii="Arial" w:hAnsi="Arial"/>
        </w:rPr>
        <w:t>**製パンライン等**（VMシステム、HMライン、V4システム等）：パン生地の計量→分割→成形を自動化する量産ライン。アルチザンブレッド（手作り風高品質パン）、クロワッサン、デニッシュ、パイなどペストリーまでカバー [出典: Nomura IR p.18-20]。</w:t>
      </w:r>
    </w:p>
    <w:p>
      <w:pPr>
        <w:pStyle w:val="ListBullet"/>
        <w:spacing w:after="20"/>
      </w:pPr>
      <w:r>
        <w:rPr>
          <w:sz w:val="21"/>
          <w:rFonts w:eastAsia="Yu Gothic" w:ascii="Arial" w:hAnsi="Arial"/>
        </w:rPr>
        <w:t>**修理その他**：定期点検、オーバーホール、講習会、消耗部品。「故障してから」ではなく「故障する前」の予知メンテで、顧客滞在時間を機械販売後も長期に確保するアフターサービスモデル [出典: Nomura IR p.21]。</w:t>
      </w:r>
    </w:p>
    <w:p>
      <w:pPr>
        <w:pStyle w:val="ListBullet"/>
        <w:spacing w:after="20"/>
      </w:pPr>
      <w:r>
        <w:rPr>
          <w:sz w:val="21"/>
          <w:rFonts w:eastAsia="Yu Gothic" w:ascii="Arial" w:hAnsi="Arial"/>
        </w:rPr>
        <w:t>**仕入商品**：スウェーデンRevent社のラックオーブンの国内独占販売など、補完機器の代理販売。</w:t>
      </w:r>
    </w:p>
    <w:p>
      <w:pPr>
        <w:spacing w:before="0" w:after="40"/>
      </w:pPr>
      <w:r>
        <w:rPr>
          <w:rFonts w:ascii="Arial" w:hAnsi="Arial"/>
          <w:sz w:val="21"/>
          <w:rFonts w:eastAsia="Yu Gothic" w:ascii="Arial" w:hAnsi="Arial"/>
        </w:rPr>
        <w:t>**食品製造販売事業（売上構成41%）**：</w:t>
      </w:r>
    </w:p>
    <w:p>
      <w:pPr>
        <w:pStyle w:val="ListBullet"/>
        <w:spacing w:after="20"/>
      </w:pPr>
      <w:r>
        <w:rPr>
          <w:sz w:val="21"/>
          <w:rFonts w:eastAsia="Yu Gothic" w:ascii="Arial" w:hAnsi="Arial"/>
        </w:rPr>
        <w:t>**オレンジベーカリー（米加州）**：1978年設立。クロワッサン・デニッシュ・パイ・クッキー・成型冷凍ロールイン生地等の高加工度冷凍食品を製造販売。米国内に既存4工場、27年4月以降稼働の新工場でスマートファクトリー実証 [出典: 日経 2024/8/26、有報第63期]。</w:t>
      </w:r>
    </w:p>
    <w:p>
      <w:pPr>
        <w:pStyle w:val="ListBullet"/>
        <w:spacing w:after="20"/>
      </w:pPr>
      <w:r>
        <w:rPr>
          <w:sz w:val="21"/>
          <w:rFonts w:eastAsia="Yu Gothic" w:ascii="Arial" w:hAnsi="Arial"/>
        </w:rPr>
        <w:t>**有限会社ホシノ天然酵母パン種**：2006年子会社化。日本初の天然酵母パン種開発企業 [出典: Nomura IR p.29]。</w:t>
      </w:r>
    </w:p>
    <w:p>
      <w:pPr>
        <w:spacing w:before="160" w:after="60"/>
      </w:pPr>
      <w:r>
        <w:rPr>
          <w:b/>
          <w:sz w:val="24"/>
          <w:rFonts w:eastAsia="Yu Gothic" w:ascii="Arial" w:hAnsi="Arial"/>
        </w:rPr>
        <w:t>1-3. 顧客構造</w:t>
      </w:r>
    </w:p>
    <w:p>
      <w:pPr>
        <w:spacing w:before="0" w:after="40"/>
      </w:pPr>
      <w:r>
        <w:rPr>
          <w:rFonts w:ascii="Arial" w:hAnsi="Arial"/>
          <w:sz w:val="21"/>
          <w:rFonts w:eastAsia="Yu Gothic" w:ascii="Arial" w:hAnsi="Arial"/>
        </w:rPr>
        <w:t>**顧客構成**：取引企業数は全世界17,400社（FY2025）[出典: Nomura IR p.6]。業種は製菓業・製パン業・水産加工食品業・ハム/ソーセージ製造業・調理冷凍食品メーカー等、食品業界全般。「町の和菓子屋から大企業まで幅広い」（小林社長、日経 2023/2/27）。</w:t>
      </w:r>
    </w:p>
    <w:p>
      <w:pPr>
        <w:spacing w:before="0" w:after="40"/>
      </w:pPr>
      <w:r>
        <w:rPr>
          <w:rFonts w:ascii="Arial" w:hAnsi="Arial"/>
          <w:sz w:val="21"/>
          <w:rFonts w:eastAsia="Yu Gothic" w:ascii="Arial" w:hAnsi="Arial"/>
        </w:rPr>
        <w:t>**主要顧客集中度**：5期連続で「外部顧客への売上のうち連結売上高の10%以上を占める相手先なし」と有報注記 [出典: 有報第59期-第63期]。極めて分散した顧客ポートフォリオが特徴。一方で、Top10/Top20の集中度は非開示で追加DD論点。</w:t>
      </w:r>
    </w:p>
    <w:p>
      <w:pPr>
        <w:spacing w:before="0" w:after="40"/>
      </w:pPr>
      <w:r>
        <w:rPr>
          <w:rFonts w:ascii="Arial" w:hAnsi="Arial"/>
          <w:sz w:val="21"/>
          <w:rFonts w:eastAsia="Yu Gothic" w:ascii="Arial" w:hAnsi="Arial"/>
        </w:rPr>
        <w:t>**地域別売上（顧客所在地ベース）**：</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2268"/>
            <w:shd w:val="clear" w:color="auto" w:fill="1F4E78"/>
          </w:tcPr>
          <w:p>
            <w:r>
              <w:rPr>
                <w:color w:val="FFFFFF"/>
              </w:rPr>
            </w:r>
            <w:r>
              <w:rPr>
                <w:rFonts w:ascii="Arial" w:hAnsi="Arial"/>
                <w:b/>
                <w:color w:val="FFFFFF"/>
                <w:sz w:val="18"/>
                <w:rFonts w:eastAsia="Yu Gothic" w:ascii="Arial" w:hAnsi="Arial"/>
              </w:rPr>
              <w:t>地域</w:t>
            </w:r>
          </w:p>
        </w:tc>
        <w:tc>
          <w:tcPr>
            <w:tcW w:type="dxa" w:w="1417"/>
            <w:shd w:val="clear" w:color="auto" w:fill="1F4E78"/>
          </w:tcPr>
          <w:p>
            <w:r>
              <w:rPr>
                <w:color w:val="FFFFFF"/>
              </w:rPr>
            </w:r>
            <w:r>
              <w:rPr>
                <w:rFonts w:ascii="Arial" w:hAnsi="Arial"/>
                <w:b/>
                <w:color w:val="FFFFFF"/>
                <w:sz w:val="18"/>
                <w:rFonts w:eastAsia="Yu Gothic" w:ascii="Arial" w:hAnsi="Arial"/>
              </w:rPr>
              <w:t>FY2021</w:t>
            </w:r>
          </w:p>
        </w:tc>
        <w:tc>
          <w:tcPr>
            <w:tcW w:type="dxa" w:w="1417"/>
            <w:shd w:val="clear" w:color="auto" w:fill="1F4E78"/>
          </w:tcPr>
          <w:p>
            <w:r>
              <w:rPr>
                <w:color w:val="FFFFFF"/>
              </w:rPr>
            </w:r>
            <w:r>
              <w:rPr>
                <w:rFonts w:ascii="Arial" w:hAnsi="Arial"/>
                <w:b/>
                <w:color w:val="FFFFFF"/>
                <w:sz w:val="18"/>
                <w:rFonts w:eastAsia="Yu Gothic" w:ascii="Arial" w:hAnsi="Arial"/>
              </w:rPr>
              <w:t>FY2022</w:t>
            </w:r>
          </w:p>
        </w:tc>
        <w:tc>
          <w:tcPr>
            <w:tcW w:type="dxa" w:w="1417"/>
            <w:shd w:val="clear" w:color="auto" w:fill="1F4E78"/>
          </w:tcPr>
          <w:p>
            <w:r>
              <w:rPr>
                <w:color w:val="FFFFFF"/>
              </w:rPr>
            </w:r>
            <w:r>
              <w:rPr>
                <w:rFonts w:ascii="Arial" w:hAnsi="Arial"/>
                <w:b/>
                <w:color w:val="FFFFFF"/>
                <w:sz w:val="18"/>
                <w:rFonts w:eastAsia="Yu Gothic" w:ascii="Arial" w:hAnsi="Arial"/>
              </w:rPr>
              <w:t>FY2023</w:t>
            </w:r>
          </w:p>
        </w:tc>
        <w:tc>
          <w:tcPr>
            <w:tcW w:type="dxa" w:w="1417"/>
            <w:shd w:val="clear" w:color="auto" w:fill="1F4E78"/>
          </w:tcPr>
          <w:p>
            <w:r>
              <w:rPr>
                <w:color w:val="FFFFFF"/>
              </w:rPr>
            </w:r>
            <w:r>
              <w:rPr>
                <w:rFonts w:ascii="Arial" w:hAnsi="Arial"/>
                <w:b/>
                <w:color w:val="FFFFFF"/>
                <w:sz w:val="18"/>
                <w:rFonts w:eastAsia="Yu Gothic" w:ascii="Arial" w:hAnsi="Arial"/>
              </w:rPr>
              <w:t>FY2024</w:t>
            </w:r>
          </w:p>
        </w:tc>
        <w:tc>
          <w:tcPr>
            <w:tcW w:type="dxa" w:w="1417"/>
            <w:shd w:val="clear" w:color="auto" w:fill="1F4E78"/>
          </w:tcPr>
          <w:p>
            <w:r>
              <w:rPr>
                <w:color w:val="FFFFFF"/>
              </w:rPr>
            </w:r>
            <w:r>
              <w:rPr>
                <w:rFonts w:ascii="Arial" w:hAnsi="Arial"/>
                <w:b/>
                <w:color w:val="FFFFFF"/>
                <w:sz w:val="18"/>
                <w:rFonts w:eastAsia="Yu Gothic" w:ascii="Arial" w:hAnsi="Arial"/>
              </w:rPr>
              <w:t>FY2025</w:t>
            </w:r>
          </w:p>
        </w:tc>
      </w:tr>
      <w:tr>
        <w:tc>
          <w:tcPr>
            <w:tcW w:type="dxa" w:w="2268"/>
          </w:tcPr>
          <w:p>
            <w:r/>
            <w:r>
              <w:rPr>
                <w:rFonts w:ascii="Arial" w:hAnsi="Arial"/>
                <w:sz w:val="18"/>
                <w:rFonts w:eastAsia="Yu Gothic" w:ascii="Arial" w:hAnsi="Arial"/>
              </w:rPr>
              <w:t>日本</w:t>
            </w:r>
          </w:p>
        </w:tc>
        <w:tc>
          <w:tcPr>
            <w:tcW w:type="dxa" w:w="1417"/>
          </w:tcPr>
          <w:p>
            <w:r/>
            <w:r>
              <w:rPr>
                <w:rFonts w:ascii="Arial" w:hAnsi="Arial"/>
                <w:sz w:val="18"/>
                <w:rFonts w:eastAsia="Yu Gothic" w:ascii="Arial" w:hAnsi="Arial"/>
              </w:rPr>
              <w:t>94.9</w:t>
            </w:r>
          </w:p>
        </w:tc>
        <w:tc>
          <w:tcPr>
            <w:tcW w:type="dxa" w:w="1417"/>
          </w:tcPr>
          <w:p>
            <w:r/>
            <w:r>
              <w:rPr>
                <w:rFonts w:ascii="Arial" w:hAnsi="Arial"/>
                <w:sz w:val="18"/>
                <w:rFonts w:eastAsia="Yu Gothic" w:ascii="Arial" w:hAnsi="Arial"/>
              </w:rPr>
              <w:t>133.2</w:t>
            </w:r>
          </w:p>
        </w:tc>
        <w:tc>
          <w:tcPr>
            <w:tcW w:type="dxa" w:w="1417"/>
          </w:tcPr>
          <w:p>
            <w:r/>
            <w:r>
              <w:rPr>
                <w:rFonts w:ascii="Arial" w:hAnsi="Arial"/>
                <w:sz w:val="18"/>
                <w:rFonts w:eastAsia="Yu Gothic" w:ascii="Arial" w:hAnsi="Arial"/>
              </w:rPr>
              <w:t>121.5</w:t>
            </w:r>
          </w:p>
        </w:tc>
        <w:tc>
          <w:tcPr>
            <w:tcW w:type="dxa" w:w="1417"/>
          </w:tcPr>
          <w:p>
            <w:r/>
            <w:r>
              <w:rPr>
                <w:rFonts w:ascii="Arial" w:hAnsi="Arial"/>
                <w:sz w:val="18"/>
                <w:rFonts w:eastAsia="Yu Gothic" w:ascii="Arial" w:hAnsi="Arial"/>
              </w:rPr>
              <w:t>123.1</w:t>
            </w:r>
          </w:p>
        </w:tc>
        <w:tc>
          <w:tcPr>
            <w:tcW w:type="dxa" w:w="1417"/>
          </w:tcPr>
          <w:p>
            <w:r/>
            <w:r>
              <w:rPr>
                <w:rFonts w:ascii="Arial" w:hAnsi="Arial"/>
                <w:sz w:val="18"/>
                <w:rFonts w:eastAsia="Yu Gothic" w:ascii="Arial" w:hAnsi="Arial"/>
              </w:rPr>
              <w:t>120.3</w:t>
            </w:r>
          </w:p>
        </w:tc>
      </w:tr>
      <w:tr>
        <w:tc>
          <w:tcPr>
            <w:tcW w:type="dxa" w:w="2268"/>
          </w:tcPr>
          <w:p>
            <w:r/>
            <w:r>
              <w:rPr>
                <w:rFonts w:ascii="Arial" w:hAnsi="Arial"/>
                <w:sz w:val="18"/>
                <w:rFonts w:eastAsia="Yu Gothic" w:ascii="Arial" w:hAnsi="Arial"/>
              </w:rPr>
              <w:t>北米・南米（うち米国）</w:t>
            </w:r>
          </w:p>
        </w:tc>
        <w:tc>
          <w:tcPr>
            <w:tcW w:type="dxa" w:w="1417"/>
          </w:tcPr>
          <w:p>
            <w:r/>
            <w:r>
              <w:rPr>
                <w:rFonts w:ascii="Arial" w:hAnsi="Arial"/>
                <w:sz w:val="18"/>
                <w:rFonts w:eastAsia="Yu Gothic" w:ascii="Arial" w:hAnsi="Arial"/>
              </w:rPr>
              <w:t>73.3 (71.2)</w:t>
            </w:r>
          </w:p>
        </w:tc>
        <w:tc>
          <w:tcPr>
            <w:tcW w:type="dxa" w:w="1417"/>
          </w:tcPr>
          <w:p>
            <w:r/>
            <w:r>
              <w:rPr>
                <w:rFonts w:ascii="Arial" w:hAnsi="Arial"/>
                <w:sz w:val="18"/>
                <w:rFonts w:eastAsia="Yu Gothic" w:ascii="Arial" w:hAnsi="Arial"/>
              </w:rPr>
              <w:t>108.8 (106.0)</w:t>
            </w:r>
          </w:p>
        </w:tc>
        <w:tc>
          <w:tcPr>
            <w:tcW w:type="dxa" w:w="1417"/>
          </w:tcPr>
          <w:p>
            <w:r/>
            <w:r>
              <w:rPr>
                <w:rFonts w:ascii="Arial" w:hAnsi="Arial"/>
                <w:sz w:val="18"/>
                <w:rFonts w:eastAsia="Yu Gothic" w:ascii="Arial" w:hAnsi="Arial"/>
              </w:rPr>
              <w:t>169.1 (164.1)</w:t>
            </w:r>
          </w:p>
        </w:tc>
        <w:tc>
          <w:tcPr>
            <w:tcW w:type="dxa" w:w="1417"/>
          </w:tcPr>
          <w:p>
            <w:r/>
            <w:r>
              <w:rPr>
                <w:rFonts w:ascii="Arial" w:hAnsi="Arial"/>
                <w:sz w:val="18"/>
                <w:rFonts w:eastAsia="Yu Gothic" w:ascii="Arial" w:hAnsi="Arial"/>
              </w:rPr>
              <w:t>187.8 (183.3)</w:t>
            </w:r>
          </w:p>
        </w:tc>
        <w:tc>
          <w:tcPr>
            <w:tcW w:type="dxa" w:w="1417"/>
          </w:tcPr>
          <w:p>
            <w:r/>
            <w:r>
              <w:rPr>
                <w:rFonts w:ascii="Arial" w:hAnsi="Arial"/>
                <w:sz w:val="18"/>
                <w:rFonts w:eastAsia="Yu Gothic" w:ascii="Arial" w:hAnsi="Arial"/>
              </w:rPr>
              <w:t>205.1 (197.7)</w:t>
            </w:r>
          </w:p>
        </w:tc>
      </w:tr>
      <w:tr>
        <w:tc>
          <w:tcPr>
            <w:tcW w:type="dxa" w:w="2268"/>
          </w:tcPr>
          <w:p>
            <w:r/>
            <w:r>
              <w:rPr>
                <w:rFonts w:ascii="Arial" w:hAnsi="Arial"/>
                <w:sz w:val="18"/>
                <w:rFonts w:eastAsia="Yu Gothic" w:ascii="Arial" w:hAnsi="Arial"/>
              </w:rPr>
              <w:t>欧州</w:t>
            </w:r>
          </w:p>
        </w:tc>
        <w:tc>
          <w:tcPr>
            <w:tcW w:type="dxa" w:w="1417"/>
          </w:tcPr>
          <w:p>
            <w:r/>
            <w:r>
              <w:rPr>
                <w:rFonts w:ascii="Arial" w:hAnsi="Arial"/>
                <w:sz w:val="18"/>
                <w:rFonts w:eastAsia="Yu Gothic" w:ascii="Arial" w:hAnsi="Arial"/>
              </w:rPr>
              <w:t>31.8</w:t>
            </w:r>
          </w:p>
        </w:tc>
        <w:tc>
          <w:tcPr>
            <w:tcW w:type="dxa" w:w="1417"/>
          </w:tcPr>
          <w:p>
            <w:r/>
            <w:r>
              <w:rPr>
                <w:rFonts w:ascii="Arial" w:hAnsi="Arial"/>
                <w:sz w:val="18"/>
                <w:rFonts w:eastAsia="Yu Gothic" w:ascii="Arial" w:hAnsi="Arial"/>
              </w:rPr>
              <w:t>34.6</w:t>
            </w:r>
          </w:p>
        </w:tc>
        <w:tc>
          <w:tcPr>
            <w:tcW w:type="dxa" w:w="1417"/>
          </w:tcPr>
          <w:p>
            <w:r/>
            <w:r>
              <w:rPr>
                <w:rFonts w:ascii="Arial" w:hAnsi="Arial"/>
                <w:sz w:val="18"/>
                <w:rFonts w:eastAsia="Yu Gothic" w:ascii="Arial" w:hAnsi="Arial"/>
              </w:rPr>
              <w:t>35.2</w:t>
            </w:r>
          </w:p>
        </w:tc>
        <w:tc>
          <w:tcPr>
            <w:tcW w:type="dxa" w:w="1417"/>
          </w:tcPr>
          <w:p>
            <w:r/>
            <w:r>
              <w:rPr>
                <w:rFonts w:ascii="Arial" w:hAnsi="Arial"/>
                <w:sz w:val="18"/>
                <w:rFonts w:eastAsia="Yu Gothic" w:ascii="Arial" w:hAnsi="Arial"/>
              </w:rPr>
              <w:t>44.5</w:t>
            </w:r>
          </w:p>
        </w:tc>
        <w:tc>
          <w:tcPr>
            <w:tcW w:type="dxa" w:w="1417"/>
          </w:tcPr>
          <w:p>
            <w:r/>
            <w:r>
              <w:rPr>
                <w:rFonts w:ascii="Arial" w:hAnsi="Arial"/>
                <w:sz w:val="18"/>
                <w:rFonts w:eastAsia="Yu Gothic" w:ascii="Arial" w:hAnsi="Arial"/>
              </w:rPr>
              <w:t>46.2</w:t>
            </w:r>
          </w:p>
        </w:tc>
      </w:tr>
      <w:tr>
        <w:tc>
          <w:tcPr>
            <w:tcW w:type="dxa" w:w="2268"/>
          </w:tcPr>
          <w:p>
            <w:r/>
            <w:r>
              <w:rPr>
                <w:rFonts w:ascii="Arial" w:hAnsi="Arial"/>
                <w:sz w:val="18"/>
                <w:rFonts w:eastAsia="Yu Gothic" w:ascii="Arial" w:hAnsi="Arial"/>
              </w:rPr>
              <w:t>アジア・オセアニア</w:t>
            </w:r>
          </w:p>
        </w:tc>
        <w:tc>
          <w:tcPr>
            <w:tcW w:type="dxa" w:w="1417"/>
          </w:tcPr>
          <w:p>
            <w:r/>
            <w:r>
              <w:rPr>
                <w:rFonts w:ascii="Arial" w:hAnsi="Arial"/>
                <w:sz w:val="18"/>
                <w:rFonts w:eastAsia="Yu Gothic" w:ascii="Arial" w:hAnsi="Arial"/>
              </w:rPr>
              <w:t>22.8</w:t>
            </w:r>
          </w:p>
        </w:tc>
        <w:tc>
          <w:tcPr>
            <w:tcW w:type="dxa" w:w="1417"/>
          </w:tcPr>
          <w:p>
            <w:r/>
            <w:r>
              <w:rPr>
                <w:rFonts w:ascii="Arial" w:hAnsi="Arial"/>
                <w:sz w:val="18"/>
                <w:rFonts w:eastAsia="Yu Gothic" w:ascii="Arial" w:hAnsi="Arial"/>
              </w:rPr>
              <w:t>25.2</w:t>
            </w:r>
          </w:p>
        </w:tc>
        <w:tc>
          <w:tcPr>
            <w:tcW w:type="dxa" w:w="1417"/>
          </w:tcPr>
          <w:p>
            <w:r/>
            <w:r>
              <w:rPr>
                <w:rFonts w:ascii="Arial" w:hAnsi="Arial"/>
                <w:sz w:val="18"/>
                <w:rFonts w:eastAsia="Yu Gothic" w:ascii="Arial" w:hAnsi="Arial"/>
              </w:rPr>
              <w:t>27.0</w:t>
            </w:r>
          </w:p>
        </w:tc>
        <w:tc>
          <w:tcPr>
            <w:tcW w:type="dxa" w:w="1417"/>
          </w:tcPr>
          <w:p>
            <w:r/>
            <w:r>
              <w:rPr>
                <w:rFonts w:ascii="Arial" w:hAnsi="Arial"/>
                <w:sz w:val="18"/>
                <w:rFonts w:eastAsia="Yu Gothic" w:ascii="Arial" w:hAnsi="Arial"/>
              </w:rPr>
              <w:t>21.7</w:t>
            </w:r>
          </w:p>
        </w:tc>
        <w:tc>
          <w:tcPr>
            <w:tcW w:type="dxa" w:w="1417"/>
          </w:tcPr>
          <w:p>
            <w:r/>
            <w:r>
              <w:rPr>
                <w:rFonts w:ascii="Arial" w:hAnsi="Arial"/>
                <w:sz w:val="18"/>
                <w:rFonts w:eastAsia="Yu Gothic" w:ascii="Arial" w:hAnsi="Arial"/>
              </w:rPr>
              <w:t>20.5</w:t>
            </w:r>
          </w:p>
        </w:tc>
      </w:tr>
      <w:tr>
        <w:tc>
          <w:tcPr>
            <w:tcW w:type="dxa" w:w="2268"/>
          </w:tcPr>
          <w:p>
            <w:r/>
            <w:r>
              <w:rPr>
                <w:rFonts w:ascii="Arial" w:hAnsi="Arial"/>
                <w:sz w:val="18"/>
                <w:rFonts w:eastAsia="Yu Gothic" w:ascii="Arial" w:hAnsi="Arial"/>
              </w:rPr>
              <w:t>合計</w:t>
            </w:r>
          </w:p>
        </w:tc>
        <w:tc>
          <w:tcPr>
            <w:tcW w:type="dxa" w:w="1417"/>
          </w:tcPr>
          <w:p>
            <w:r/>
            <w:r>
              <w:rPr>
                <w:rFonts w:ascii="Arial" w:hAnsi="Arial"/>
                <w:sz w:val="18"/>
                <w:rFonts w:eastAsia="Yu Gothic" w:ascii="Arial" w:hAnsi="Arial"/>
              </w:rPr>
              <w:t>222.8</w:t>
            </w:r>
          </w:p>
        </w:tc>
        <w:tc>
          <w:tcPr>
            <w:tcW w:type="dxa" w:w="1417"/>
          </w:tcPr>
          <w:p>
            <w:r/>
            <w:r>
              <w:rPr>
                <w:rFonts w:ascii="Arial" w:hAnsi="Arial"/>
                <w:sz w:val="18"/>
                <w:rFonts w:eastAsia="Yu Gothic" w:ascii="Arial" w:hAnsi="Arial"/>
              </w:rPr>
              <w:t>265.9</w:t>
            </w:r>
          </w:p>
        </w:tc>
        <w:tc>
          <w:tcPr>
            <w:tcW w:type="dxa" w:w="1417"/>
          </w:tcPr>
          <w:p>
            <w:r/>
            <w:r>
              <w:rPr>
                <w:rFonts w:ascii="Arial" w:hAnsi="Arial"/>
                <w:sz w:val="18"/>
                <w:rFonts w:eastAsia="Yu Gothic" w:ascii="Arial" w:hAnsi="Arial"/>
              </w:rPr>
              <w:t>352.7</w:t>
            </w:r>
          </w:p>
        </w:tc>
        <w:tc>
          <w:tcPr>
            <w:tcW w:type="dxa" w:w="1417"/>
          </w:tcPr>
          <w:p>
            <w:r/>
            <w:r>
              <w:rPr>
                <w:rFonts w:ascii="Arial" w:hAnsi="Arial"/>
                <w:sz w:val="18"/>
                <w:rFonts w:eastAsia="Yu Gothic" w:ascii="Arial" w:hAnsi="Arial"/>
              </w:rPr>
              <w:t>377.0</w:t>
            </w:r>
          </w:p>
        </w:tc>
        <w:tc>
          <w:tcPr>
            <w:tcW w:type="dxa" w:w="1417"/>
          </w:tcPr>
          <w:p>
            <w:r/>
            <w:r>
              <w:rPr>
                <w:rFonts w:ascii="Arial" w:hAnsi="Arial"/>
                <w:sz w:val="18"/>
                <w:rFonts w:eastAsia="Yu Gothic" w:ascii="Arial" w:hAnsi="Arial"/>
              </w:rPr>
              <w:t>392.1</w:t>
            </w:r>
          </w:p>
        </w:tc>
      </w:tr>
      <w:tr>
        <w:tc>
          <w:tcPr>
            <w:tcW w:type="dxa" w:w="2268"/>
          </w:tcPr>
          <w:p>
            <w:r/>
            <w:r>
              <w:rPr>
                <w:rFonts w:ascii="Arial" w:hAnsi="Arial"/>
                <w:sz w:val="18"/>
                <w:rFonts w:eastAsia="Yu Gothic" w:ascii="Arial" w:hAnsi="Arial"/>
              </w:rPr>
              <w:t>海外売上比率</w:t>
            </w:r>
          </w:p>
        </w:tc>
        <w:tc>
          <w:tcPr>
            <w:tcW w:type="dxa" w:w="1417"/>
          </w:tcPr>
          <w:p>
            <w:r/>
            <w:r>
              <w:rPr>
                <w:rFonts w:ascii="Arial" w:hAnsi="Arial"/>
                <w:sz w:val="18"/>
                <w:rFonts w:eastAsia="Yu Gothic" w:ascii="Arial" w:hAnsi="Arial"/>
              </w:rPr>
              <w:t>57.4%</w:t>
            </w:r>
          </w:p>
        </w:tc>
        <w:tc>
          <w:tcPr>
            <w:tcW w:type="dxa" w:w="1417"/>
          </w:tcPr>
          <w:p>
            <w:r/>
            <w:r>
              <w:rPr>
                <w:rFonts w:ascii="Arial" w:hAnsi="Arial"/>
                <w:sz w:val="18"/>
                <w:rFonts w:eastAsia="Yu Gothic" w:ascii="Arial" w:hAnsi="Arial"/>
              </w:rPr>
              <w:t>49.9%</w:t>
            </w:r>
          </w:p>
        </w:tc>
        <w:tc>
          <w:tcPr>
            <w:tcW w:type="dxa" w:w="1417"/>
          </w:tcPr>
          <w:p>
            <w:r/>
            <w:r>
              <w:rPr>
                <w:rFonts w:ascii="Arial" w:hAnsi="Arial"/>
                <w:sz w:val="18"/>
                <w:rFonts w:eastAsia="Yu Gothic" w:ascii="Arial" w:hAnsi="Arial"/>
              </w:rPr>
              <w:t>65.6%</w:t>
            </w:r>
          </w:p>
        </w:tc>
        <w:tc>
          <w:tcPr>
            <w:tcW w:type="dxa" w:w="1417"/>
          </w:tcPr>
          <w:p>
            <w:r/>
            <w:r>
              <w:rPr>
                <w:rFonts w:ascii="Arial" w:hAnsi="Arial"/>
                <w:sz w:val="18"/>
                <w:rFonts w:eastAsia="Yu Gothic" w:ascii="Arial" w:hAnsi="Arial"/>
              </w:rPr>
              <w:t>67.4%</w:t>
            </w:r>
          </w:p>
        </w:tc>
        <w:tc>
          <w:tcPr>
            <w:tcW w:type="dxa" w:w="1417"/>
          </w:tcPr>
          <w:p>
            <w:r/>
            <w:r>
              <w:rPr>
                <w:rFonts w:ascii="Arial" w:hAnsi="Arial"/>
                <w:sz w:val="18"/>
                <w:rFonts w:eastAsia="Yu Gothic" w:ascii="Arial" w:hAnsi="Arial"/>
              </w:rPr>
              <w:t>69.3%</w:t>
            </w:r>
          </w:p>
        </w:tc>
      </w:tr>
    </w:tbl>
    <w:p>
      <w:pPr>
        <w:spacing w:before="0" w:after="40"/>
      </w:pPr>
      <w:r>
        <w:rPr>
          <w:rFonts w:ascii="Arial" w:hAnsi="Arial"/>
          <w:i/>
          <w:sz w:val="17"/>
          <w:rFonts w:eastAsia="Yu Gothic" w:ascii="Arial" w:hAnsi="Arial"/>
        </w:rPr>
        <w:t>（単位：億円。出典：有価証券報告書 第59期-第63期）</w:t>
      </w:r>
    </w:p>
    <w:p>
      <w:pPr>
        <w:spacing w:before="160" w:after="60"/>
      </w:pPr>
      <w:r>
        <w:rPr>
          <w:b/>
          <w:sz w:val="24"/>
          <w:rFonts w:eastAsia="Yu Gothic" w:ascii="Arial" w:hAnsi="Arial"/>
        </w:rPr>
        <w:t>1-4. バリューチェーン上のポジション</w:t>
      </w:r>
    </w:p>
    <w:p>
      <w:pPr>
        <w:pStyle w:val="ListBullet"/>
        <w:spacing w:after="20"/>
      </w:pPr>
      <w:r>
        <w:rPr>
          <w:sz w:val="21"/>
          <w:rFonts w:eastAsia="Yu Gothic" w:ascii="Arial" w:hAnsi="Arial"/>
        </w:rPr>
        <w:t>**ポジション**：食品メーカー（最終製品事業者）の生産設備サプライヤー。Tier 1（直接取引）が中心。顧客の製品開発と一体で機械をカスタマイズする「共同開発型」モデル。</w:t>
      </w:r>
    </w:p>
    <w:p>
      <w:pPr>
        <w:pStyle w:val="ListBullet"/>
        <w:spacing w:after="20"/>
      </w:pPr>
      <w:r>
        <w:rPr>
          <w:sz w:val="21"/>
          <w:rFonts w:eastAsia="Yu Gothic" w:ascii="Arial" w:hAnsi="Arial"/>
        </w:rPr>
        <w:t>**主要工程・拠点**：機械の企画・設計・製造はすべてレオン自動機単体（宇都宮市・上河内工場）が一手に担う。アルミ鋳物部品は子会社㈱レオンアルミ（栃木県下野市）が内製。海外販社（レオンUSA、レオンヨーロッパ、台湾支店）は販売・サービスを地域担当 [出典: 有報第63期 事業の内容]。</w:t>
      </w:r>
    </w:p>
    <w:p>
      <w:pPr>
        <w:pStyle w:val="ListBullet"/>
        <w:spacing w:after="20"/>
      </w:pPr>
      <w:r>
        <w:rPr>
          <w:sz w:val="21"/>
          <w:rFonts w:eastAsia="Yu Gothic" w:ascii="Arial" w:hAnsi="Arial"/>
        </w:rPr>
        <w:t>**特筆点**：宇都宮本社の研究室「レオン・ソリューションセンター」（2020年完成）に各機械の実機を常設し、顧客と最新食品を共同開発する「市場開発型企業」を自認。技術サービス部門の社員が顧客先に出向く双方向開発体制 [出典: 日経 2025/5/13、Nomura IR p.5]。</w:t>
      </w:r>
    </w:p>
    <w:p>
      <w:pPr>
        <w:spacing w:before="160" w:after="60"/>
      </w:pPr>
      <w:r>
        <w:rPr>
          <w:b/>
          <w:sz w:val="24"/>
          <w:rFonts w:eastAsia="Yu Gothic" w:ascii="Arial" w:hAnsi="Arial"/>
        </w:rPr>
        <w:t>1-5. 主要競合</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701"/>
            <w:shd w:val="clear" w:color="auto" w:fill="1F4E78"/>
          </w:tcPr>
          <w:p>
            <w:r>
              <w:rPr>
                <w:color w:val="FFFFFF"/>
              </w:rPr>
            </w:r>
            <w:r>
              <w:rPr>
                <w:rFonts w:ascii="Arial" w:hAnsi="Arial"/>
                <w:b/>
                <w:color w:val="FFFFFF"/>
                <w:sz w:val="18"/>
                <w:rFonts w:eastAsia="Yu Gothic" w:ascii="Arial" w:hAnsi="Arial"/>
              </w:rPr>
              <w:t>競合名</w:t>
            </w:r>
          </w:p>
        </w:tc>
        <w:tc>
          <w:tcPr>
            <w:tcW w:type="dxa" w:w="1417"/>
            <w:shd w:val="clear" w:color="auto" w:fill="1F4E78"/>
          </w:tcPr>
          <w:p>
            <w:r>
              <w:rPr>
                <w:color w:val="FFFFFF"/>
              </w:rPr>
            </w:r>
            <w:r>
              <w:rPr>
                <w:rFonts w:ascii="Arial" w:hAnsi="Arial"/>
                <w:b/>
                <w:color w:val="FFFFFF"/>
                <w:sz w:val="18"/>
                <w:rFonts w:eastAsia="Yu Gothic" w:ascii="Arial" w:hAnsi="Arial"/>
              </w:rPr>
              <w:t>上場区分</w:t>
            </w:r>
          </w:p>
        </w:tc>
        <w:tc>
          <w:tcPr>
            <w:tcW w:type="dxa" w:w="1361"/>
            <w:shd w:val="clear" w:color="auto" w:fill="1F4E78"/>
          </w:tcPr>
          <w:p>
            <w:r>
              <w:rPr>
                <w:color w:val="FFFFFF"/>
              </w:rPr>
            </w:r>
            <w:r>
              <w:rPr>
                <w:rFonts w:ascii="Arial" w:hAnsi="Arial"/>
                <w:b/>
                <w:color w:val="FFFFFF"/>
                <w:sz w:val="18"/>
                <w:rFonts w:eastAsia="Yu Gothic" w:ascii="Arial" w:hAnsi="Arial"/>
              </w:rPr>
              <w:t>売上規模</w:t>
            </w:r>
          </w:p>
        </w:tc>
        <w:tc>
          <w:tcPr>
            <w:tcW w:type="dxa" w:w="907"/>
            <w:shd w:val="clear" w:color="auto" w:fill="1F4E78"/>
          </w:tcPr>
          <w:p>
            <w:r>
              <w:rPr>
                <w:color w:val="FFFFFF"/>
              </w:rPr>
            </w:r>
            <w:r>
              <w:rPr>
                <w:rFonts w:ascii="Arial" w:hAnsi="Arial"/>
                <w:b/>
                <w:color w:val="FFFFFF"/>
                <w:sz w:val="18"/>
                <w:rFonts w:eastAsia="Yu Gothic" w:ascii="Arial" w:hAnsi="Arial"/>
              </w:rPr>
              <w:t>営業利益率</w:t>
            </w:r>
          </w:p>
        </w:tc>
        <w:tc>
          <w:tcPr>
            <w:tcW w:type="dxa" w:w="1474"/>
            <w:shd w:val="clear" w:color="auto" w:fill="1F4E78"/>
          </w:tcPr>
          <w:p>
            <w:r>
              <w:rPr>
                <w:color w:val="FFFFFF"/>
              </w:rPr>
            </w:r>
            <w:r>
              <w:rPr>
                <w:rFonts w:ascii="Arial" w:hAnsi="Arial"/>
                <w:b/>
                <w:color w:val="FFFFFF"/>
                <w:sz w:val="18"/>
                <w:rFonts w:eastAsia="Yu Gothic" w:ascii="Arial" w:hAnsi="Arial"/>
              </w:rPr>
              <w:t>主領域</w:t>
            </w:r>
          </w:p>
        </w:tc>
        <w:tc>
          <w:tcPr>
            <w:tcW w:type="dxa" w:w="2494"/>
            <w:shd w:val="clear" w:color="auto" w:fill="1F4E78"/>
          </w:tcPr>
          <w:p>
            <w:r>
              <w:rPr>
                <w:color w:val="FFFFFF"/>
              </w:rPr>
            </w:r>
            <w:r>
              <w:rPr>
                <w:rFonts w:ascii="Arial" w:hAnsi="Arial"/>
                <w:b/>
                <w:color w:val="FFFFFF"/>
                <w:sz w:val="18"/>
                <w:rFonts w:eastAsia="Yu Gothic" w:ascii="Arial" w:hAnsi="Arial"/>
              </w:rPr>
              <w:t>特徴</w:t>
            </w:r>
          </w:p>
        </w:tc>
      </w:tr>
      <w:tr>
        <w:tc>
          <w:tcPr>
            <w:tcW w:type="dxa" w:w="1701"/>
          </w:tcPr>
          <w:p>
            <w:r/>
            <w:r>
              <w:rPr>
                <w:rFonts w:ascii="Arial" w:hAnsi="Arial"/>
                <w:sz w:val="18"/>
                <w:rFonts w:eastAsia="Yu Gothic" w:ascii="Arial" w:hAnsi="Arial"/>
              </w:rPr>
              <w:t>コバード（KOBIRD）</w:t>
            </w:r>
          </w:p>
        </w:tc>
        <w:tc>
          <w:tcPr>
            <w:tcW w:type="dxa" w:w="1417"/>
          </w:tcPr>
          <w:p>
            <w:r/>
            <w:r>
              <w:rPr>
                <w:rFonts w:ascii="Arial" w:hAnsi="Arial"/>
                <w:sz w:val="18"/>
                <w:rFonts w:eastAsia="Yu Gothic" w:ascii="Arial" w:hAnsi="Arial"/>
              </w:rPr>
              <w:t>非上場（福井県）</w:t>
            </w:r>
          </w:p>
        </w:tc>
        <w:tc>
          <w:tcPr>
            <w:tcW w:type="dxa" w:w="1361"/>
          </w:tcPr>
          <w:p>
            <w:r/>
            <w:r>
              <w:rPr>
                <w:rFonts w:ascii="Arial" w:hAnsi="Arial"/>
                <w:sz w:val="18"/>
                <w:rFonts w:eastAsia="Yu Gothic" w:ascii="Arial" w:hAnsi="Arial"/>
              </w:rPr>
              <w:t>非開示</w:t>
            </w:r>
          </w:p>
        </w:tc>
        <w:tc>
          <w:tcPr>
            <w:tcW w:type="dxa" w:w="907"/>
          </w:tcPr>
          <w:p>
            <w:r/>
            <w:r>
              <w:rPr>
                <w:rFonts w:ascii="Arial" w:hAnsi="Arial"/>
                <w:sz w:val="18"/>
                <w:rFonts w:eastAsia="Yu Gothic" w:ascii="Arial" w:hAnsi="Arial"/>
              </w:rPr>
              <w:t>非開示</w:t>
            </w:r>
          </w:p>
        </w:tc>
        <w:tc>
          <w:tcPr>
            <w:tcW w:type="dxa" w:w="1474"/>
          </w:tcPr>
          <w:p>
            <w:r/>
            <w:r>
              <w:rPr>
                <w:rFonts w:ascii="Arial" w:hAnsi="Arial"/>
                <w:sz w:val="18"/>
                <w:rFonts w:eastAsia="Yu Gothic" w:ascii="Arial" w:hAnsi="Arial"/>
              </w:rPr>
              <w:t>包あん機</w:t>
            </w:r>
          </w:p>
        </w:tc>
        <w:tc>
          <w:tcPr>
            <w:tcW w:type="dxa" w:w="2494"/>
          </w:tcPr>
          <w:p>
            <w:r/>
            <w:r>
              <w:rPr>
                <w:rFonts w:ascii="Arial" w:hAnsi="Arial"/>
                <w:sz w:val="18"/>
                <w:rFonts w:eastAsia="Yu Gothic" w:ascii="Arial" w:hAnsi="Arial"/>
              </w:rPr>
              <w:t>国内唯一の包あん機専業競合 [出典: Nomura IR p.37]</w:t>
            </w:r>
          </w:p>
        </w:tc>
      </w:tr>
      <w:tr>
        <w:tc>
          <w:tcPr>
            <w:tcW w:type="dxa" w:w="1701"/>
          </w:tcPr>
          <w:p>
            <w:r/>
            <w:r>
              <w:rPr>
                <w:rFonts w:ascii="Arial" w:hAnsi="Arial"/>
                <w:sz w:val="18"/>
                <w:rFonts w:eastAsia="Yu Gothic" w:ascii="Arial" w:hAnsi="Arial"/>
              </w:rPr>
              <w:t>鈴茂器工（6405）</w:t>
            </w:r>
          </w:p>
        </w:tc>
        <w:tc>
          <w:tcPr>
            <w:tcW w:type="dxa" w:w="1417"/>
          </w:tcPr>
          <w:p>
            <w:r/>
            <w:r>
              <w:rPr>
                <w:rFonts w:ascii="Arial" w:hAnsi="Arial"/>
                <w:sz w:val="18"/>
                <w:rFonts w:eastAsia="Yu Gothic" w:ascii="Arial" w:hAnsi="Arial"/>
              </w:rPr>
              <w:t>東証STD</w:t>
            </w:r>
          </w:p>
        </w:tc>
        <w:tc>
          <w:tcPr>
            <w:tcW w:type="dxa" w:w="1361"/>
          </w:tcPr>
          <w:p>
            <w:r/>
            <w:r>
              <w:rPr>
                <w:rFonts w:ascii="Arial" w:hAnsi="Arial"/>
                <w:sz w:val="18"/>
                <w:rFonts w:eastAsia="Yu Gothic" w:ascii="Arial" w:hAnsi="Arial"/>
              </w:rPr>
              <w:t>155.7億円（FY25/3）</w:t>
            </w:r>
          </w:p>
        </w:tc>
        <w:tc>
          <w:tcPr>
            <w:tcW w:type="dxa" w:w="907"/>
          </w:tcPr>
          <w:p>
            <w:r/>
            <w:r>
              <w:rPr>
                <w:rFonts w:ascii="Arial" w:hAnsi="Arial"/>
                <w:sz w:val="18"/>
                <w:rFonts w:eastAsia="Yu Gothic" w:ascii="Arial" w:hAnsi="Arial"/>
              </w:rPr>
              <w:t>12.1%</w:t>
            </w:r>
          </w:p>
        </w:tc>
        <w:tc>
          <w:tcPr>
            <w:tcW w:type="dxa" w:w="1474"/>
          </w:tcPr>
          <w:p>
            <w:r/>
            <w:r>
              <w:rPr>
                <w:rFonts w:ascii="Arial" w:hAnsi="Arial"/>
                <w:sz w:val="18"/>
                <w:rFonts w:eastAsia="Yu Gothic" w:ascii="Arial" w:hAnsi="Arial"/>
              </w:rPr>
              <w:t>寿司ロボ・米飯成型</w:t>
            </w:r>
          </w:p>
        </w:tc>
        <w:tc>
          <w:tcPr>
            <w:tcW w:type="dxa" w:w="2494"/>
          </w:tcPr>
          <w:p>
            <w:r/>
            <w:r>
              <w:rPr>
                <w:rFonts w:ascii="Arial" w:hAnsi="Arial"/>
                <w:sz w:val="18"/>
                <w:rFonts w:eastAsia="Yu Gothic" w:ascii="Arial" w:hAnsi="Arial"/>
              </w:rPr>
              <w:t>領域は隣接だが包あん機ではない</w:t>
            </w:r>
          </w:p>
        </w:tc>
      </w:tr>
      <w:tr>
        <w:tc>
          <w:tcPr>
            <w:tcW w:type="dxa" w:w="1701"/>
          </w:tcPr>
          <w:p>
            <w:r/>
            <w:r>
              <w:rPr>
                <w:rFonts w:ascii="Arial" w:hAnsi="Arial"/>
                <w:sz w:val="18"/>
                <w:rFonts w:eastAsia="Yu Gothic" w:ascii="Arial" w:hAnsi="Arial"/>
              </w:rPr>
              <w:t>明治機械（6334）</w:t>
            </w:r>
          </w:p>
        </w:tc>
        <w:tc>
          <w:tcPr>
            <w:tcW w:type="dxa" w:w="1417"/>
          </w:tcPr>
          <w:p>
            <w:r/>
            <w:r>
              <w:rPr>
                <w:rFonts w:ascii="Arial" w:hAnsi="Arial"/>
                <w:sz w:val="18"/>
                <w:rFonts w:eastAsia="Yu Gothic" w:ascii="Arial" w:hAnsi="Arial"/>
              </w:rPr>
              <w:t>東証STD</w:t>
            </w:r>
          </w:p>
        </w:tc>
        <w:tc>
          <w:tcPr>
            <w:tcW w:type="dxa" w:w="1361"/>
          </w:tcPr>
          <w:p>
            <w:r/>
            <w:r>
              <w:rPr>
                <w:rFonts w:ascii="Arial" w:hAnsi="Arial"/>
                <w:sz w:val="18"/>
                <w:rFonts w:eastAsia="Yu Gothic" w:ascii="Arial" w:hAnsi="Arial"/>
              </w:rPr>
              <w:t>65.1億円（FY25/3）</w:t>
            </w:r>
          </w:p>
        </w:tc>
        <w:tc>
          <w:tcPr>
            <w:tcW w:type="dxa" w:w="907"/>
          </w:tcPr>
          <w:p>
            <w:r/>
            <w:r>
              <w:rPr>
                <w:rFonts w:ascii="Arial" w:hAnsi="Arial"/>
                <w:sz w:val="18"/>
                <w:rFonts w:eastAsia="Yu Gothic" w:ascii="Arial" w:hAnsi="Arial"/>
              </w:rPr>
              <w:t>4.1%</w:t>
            </w:r>
          </w:p>
        </w:tc>
        <w:tc>
          <w:tcPr>
            <w:tcW w:type="dxa" w:w="1474"/>
          </w:tcPr>
          <w:p>
            <w:r/>
            <w:r>
              <w:rPr>
                <w:rFonts w:ascii="Arial" w:hAnsi="Arial"/>
                <w:sz w:val="18"/>
                <w:rFonts w:eastAsia="Yu Gothic" w:ascii="Arial" w:hAnsi="Arial"/>
              </w:rPr>
              <w:t>製粉プラント建設</w:t>
            </w:r>
          </w:p>
        </w:tc>
        <w:tc>
          <w:tcPr>
            <w:tcW w:type="dxa" w:w="2494"/>
          </w:tcPr>
          <w:p>
            <w:r/>
            <w:r>
              <w:rPr>
                <w:rFonts w:ascii="Arial" w:hAnsi="Arial"/>
                <w:sz w:val="18"/>
                <w:rFonts w:eastAsia="Yu Gothic" w:ascii="Arial" w:hAnsi="Arial"/>
              </w:rPr>
              <w:t>用途異なる</w:t>
            </w:r>
          </w:p>
        </w:tc>
      </w:tr>
      <w:tr>
        <w:tc>
          <w:tcPr>
            <w:tcW w:type="dxa" w:w="1701"/>
          </w:tcPr>
          <w:p>
            <w:r/>
            <w:r>
              <w:rPr>
                <w:rFonts w:ascii="Arial" w:hAnsi="Arial"/>
                <w:sz w:val="18"/>
                <w:rFonts w:eastAsia="Yu Gothic" w:ascii="Arial" w:hAnsi="Arial"/>
              </w:rPr>
              <w:t>Rondo（瑞）/Rademaker（蘭）/Fritsch（独）等</w:t>
            </w:r>
          </w:p>
        </w:tc>
        <w:tc>
          <w:tcPr>
            <w:tcW w:type="dxa" w:w="1417"/>
          </w:tcPr>
          <w:p>
            <w:r/>
            <w:r>
              <w:rPr>
                <w:rFonts w:ascii="Arial" w:hAnsi="Arial"/>
                <w:sz w:val="18"/>
                <w:rFonts w:eastAsia="Yu Gothic" w:ascii="Arial" w:hAnsi="Arial"/>
              </w:rPr>
              <w:t>海外、非上場系列下</w:t>
            </w:r>
          </w:p>
        </w:tc>
        <w:tc>
          <w:tcPr>
            <w:tcW w:type="dxa" w:w="1361"/>
          </w:tcPr>
          <w:p>
            <w:r/>
            <w:r>
              <w:rPr>
                <w:rFonts w:ascii="Arial" w:hAnsi="Arial"/>
                <w:sz w:val="18"/>
                <w:rFonts w:eastAsia="Yu Gothic" w:ascii="Arial" w:hAnsi="Arial"/>
              </w:rPr>
              <w:t>非開示</w:t>
            </w:r>
          </w:p>
        </w:tc>
        <w:tc>
          <w:tcPr>
            <w:tcW w:type="dxa" w:w="907"/>
          </w:tcPr>
          <w:p>
            <w:r/>
            <w:r>
              <w:rPr>
                <w:rFonts w:ascii="Arial" w:hAnsi="Arial"/>
                <w:sz w:val="18"/>
                <w:rFonts w:eastAsia="Yu Gothic" w:ascii="Arial" w:hAnsi="Arial"/>
              </w:rPr>
              <w:t>非開示</w:t>
            </w:r>
          </w:p>
        </w:tc>
        <w:tc>
          <w:tcPr>
            <w:tcW w:type="dxa" w:w="1474"/>
          </w:tcPr>
          <w:p>
            <w:r/>
            <w:r>
              <w:rPr>
                <w:rFonts w:ascii="Arial" w:hAnsi="Arial"/>
                <w:sz w:val="18"/>
                <w:rFonts w:eastAsia="Yu Gothic" w:ascii="Arial" w:hAnsi="Arial"/>
              </w:rPr>
              <w:t>ペストリー・パン製造ライン</w:t>
            </w:r>
          </w:p>
        </w:tc>
        <w:tc>
          <w:tcPr>
            <w:tcW w:type="dxa" w:w="2494"/>
          </w:tcPr>
          <w:p>
            <w:r/>
            <w:r>
              <w:rPr>
                <w:rFonts w:ascii="Arial" w:hAnsi="Arial"/>
                <w:sz w:val="18"/>
                <w:rFonts w:eastAsia="Yu Gothic" w:ascii="Arial" w:hAnsi="Arial"/>
              </w:rPr>
              <w:t>欧州系の製パンライン競合（仮説、追加DD要）</w:t>
            </w:r>
          </w:p>
        </w:tc>
      </w:tr>
      <w:tr>
        <w:tc>
          <w:tcPr>
            <w:tcW w:type="dxa" w:w="1701"/>
          </w:tcPr>
          <w:p>
            <w:r/>
            <w:r>
              <w:rPr>
                <w:rFonts w:ascii="Arial" w:hAnsi="Arial"/>
                <w:sz w:val="18"/>
                <w:rFonts w:eastAsia="Yu Gothic" w:ascii="Arial" w:hAnsi="Arial"/>
              </w:rPr>
              <w:t>AMF Bakery Systems（米）</w:t>
            </w:r>
          </w:p>
        </w:tc>
        <w:tc>
          <w:tcPr>
            <w:tcW w:type="dxa" w:w="1417"/>
          </w:tcPr>
          <w:p>
            <w:r/>
            <w:r>
              <w:rPr>
                <w:rFonts w:ascii="Arial" w:hAnsi="Arial"/>
                <w:sz w:val="18"/>
                <w:rFonts w:eastAsia="Yu Gothic" w:ascii="Arial" w:hAnsi="Arial"/>
              </w:rPr>
              <w:t>Markel/AMF傘下</w:t>
            </w:r>
          </w:p>
        </w:tc>
        <w:tc>
          <w:tcPr>
            <w:tcW w:type="dxa" w:w="1361"/>
          </w:tcPr>
          <w:p>
            <w:r/>
            <w:r>
              <w:rPr>
                <w:rFonts w:ascii="Arial" w:hAnsi="Arial"/>
                <w:sz w:val="18"/>
                <w:rFonts w:eastAsia="Yu Gothic" w:ascii="Arial" w:hAnsi="Arial"/>
              </w:rPr>
              <w:t>非開示</w:t>
            </w:r>
          </w:p>
        </w:tc>
        <w:tc>
          <w:tcPr>
            <w:tcW w:type="dxa" w:w="907"/>
          </w:tcPr>
          <w:p>
            <w:r/>
            <w:r>
              <w:rPr>
                <w:rFonts w:ascii="Arial" w:hAnsi="Arial"/>
                <w:sz w:val="18"/>
                <w:rFonts w:eastAsia="Yu Gothic" w:ascii="Arial" w:hAnsi="Arial"/>
              </w:rPr>
              <w:t>非開示</w:t>
            </w:r>
          </w:p>
        </w:tc>
        <w:tc>
          <w:tcPr>
            <w:tcW w:type="dxa" w:w="1474"/>
          </w:tcPr>
          <w:p>
            <w:r/>
            <w:r>
              <w:rPr>
                <w:rFonts w:ascii="Arial" w:hAnsi="Arial"/>
                <w:sz w:val="18"/>
                <w:rFonts w:eastAsia="Yu Gothic" w:ascii="Arial" w:hAnsi="Arial"/>
              </w:rPr>
              <w:t>産業用ベーカリー</w:t>
            </w:r>
          </w:p>
        </w:tc>
        <w:tc>
          <w:tcPr>
            <w:tcW w:type="dxa" w:w="2494"/>
          </w:tcPr>
          <w:p>
            <w:r/>
            <w:r>
              <w:rPr>
                <w:rFonts w:ascii="Arial" w:hAnsi="Arial"/>
                <w:sz w:val="18"/>
                <w:rFonts w:eastAsia="Yu Gothic" w:ascii="Arial" w:hAnsi="Arial"/>
              </w:rPr>
              <w:t>米国市場での製パンライン競合（仮説）</w:t>
            </w:r>
          </w:p>
        </w:tc>
      </w:tr>
      <w:tr>
        <w:tc>
          <w:tcPr>
            <w:tcW w:type="dxa" w:w="1701"/>
          </w:tcPr>
          <w:p>
            <w:r/>
            <w:r>
              <w:rPr>
                <w:rFonts w:ascii="Arial" w:hAnsi="Arial"/>
                <w:sz w:val="18"/>
                <w:rFonts w:eastAsia="Yu Gothic" w:ascii="Arial" w:hAnsi="Arial"/>
              </w:rPr>
              <w:t>中国系メーカー（複数、模造品含む）</w:t>
            </w:r>
          </w:p>
        </w:tc>
        <w:tc>
          <w:tcPr>
            <w:tcW w:type="dxa" w:w="1417"/>
          </w:tcPr>
          <w:p>
            <w:r/>
            <w:r>
              <w:rPr>
                <w:rFonts w:ascii="Arial" w:hAnsi="Arial"/>
                <w:sz w:val="18"/>
                <w:rFonts w:eastAsia="Yu Gothic" w:ascii="Arial" w:hAnsi="Arial"/>
              </w:rPr>
              <w:t>—</w:t>
            </w:r>
          </w:p>
        </w:tc>
        <w:tc>
          <w:tcPr>
            <w:tcW w:type="dxa" w:w="1361"/>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c>
          <w:tcPr>
            <w:tcW w:type="dxa" w:w="1474"/>
          </w:tcPr>
          <w:p>
            <w:r/>
            <w:r>
              <w:rPr>
                <w:rFonts w:ascii="Arial" w:hAnsi="Arial"/>
                <w:sz w:val="18"/>
                <w:rFonts w:eastAsia="Yu Gothic" w:ascii="Arial" w:hAnsi="Arial"/>
              </w:rPr>
              <w:t>包あん機・周辺機</w:t>
            </w:r>
          </w:p>
        </w:tc>
        <w:tc>
          <w:tcPr>
            <w:tcW w:type="dxa" w:w="2494"/>
          </w:tcPr>
          <w:p>
            <w:r/>
            <w:r>
              <w:rPr>
                <w:rFonts w:ascii="Arial" w:hAnsi="Arial"/>
                <w:sz w:val="18"/>
                <w:rFonts w:eastAsia="Yu Gothic" w:ascii="Arial" w:hAnsi="Arial"/>
              </w:rPr>
              <w:t>包あん基本特許失効後に追い上げ [出典: 日経 2025/5/13]</w:t>
            </w:r>
          </w:p>
        </w:tc>
      </w:tr>
    </w:tbl>
    <w:p>
      <w:pPr>
        <w:spacing w:before="0" w:after="40"/>
      </w:pPr>
      <w:r>
        <w:rPr>
          <w:rFonts w:ascii="Arial" w:hAnsi="Arial"/>
          <w:sz w:val="20"/>
          <w:rFonts w:eastAsia="Yu Gothic" w:ascii="Arial" w:hAnsi="Arial"/>
        </w:rPr>
        <w:t>**含意**：包あん機専業の上場競合は世界的に存在せず、日経NEEDS分類「食品機械」の上場企業は鈴茂器工・明治機械を除き対象社しかない。結果として直接競合不在のニッチ市場で営業利益率13.5%／ROE10%という同業ピア中央値（営業利益率9.1%／ROE8.0%）を上回る収益性を維持 [出典: Nomura IR p.37]。ただし製パンライン領域では欧米のRondo/Rademaker/Fritsch/AMF等と顧客の選定段階で競合し、加えて中国安価品が包あん機の汎用領域を侵食しているため、「直接競合不在」≠「将来の安全保障」ではない点が②堅牢性の中心論点となる。</w:t>
      </w:r>
    </w:p>
    <w:p>
      <w:pPr>
        <w:spacing w:before="160" w:after="60"/>
      </w:pPr>
      <w:r>
        <w:rPr>
          <w:b/>
          <w:sz w:val="24"/>
          <w:rFonts w:eastAsia="Yu Gothic" w:ascii="Arial" w:hAnsi="Arial"/>
        </w:rPr>
        <w:t>1-6. 沿革・資本構成</w:t>
      </w:r>
    </w:p>
    <w:p>
      <w:pPr>
        <w:spacing w:before="0" w:after="40"/>
      </w:pPr>
      <w:r>
        <w:rPr>
          <w:rFonts w:ascii="Arial" w:hAnsi="Arial"/>
          <w:sz w:val="21"/>
          <w:rFonts w:eastAsia="Yu Gothic" w:ascii="Arial" w:hAnsi="Arial"/>
        </w:rPr>
        <w:t>**沿革（要点）** [出典: 有報第63期、Nomura IR pp.7-9]：</w:t>
      </w:r>
    </w:p>
    <w:p>
      <w:pPr>
        <w:pStyle w:val="ListBullet"/>
        <w:spacing w:after="20"/>
      </w:pPr>
      <w:r>
        <w:rPr>
          <w:sz w:val="21"/>
          <w:rFonts w:eastAsia="Yu Gothic" w:ascii="Arial" w:hAnsi="Arial"/>
        </w:rPr>
        <w:t>1961年：科技庁の発明実施化補助金を受け、創業者・林虎彦氏が世界初の自動包あん機を開発。1963年3月：レオン自動機㈱設立。</w:t>
      </w:r>
    </w:p>
    <w:p>
      <w:pPr>
        <w:pStyle w:val="ListBullet"/>
        <w:spacing w:after="20"/>
      </w:pPr>
      <w:r>
        <w:rPr>
          <w:sz w:val="21"/>
          <w:rFonts w:eastAsia="Yu Gothic" w:ascii="Arial" w:hAnsi="Arial"/>
        </w:rPr>
        <w:t>1968年：海外輸出開始。1970年：西独・米国に駐在員事務所。1974年：レオンUSA・レオンヨーロッパ現法設立。</w:t>
      </w:r>
    </w:p>
    <w:p>
      <w:pPr>
        <w:pStyle w:val="ListBullet"/>
        <w:spacing w:after="20"/>
      </w:pPr>
      <w:r>
        <w:rPr>
          <w:sz w:val="21"/>
          <w:rFonts w:eastAsia="Yu Gothic" w:ascii="Arial" w:hAnsi="Arial"/>
        </w:rPr>
        <w:t>1978年：オレンジベーカリー（米加州）を子会社化、機械実証モデル工場として稼働開始。</w:t>
      </w:r>
    </w:p>
    <w:p>
      <w:pPr>
        <w:pStyle w:val="ListBullet"/>
        <w:spacing w:after="20"/>
      </w:pPr>
      <w:r>
        <w:rPr>
          <w:sz w:val="21"/>
          <w:rFonts w:eastAsia="Yu Gothic" w:ascii="Arial" w:hAnsi="Arial"/>
        </w:rPr>
        <w:t>1985年：店頭公開。1987年：東証2部上場。1989年：東証1部上場。2022年：プライム市場移行。</w:t>
      </w:r>
    </w:p>
    <w:p>
      <w:pPr>
        <w:pStyle w:val="ListBullet"/>
        <w:spacing w:after="20"/>
      </w:pPr>
      <w:r>
        <w:rPr>
          <w:sz w:val="21"/>
          <w:rFonts w:eastAsia="Yu Gothic" w:ascii="Arial" w:hAnsi="Arial"/>
        </w:rPr>
        <w:t>2015年：包あん機「105型」が日本機械学会「機械遺産」認定（食品機械として初）。2020年：経産省「グローバルニッチトップ企業100選」選定。</w:t>
      </w:r>
    </w:p>
    <w:p>
      <w:pPr>
        <w:pStyle w:val="ListBullet"/>
        <w:spacing w:after="20"/>
      </w:pPr>
      <w:r>
        <w:rPr>
          <w:sz w:val="21"/>
          <w:rFonts w:eastAsia="Yu Gothic" w:ascii="Arial" w:hAnsi="Arial"/>
        </w:rPr>
        <w:t>2020年10月：「火星人CN700」発売、新基幹システム稼働。同11月：本社「レオン・ソリューションセンター」完成。</w:t>
      </w:r>
    </w:p>
    <w:p>
      <w:pPr>
        <w:pStyle w:val="ListBullet"/>
        <w:spacing w:after="20"/>
      </w:pPr>
      <w:r>
        <w:rPr>
          <w:sz w:val="21"/>
          <w:rFonts w:eastAsia="Yu Gothic" w:ascii="Arial" w:hAnsi="Arial"/>
        </w:rPr>
        <w:t>2021年4月：小林幹央氏が代表取締役社長に就任（前任の田代康憲氏から交代と推定、追加DD要）。</w:t>
      </w:r>
    </w:p>
    <w:p>
      <w:pPr>
        <w:spacing w:before="120" w:after="40"/>
      </w:pPr>
      <w:r>
        <w:rPr>
          <w:b/>
          <w:sz w:val="21"/>
          <w:rFonts w:eastAsia="Yu Gothic" w:ascii="Arial" w:hAnsi="Arial"/>
        </w:rPr>
        <w:t>大株主上位10名（FY2025年3月31日現在、所有株式数千株／持株比率）</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567"/>
            <w:shd w:val="clear" w:color="auto" w:fill="1F4E78"/>
          </w:tcPr>
          <w:p>
            <w:r>
              <w:rPr>
                <w:color w:val="FFFFFF"/>
              </w:rPr>
            </w:r>
            <w:r>
              <w:rPr>
                <w:rFonts w:ascii="Arial" w:hAnsi="Arial"/>
                <w:b/>
                <w:color w:val="FFFFFF"/>
                <w:sz w:val="18"/>
                <w:rFonts w:eastAsia="Yu Gothic" w:ascii="Arial" w:hAnsi="Arial"/>
              </w:rPr>
              <w:t>順位</w:t>
            </w:r>
          </w:p>
        </w:tc>
        <w:tc>
          <w:tcPr>
            <w:tcW w:type="dxa" w:w="3402"/>
            <w:shd w:val="clear" w:color="auto" w:fill="1F4E78"/>
          </w:tcPr>
          <w:p>
            <w:r>
              <w:rPr>
                <w:color w:val="FFFFFF"/>
              </w:rPr>
            </w:r>
            <w:r>
              <w:rPr>
                <w:rFonts w:ascii="Arial" w:hAnsi="Arial"/>
                <w:b/>
                <w:color w:val="FFFFFF"/>
                <w:sz w:val="18"/>
                <w:rFonts w:eastAsia="Yu Gothic" w:ascii="Arial" w:hAnsi="Arial"/>
              </w:rPr>
              <w:t>氏名又は名称</w:t>
            </w:r>
          </w:p>
        </w:tc>
        <w:tc>
          <w:tcPr>
            <w:tcW w:type="dxa" w:w="1701"/>
            <w:shd w:val="clear" w:color="auto" w:fill="1F4E78"/>
          </w:tcPr>
          <w:p>
            <w:r>
              <w:rPr>
                <w:color w:val="FFFFFF"/>
              </w:rPr>
            </w:r>
            <w:r>
              <w:rPr>
                <w:rFonts w:ascii="Arial" w:hAnsi="Arial"/>
                <w:b/>
                <w:color w:val="FFFFFF"/>
                <w:sz w:val="18"/>
                <w:rFonts w:eastAsia="Yu Gothic" w:ascii="Arial" w:hAnsi="Arial"/>
              </w:rPr>
              <w:t>所在地</w:t>
            </w:r>
          </w:p>
        </w:tc>
        <w:tc>
          <w:tcPr>
            <w:tcW w:type="dxa" w:w="1701"/>
            <w:shd w:val="clear" w:color="auto" w:fill="1F4E78"/>
          </w:tcPr>
          <w:p>
            <w:r>
              <w:rPr>
                <w:color w:val="FFFFFF"/>
              </w:rPr>
            </w:r>
            <w:r>
              <w:rPr>
                <w:rFonts w:ascii="Arial" w:hAnsi="Arial"/>
                <w:b/>
                <w:color w:val="FFFFFF"/>
                <w:sz w:val="18"/>
                <w:rFonts w:eastAsia="Yu Gothic" w:ascii="Arial" w:hAnsi="Arial"/>
              </w:rPr>
              <w:t>所有株式数（千株）</w:t>
            </w:r>
          </w:p>
        </w:tc>
        <w:tc>
          <w:tcPr>
            <w:tcW w:type="dxa" w:w="850"/>
            <w:shd w:val="clear" w:color="auto" w:fill="1F4E78"/>
          </w:tcPr>
          <w:p>
            <w:r>
              <w:rPr>
                <w:color w:val="FFFFFF"/>
              </w:rPr>
            </w:r>
            <w:r>
              <w:rPr>
                <w:rFonts w:ascii="Arial" w:hAnsi="Arial"/>
                <w:b/>
                <w:color w:val="FFFFFF"/>
                <w:sz w:val="18"/>
                <w:rFonts w:eastAsia="Yu Gothic" w:ascii="Arial" w:hAnsi="Arial"/>
              </w:rPr>
              <w:t>比率</w:t>
            </w:r>
          </w:p>
        </w:tc>
      </w:tr>
      <w:tr>
        <w:tc>
          <w:tcPr>
            <w:tcW w:type="dxa" w:w="567"/>
          </w:tcPr>
          <w:p>
            <w:r/>
            <w:r>
              <w:rPr>
                <w:rFonts w:ascii="Arial" w:hAnsi="Arial"/>
                <w:sz w:val="18"/>
                <w:rFonts w:eastAsia="Yu Gothic" w:ascii="Arial" w:hAnsi="Arial"/>
              </w:rPr>
              <w:t>1</w:t>
            </w:r>
          </w:p>
        </w:tc>
        <w:tc>
          <w:tcPr>
            <w:tcW w:type="dxa" w:w="3402"/>
          </w:tcPr>
          <w:p>
            <w:r/>
            <w:r>
              <w:rPr>
                <w:rFonts w:ascii="Arial" w:hAnsi="Arial"/>
                <w:sz w:val="18"/>
                <w:rFonts w:eastAsia="Yu Gothic" w:ascii="Arial" w:hAnsi="Arial"/>
              </w:rPr>
              <w:t>公益財団法人 林レオロジー記念財団</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3,030</w:t>
            </w:r>
          </w:p>
        </w:tc>
        <w:tc>
          <w:tcPr>
            <w:tcW w:type="dxa" w:w="850"/>
          </w:tcPr>
          <w:p>
            <w:r/>
            <w:r>
              <w:rPr>
                <w:rFonts w:ascii="Arial" w:hAnsi="Arial"/>
                <w:sz w:val="18"/>
                <w:rFonts w:eastAsia="Yu Gothic" w:ascii="Arial" w:hAnsi="Arial"/>
              </w:rPr>
              <w:t>11.3%</w:t>
            </w:r>
          </w:p>
        </w:tc>
      </w:tr>
      <w:tr>
        <w:tc>
          <w:tcPr>
            <w:tcW w:type="dxa" w:w="567"/>
          </w:tcPr>
          <w:p>
            <w:r/>
            <w:r>
              <w:rPr>
                <w:rFonts w:ascii="Arial" w:hAnsi="Arial"/>
                <w:sz w:val="18"/>
                <w:rFonts w:eastAsia="Yu Gothic" w:ascii="Arial" w:hAnsi="Arial"/>
              </w:rPr>
              <w:t>2</w:t>
            </w:r>
          </w:p>
        </w:tc>
        <w:tc>
          <w:tcPr>
            <w:tcW w:type="dxa" w:w="3402"/>
          </w:tcPr>
          <w:p>
            <w:r/>
            <w:r>
              <w:rPr>
                <w:rFonts w:ascii="Arial" w:hAnsi="Arial"/>
                <w:sz w:val="18"/>
                <w:rFonts w:eastAsia="Yu Gothic" w:ascii="Arial" w:hAnsi="Arial"/>
              </w:rPr>
              <w:t>日本マスタートラスト信託銀行（信託口）</w:t>
            </w:r>
          </w:p>
        </w:tc>
        <w:tc>
          <w:tcPr>
            <w:tcW w:type="dxa" w:w="1701"/>
          </w:tcPr>
          <w:p>
            <w:r/>
            <w:r>
              <w:rPr>
                <w:rFonts w:ascii="Arial" w:hAnsi="Arial"/>
                <w:sz w:val="18"/>
                <w:rFonts w:eastAsia="Yu Gothic" w:ascii="Arial" w:hAnsi="Arial"/>
              </w:rPr>
              <w:t>東京都港区</w:t>
            </w:r>
          </w:p>
        </w:tc>
        <w:tc>
          <w:tcPr>
            <w:tcW w:type="dxa" w:w="1701"/>
          </w:tcPr>
          <w:p>
            <w:r/>
            <w:r>
              <w:rPr>
                <w:rFonts w:ascii="Arial" w:hAnsi="Arial"/>
                <w:sz w:val="18"/>
                <w:rFonts w:eastAsia="Yu Gothic" w:ascii="Arial" w:hAnsi="Arial"/>
              </w:rPr>
              <w:t>2,894</w:t>
            </w:r>
          </w:p>
        </w:tc>
        <w:tc>
          <w:tcPr>
            <w:tcW w:type="dxa" w:w="850"/>
          </w:tcPr>
          <w:p>
            <w:r/>
            <w:r>
              <w:rPr>
                <w:rFonts w:ascii="Arial" w:hAnsi="Arial"/>
                <w:sz w:val="18"/>
                <w:rFonts w:eastAsia="Yu Gothic" w:ascii="Arial" w:hAnsi="Arial"/>
              </w:rPr>
              <w:t>10.8%</w:t>
            </w:r>
          </w:p>
        </w:tc>
      </w:tr>
      <w:tr>
        <w:tc>
          <w:tcPr>
            <w:tcW w:type="dxa" w:w="567"/>
          </w:tcPr>
          <w:p>
            <w:r/>
            <w:r>
              <w:rPr>
                <w:rFonts w:ascii="Arial" w:hAnsi="Arial"/>
                <w:sz w:val="18"/>
                <w:rFonts w:eastAsia="Yu Gothic" w:ascii="Arial" w:hAnsi="Arial"/>
              </w:rPr>
              <w:t>3</w:t>
            </w:r>
          </w:p>
        </w:tc>
        <w:tc>
          <w:tcPr>
            <w:tcW w:type="dxa" w:w="3402"/>
          </w:tcPr>
          <w:p>
            <w:r/>
            <w:r>
              <w:rPr>
                <w:rFonts w:ascii="Arial" w:hAnsi="Arial"/>
                <w:sz w:val="18"/>
                <w:rFonts w:eastAsia="Yu Gothic" w:ascii="Arial" w:hAnsi="Arial"/>
              </w:rPr>
              <w:t>ラム商事 有限会社</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1,703</w:t>
            </w:r>
          </w:p>
        </w:tc>
        <w:tc>
          <w:tcPr>
            <w:tcW w:type="dxa" w:w="850"/>
          </w:tcPr>
          <w:p>
            <w:r/>
            <w:r>
              <w:rPr>
                <w:rFonts w:ascii="Arial" w:hAnsi="Arial"/>
                <w:sz w:val="18"/>
                <w:rFonts w:eastAsia="Yu Gothic" w:ascii="Arial" w:hAnsi="Arial"/>
              </w:rPr>
              <w:t>6.3%</w:t>
            </w:r>
          </w:p>
        </w:tc>
      </w:tr>
      <w:tr>
        <w:tc>
          <w:tcPr>
            <w:tcW w:type="dxa" w:w="567"/>
          </w:tcPr>
          <w:p>
            <w:r/>
            <w:r>
              <w:rPr>
                <w:rFonts w:ascii="Arial" w:hAnsi="Arial"/>
                <w:sz w:val="18"/>
                <w:rFonts w:eastAsia="Yu Gothic" w:ascii="Arial" w:hAnsi="Arial"/>
              </w:rPr>
              <w:t>4</w:t>
            </w:r>
          </w:p>
        </w:tc>
        <w:tc>
          <w:tcPr>
            <w:tcW w:type="dxa" w:w="3402"/>
          </w:tcPr>
          <w:p>
            <w:r/>
            <w:r>
              <w:rPr>
                <w:rFonts w:ascii="Arial" w:hAnsi="Arial"/>
                <w:sz w:val="18"/>
                <w:rFonts w:eastAsia="Yu Gothic" w:ascii="Arial" w:hAnsi="Arial"/>
              </w:rPr>
              <w:t>日本カストディ銀行（信託口）</w:t>
            </w:r>
          </w:p>
        </w:tc>
        <w:tc>
          <w:tcPr>
            <w:tcW w:type="dxa" w:w="1701"/>
          </w:tcPr>
          <w:p>
            <w:r/>
            <w:r>
              <w:rPr>
                <w:rFonts w:ascii="Arial" w:hAnsi="Arial"/>
                <w:sz w:val="18"/>
                <w:rFonts w:eastAsia="Yu Gothic" w:ascii="Arial" w:hAnsi="Arial"/>
              </w:rPr>
              <w:t>東京都中央区</w:t>
            </w:r>
          </w:p>
        </w:tc>
        <w:tc>
          <w:tcPr>
            <w:tcW w:type="dxa" w:w="1701"/>
          </w:tcPr>
          <w:p>
            <w:r/>
            <w:r>
              <w:rPr>
                <w:rFonts w:ascii="Arial" w:hAnsi="Arial"/>
                <w:sz w:val="18"/>
                <w:rFonts w:eastAsia="Yu Gothic" w:ascii="Arial" w:hAnsi="Arial"/>
              </w:rPr>
              <w:t>1,230</w:t>
            </w:r>
          </w:p>
        </w:tc>
        <w:tc>
          <w:tcPr>
            <w:tcW w:type="dxa" w:w="850"/>
          </w:tcPr>
          <w:p>
            <w:r/>
            <w:r>
              <w:rPr>
                <w:rFonts w:ascii="Arial" w:hAnsi="Arial"/>
                <w:sz w:val="18"/>
                <w:rFonts w:eastAsia="Yu Gothic" w:ascii="Arial" w:hAnsi="Arial"/>
              </w:rPr>
              <w:t>4.6%</w:t>
            </w:r>
          </w:p>
        </w:tc>
      </w:tr>
      <w:tr>
        <w:tc>
          <w:tcPr>
            <w:tcW w:type="dxa" w:w="567"/>
          </w:tcPr>
          <w:p>
            <w:r/>
            <w:r>
              <w:rPr>
                <w:rFonts w:ascii="Arial" w:hAnsi="Arial"/>
                <w:sz w:val="18"/>
                <w:rFonts w:eastAsia="Yu Gothic" w:ascii="Arial" w:hAnsi="Arial"/>
              </w:rPr>
              <w:t>5</w:t>
            </w:r>
          </w:p>
        </w:tc>
        <w:tc>
          <w:tcPr>
            <w:tcW w:type="dxa" w:w="3402"/>
          </w:tcPr>
          <w:p>
            <w:r/>
            <w:r>
              <w:rPr>
                <w:rFonts w:ascii="Arial" w:hAnsi="Arial"/>
                <w:sz w:val="18"/>
                <w:rFonts w:eastAsia="Yu Gothic" w:ascii="Arial" w:hAnsi="Arial"/>
              </w:rPr>
              <w:t>株式会社足利銀行</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1,160</w:t>
            </w:r>
          </w:p>
        </w:tc>
        <w:tc>
          <w:tcPr>
            <w:tcW w:type="dxa" w:w="850"/>
          </w:tcPr>
          <w:p>
            <w:r/>
            <w:r>
              <w:rPr>
                <w:rFonts w:ascii="Arial" w:hAnsi="Arial"/>
                <w:sz w:val="18"/>
                <w:rFonts w:eastAsia="Yu Gothic" w:ascii="Arial" w:hAnsi="Arial"/>
              </w:rPr>
              <w:t>4.3%</w:t>
            </w:r>
          </w:p>
        </w:tc>
      </w:tr>
      <w:tr>
        <w:tc>
          <w:tcPr>
            <w:tcW w:type="dxa" w:w="567"/>
          </w:tcPr>
          <w:p>
            <w:r/>
            <w:r>
              <w:rPr>
                <w:rFonts w:ascii="Arial" w:hAnsi="Arial"/>
                <w:sz w:val="18"/>
                <w:rFonts w:eastAsia="Yu Gothic" w:ascii="Arial" w:hAnsi="Arial"/>
              </w:rPr>
              <w:t>6</w:t>
            </w:r>
          </w:p>
        </w:tc>
        <w:tc>
          <w:tcPr>
            <w:tcW w:type="dxa" w:w="3402"/>
          </w:tcPr>
          <w:p>
            <w:r/>
            <w:r>
              <w:rPr>
                <w:rFonts w:ascii="Arial" w:hAnsi="Arial"/>
                <w:sz w:val="18"/>
                <w:rFonts w:eastAsia="Yu Gothic" w:ascii="Arial" w:hAnsi="Arial"/>
              </w:rPr>
              <w:t>レオン自動機 従業員持株会</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817</w:t>
            </w:r>
          </w:p>
        </w:tc>
        <w:tc>
          <w:tcPr>
            <w:tcW w:type="dxa" w:w="850"/>
          </w:tcPr>
          <w:p>
            <w:r/>
            <w:r>
              <w:rPr>
                <w:rFonts w:ascii="Arial" w:hAnsi="Arial"/>
                <w:sz w:val="18"/>
                <w:rFonts w:eastAsia="Yu Gothic" w:ascii="Arial" w:hAnsi="Arial"/>
              </w:rPr>
              <w:t>3.0%</w:t>
            </w:r>
          </w:p>
        </w:tc>
      </w:tr>
      <w:tr>
        <w:tc>
          <w:tcPr>
            <w:tcW w:type="dxa" w:w="567"/>
          </w:tcPr>
          <w:p>
            <w:r/>
            <w:r>
              <w:rPr>
                <w:rFonts w:ascii="Arial" w:hAnsi="Arial"/>
                <w:sz w:val="18"/>
                <w:rFonts w:eastAsia="Yu Gothic" w:ascii="Arial" w:hAnsi="Arial"/>
              </w:rPr>
              <w:t>7</w:t>
            </w:r>
          </w:p>
        </w:tc>
        <w:tc>
          <w:tcPr>
            <w:tcW w:type="dxa" w:w="3402"/>
          </w:tcPr>
          <w:p>
            <w:r/>
            <w:r>
              <w:rPr>
                <w:rFonts w:ascii="Arial" w:hAnsi="Arial"/>
                <w:sz w:val="18"/>
                <w:rFonts w:eastAsia="Yu Gothic" w:ascii="Arial" w:hAnsi="Arial"/>
              </w:rPr>
              <w:t>JP Morgan Chase Bank 380684</w:t>
            </w:r>
          </w:p>
        </w:tc>
        <w:tc>
          <w:tcPr>
            <w:tcW w:type="dxa" w:w="1701"/>
          </w:tcPr>
          <w:p>
            <w:r/>
            <w:r>
              <w:rPr>
                <w:rFonts w:ascii="Arial" w:hAnsi="Arial"/>
                <w:sz w:val="18"/>
                <w:rFonts w:eastAsia="Yu Gothic" w:ascii="Arial" w:hAnsi="Arial"/>
              </w:rPr>
              <w:t>ロンドン</w:t>
            </w:r>
          </w:p>
        </w:tc>
        <w:tc>
          <w:tcPr>
            <w:tcW w:type="dxa" w:w="1701"/>
          </w:tcPr>
          <w:p>
            <w:r/>
            <w:r>
              <w:rPr>
                <w:rFonts w:ascii="Arial" w:hAnsi="Arial"/>
                <w:sz w:val="18"/>
                <w:rFonts w:eastAsia="Yu Gothic" w:ascii="Arial" w:hAnsi="Arial"/>
              </w:rPr>
              <w:t>616</w:t>
            </w:r>
          </w:p>
        </w:tc>
        <w:tc>
          <w:tcPr>
            <w:tcW w:type="dxa" w:w="850"/>
          </w:tcPr>
          <w:p>
            <w:r/>
            <w:r>
              <w:rPr>
                <w:rFonts w:ascii="Arial" w:hAnsi="Arial"/>
                <w:sz w:val="18"/>
                <w:rFonts w:eastAsia="Yu Gothic" w:ascii="Arial" w:hAnsi="Arial"/>
              </w:rPr>
              <w:t>2.3%</w:t>
            </w:r>
          </w:p>
        </w:tc>
      </w:tr>
      <w:tr>
        <w:tc>
          <w:tcPr>
            <w:tcW w:type="dxa" w:w="567"/>
          </w:tcPr>
          <w:p>
            <w:r/>
            <w:r>
              <w:rPr>
                <w:rFonts w:ascii="Arial" w:hAnsi="Arial"/>
                <w:sz w:val="18"/>
                <w:rFonts w:eastAsia="Yu Gothic" w:ascii="Arial" w:hAnsi="Arial"/>
              </w:rPr>
              <w:t>8</w:t>
            </w:r>
          </w:p>
        </w:tc>
        <w:tc>
          <w:tcPr>
            <w:tcW w:type="dxa" w:w="3402"/>
          </w:tcPr>
          <w:p>
            <w:r/>
            <w:r>
              <w:rPr>
                <w:rFonts w:ascii="Arial" w:hAnsi="Arial"/>
                <w:sz w:val="18"/>
                <w:rFonts w:eastAsia="Yu Gothic" w:ascii="Arial" w:hAnsi="Arial"/>
              </w:rPr>
              <w:t>State Street Bank and Trust 505301</w:t>
            </w:r>
          </w:p>
        </w:tc>
        <w:tc>
          <w:tcPr>
            <w:tcW w:type="dxa" w:w="1701"/>
          </w:tcPr>
          <w:p>
            <w:r/>
            <w:r>
              <w:rPr>
                <w:rFonts w:ascii="Arial" w:hAnsi="Arial"/>
                <w:sz w:val="18"/>
                <w:rFonts w:eastAsia="Yu Gothic" w:ascii="Arial" w:hAnsi="Arial"/>
              </w:rPr>
              <w:t>ボストン</w:t>
            </w:r>
          </w:p>
        </w:tc>
        <w:tc>
          <w:tcPr>
            <w:tcW w:type="dxa" w:w="1701"/>
          </w:tcPr>
          <w:p>
            <w:r/>
            <w:r>
              <w:rPr>
                <w:rFonts w:ascii="Arial" w:hAnsi="Arial"/>
                <w:sz w:val="18"/>
                <w:rFonts w:eastAsia="Yu Gothic" w:ascii="Arial" w:hAnsi="Arial"/>
              </w:rPr>
              <w:t>491</w:t>
            </w:r>
          </w:p>
        </w:tc>
        <w:tc>
          <w:tcPr>
            <w:tcW w:type="dxa" w:w="850"/>
          </w:tcPr>
          <w:p>
            <w:r/>
            <w:r>
              <w:rPr>
                <w:rFonts w:ascii="Arial" w:hAnsi="Arial"/>
                <w:sz w:val="18"/>
                <w:rFonts w:eastAsia="Yu Gothic" w:ascii="Arial" w:hAnsi="Arial"/>
              </w:rPr>
              <w:t>1.8%</w:t>
            </w:r>
          </w:p>
        </w:tc>
      </w:tr>
      <w:tr>
        <w:tc>
          <w:tcPr>
            <w:tcW w:type="dxa" w:w="567"/>
          </w:tcPr>
          <w:p>
            <w:r/>
            <w:r>
              <w:rPr>
                <w:rFonts w:ascii="Arial" w:hAnsi="Arial"/>
                <w:sz w:val="18"/>
                <w:rFonts w:eastAsia="Yu Gothic" w:ascii="Arial" w:hAnsi="Arial"/>
              </w:rPr>
              <w:t>9</w:t>
            </w:r>
          </w:p>
        </w:tc>
        <w:tc>
          <w:tcPr>
            <w:tcW w:type="dxa" w:w="3402"/>
          </w:tcPr>
          <w:p>
            <w:r/>
            <w:r>
              <w:rPr>
                <w:rFonts w:ascii="Arial" w:hAnsi="Arial"/>
                <w:sz w:val="18"/>
                <w:rFonts w:eastAsia="Yu Gothic" w:ascii="Arial" w:hAnsi="Arial"/>
              </w:rPr>
              <w:t>株式会社栃木銀行</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480</w:t>
            </w:r>
          </w:p>
        </w:tc>
        <w:tc>
          <w:tcPr>
            <w:tcW w:type="dxa" w:w="850"/>
          </w:tcPr>
          <w:p>
            <w:r/>
            <w:r>
              <w:rPr>
                <w:rFonts w:ascii="Arial" w:hAnsi="Arial"/>
                <w:sz w:val="18"/>
                <w:rFonts w:eastAsia="Yu Gothic" w:ascii="Arial" w:hAnsi="Arial"/>
              </w:rPr>
              <w:t>1.8%</w:t>
            </w:r>
          </w:p>
        </w:tc>
      </w:tr>
      <w:tr>
        <w:tc>
          <w:tcPr>
            <w:tcW w:type="dxa" w:w="567"/>
          </w:tcPr>
          <w:p>
            <w:r/>
            <w:r>
              <w:rPr>
                <w:rFonts w:ascii="Arial" w:hAnsi="Arial"/>
                <w:sz w:val="18"/>
                <w:rFonts w:eastAsia="Yu Gothic" w:ascii="Arial" w:hAnsi="Arial"/>
              </w:rPr>
              <w:t>10</w:t>
            </w:r>
          </w:p>
        </w:tc>
        <w:tc>
          <w:tcPr>
            <w:tcW w:type="dxa" w:w="3402"/>
          </w:tcPr>
          <w:p>
            <w:r/>
            <w:r>
              <w:rPr>
                <w:rFonts w:ascii="Arial" w:hAnsi="Arial"/>
                <w:sz w:val="18"/>
                <w:rFonts w:eastAsia="Yu Gothic" w:ascii="Arial" w:hAnsi="Arial"/>
              </w:rPr>
              <w:t>双葉企画 有限会社</w:t>
            </w:r>
          </w:p>
        </w:tc>
        <w:tc>
          <w:tcPr>
            <w:tcW w:type="dxa" w:w="1701"/>
          </w:tcPr>
          <w:p>
            <w:r/>
            <w:r>
              <w:rPr>
                <w:rFonts w:ascii="Arial" w:hAnsi="Arial"/>
                <w:sz w:val="18"/>
                <w:rFonts w:eastAsia="Yu Gothic" w:ascii="Arial" w:hAnsi="Arial"/>
              </w:rPr>
              <w:t>栃木県宇都宮市</w:t>
            </w:r>
          </w:p>
        </w:tc>
        <w:tc>
          <w:tcPr>
            <w:tcW w:type="dxa" w:w="1701"/>
          </w:tcPr>
          <w:p>
            <w:r/>
            <w:r>
              <w:rPr>
                <w:rFonts w:ascii="Arial" w:hAnsi="Arial"/>
                <w:sz w:val="18"/>
                <w:rFonts w:eastAsia="Yu Gothic" w:ascii="Arial" w:hAnsi="Arial"/>
              </w:rPr>
              <w:t>478</w:t>
            </w:r>
          </w:p>
        </w:tc>
        <w:tc>
          <w:tcPr>
            <w:tcW w:type="dxa" w:w="850"/>
          </w:tcPr>
          <w:p>
            <w:r/>
            <w:r>
              <w:rPr>
                <w:rFonts w:ascii="Arial" w:hAnsi="Arial"/>
                <w:sz w:val="18"/>
                <w:rFonts w:eastAsia="Yu Gothic" w:ascii="Arial" w:hAnsi="Arial"/>
              </w:rPr>
              <w:t>1.8%</w:t>
            </w:r>
          </w:p>
        </w:tc>
      </w:tr>
      <w:tr>
        <w:tc>
          <w:tcPr>
            <w:tcW w:type="dxa" w:w="567"/>
          </w:tcPr>
          <w:p>
            <w:r/>
            <w:r>
              <w:rPr>
                <w:rFonts w:ascii="Arial" w:hAnsi="Arial"/>
                <w:sz w:val="18"/>
                <w:rFonts w:eastAsia="Yu Gothic" w:ascii="Arial" w:hAnsi="Arial"/>
              </w:rPr>
            </w:r>
          </w:p>
        </w:tc>
        <w:tc>
          <w:tcPr>
            <w:tcW w:type="dxa" w:w="3402"/>
          </w:tcPr>
          <w:p>
            <w:r/>
            <w:r>
              <w:rPr>
                <w:rFonts w:ascii="Arial" w:hAnsi="Arial"/>
                <w:sz w:val="18"/>
                <w:rFonts w:eastAsia="Yu Gothic" w:ascii="Arial" w:hAnsi="Arial"/>
              </w:rPr>
              <w:t>上位10名合計</w:t>
            </w:r>
          </w:p>
        </w:tc>
        <w:tc>
          <w:tcPr>
            <w:tcW w:type="dxa" w:w="1701"/>
          </w:tcPr>
          <w:p>
            <w:r/>
            <w:r>
              <w:rPr>
                <w:rFonts w:ascii="Arial" w:hAnsi="Arial"/>
                <w:sz w:val="18"/>
                <w:rFonts w:eastAsia="Yu Gothic" w:ascii="Arial" w:hAnsi="Arial"/>
              </w:rPr>
            </w:r>
          </w:p>
        </w:tc>
        <w:tc>
          <w:tcPr>
            <w:tcW w:type="dxa" w:w="1701"/>
          </w:tcPr>
          <w:p>
            <w:r/>
            <w:r>
              <w:rPr>
                <w:rFonts w:ascii="Arial" w:hAnsi="Arial"/>
                <w:sz w:val="18"/>
                <w:rFonts w:eastAsia="Yu Gothic" w:ascii="Arial" w:hAnsi="Arial"/>
              </w:rPr>
              <w:t>12,904</w:t>
            </w:r>
          </w:p>
        </w:tc>
        <w:tc>
          <w:tcPr>
            <w:tcW w:type="dxa" w:w="850"/>
          </w:tcPr>
          <w:p>
            <w:r/>
            <w:r>
              <w:rPr>
                <w:rFonts w:ascii="Arial" w:hAnsi="Arial"/>
                <w:sz w:val="18"/>
                <w:rFonts w:eastAsia="Yu Gothic" w:ascii="Arial" w:hAnsi="Arial"/>
              </w:rPr>
              <w:t>48.0%</w:t>
            </w:r>
          </w:p>
        </w:tc>
      </w:tr>
    </w:tbl>
    <w:p>
      <w:pPr>
        <w:spacing w:before="0" w:after="40"/>
      </w:pPr>
      <w:r>
        <w:rPr>
          <w:rFonts w:ascii="Arial" w:hAnsi="Arial"/>
          <w:sz w:val="21"/>
          <w:rFonts w:eastAsia="Yu Gothic" w:ascii="Arial" w:hAnsi="Arial"/>
        </w:rPr>
        <w:t>（注）自己株式1,480,657株を除いたベース。シュローダー・インベストメント・マネジメント株式会社が2025年4月15日付大量保有報告書（変更報告書）で4.05%を保有 [出典: 有報第63期]。</w:t>
      </w:r>
    </w:p>
    <w:p>
      <w:pPr>
        <w:spacing w:before="0" w:after="40"/>
      </w:pPr>
      <w:r>
        <w:rPr>
          <w:rFonts w:ascii="Arial" w:hAnsi="Arial"/>
          <w:sz w:val="20"/>
          <w:rFonts w:eastAsia="Yu Gothic" w:ascii="Arial" w:hAnsi="Arial"/>
        </w:rPr>
        <w:t>**含意**：①公益財団法人林レオロジー記念財団（11.3%）＋ラム商事（6.3%、宇都宮市野沢町＝本社所在地と同一所在）＋双葉企画（1.8%、同所在）の3社で創業家関連と推定すると合計19.4%。②地元金融（足利銀行4.3%＋栃木銀行1.8%＝6.1%）と従業員持株会（3.0%）を合わせると、創業家・地元・社員の安定株主層が約28.5%。③信託銀行（マスター10.8%＋カストディ4.6%＝15.4%）＋海外金融機関2社（4.1%）が機関投資家枠。TOB成立には創業家系財団・地銀・従業員持株会の同意取付が論点となる。</w:t>
      </w:r>
    </w:p>
    <w:p>
      <w:r>
        <w:br w:type="page"/>
      </w:r>
    </w:p>
    <w:p>
      <w:pPr>
        <w:spacing w:before="200" w:after="80"/>
      </w:pPr>
      <w:r>
        <w:rPr>
          <w:b/>
          <w:sz w:val="28"/>
          <w:rFonts w:eastAsia="Yu Gothic" w:ascii="Arial" w:hAnsi="Arial"/>
        </w:rPr>
        <w:t>② 事業の堅牢性</w:t>
      </w:r>
    </w:p>
    <w:p>
      <w:pPr>
        <w:spacing w:before="0" w:after="40"/>
      </w:pPr>
      <w:r>
        <w:rPr>
          <w:rFonts w:ascii="Arial" w:hAnsi="Arial"/>
          <w:sz w:val="20"/>
          <w:rFonts w:eastAsia="Yu Gothic" w:ascii="Arial" w:hAnsi="Arial"/>
        </w:rPr>
        <w:t>売上＝市場規模×シェア×単価、EBITDA＝売上×マージンの構造分解で、市場性・シェア・単価コストの順に分析する。</w:t>
      </w:r>
    </w:p>
    <w:p>
      <w:pPr>
        <w:spacing w:before="160" w:after="60"/>
      </w:pPr>
      <w:r>
        <w:rPr>
          <w:b/>
          <w:sz w:val="24"/>
          <w:rFonts w:eastAsia="Yu Gothic" w:ascii="Arial" w:hAnsi="Arial"/>
        </w:rPr>
        <w:t>2-1. 市場性</w:t>
      </w:r>
    </w:p>
    <w:p>
      <w:pPr>
        <w:spacing w:before="0" w:after="40"/>
      </w:pPr>
      <w:r>
        <w:rPr>
          <w:rFonts w:ascii="Arial" w:hAnsi="Arial"/>
          <w:sz w:val="21"/>
          <w:rFonts w:eastAsia="Yu Gothic" w:ascii="Arial" w:hAnsi="Arial"/>
        </w:rPr>
        <w:t>**観察事実**：レオンが属する世界市場は2レイヤーで把握する必要がある。（i）日本食品機械工業会調査での国内製パン・製菓機械市場：2013年1,100億円台→2024年1,400億円台、年率+2.5%程度の緩成長。（ii）グローバルなBakery Processing Equipment市場：2024年170億ドル→2030年245億ドル（CAGR 6.3%）の二桁成長軌道 [出典: Grand View Research、Nomura IR p.36]。</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2268"/>
            <w:shd w:val="clear" w:color="auto" w:fill="1F4E78"/>
          </w:tcPr>
          <w:p>
            <w:r>
              <w:rPr>
                <w:color w:val="FFFFFF"/>
              </w:rPr>
            </w:r>
            <w:r>
              <w:rPr>
                <w:rFonts w:ascii="Arial" w:hAnsi="Arial"/>
                <w:b/>
                <w:color w:val="FFFFFF"/>
                <w:sz w:val="18"/>
                <w:rFonts w:eastAsia="Yu Gothic" w:ascii="Arial" w:hAnsi="Arial"/>
              </w:rPr>
              <w:t>市場</w:t>
            </w:r>
          </w:p>
        </w:tc>
        <w:tc>
          <w:tcPr>
            <w:tcW w:type="dxa" w:w="2551"/>
            <w:shd w:val="clear" w:color="auto" w:fill="1F4E78"/>
          </w:tcPr>
          <w:p>
            <w:r>
              <w:rPr>
                <w:color w:val="FFFFFF"/>
              </w:rPr>
            </w:r>
            <w:r>
              <w:rPr>
                <w:rFonts w:ascii="Arial" w:hAnsi="Arial"/>
                <w:b/>
                <w:color w:val="FFFFFF"/>
                <w:sz w:val="18"/>
                <w:rFonts w:eastAsia="Yu Gothic" w:ascii="Arial" w:hAnsi="Arial"/>
              </w:rPr>
              <w:t>規模（年明記）</w:t>
            </w:r>
          </w:p>
        </w:tc>
        <w:tc>
          <w:tcPr>
            <w:tcW w:type="dxa" w:w="1020"/>
            <w:shd w:val="clear" w:color="auto" w:fill="1F4E78"/>
          </w:tcPr>
          <w:p>
            <w:r>
              <w:rPr>
                <w:color w:val="FFFFFF"/>
              </w:rPr>
            </w:r>
            <w:r>
              <w:rPr>
                <w:rFonts w:ascii="Arial" w:hAnsi="Arial"/>
                <w:b/>
                <w:color w:val="FFFFFF"/>
                <w:sz w:val="18"/>
                <w:rFonts w:eastAsia="Yu Gothic" w:ascii="Arial" w:hAnsi="Arial"/>
              </w:rPr>
              <w:t>期間</w:t>
            </w:r>
          </w:p>
        </w:tc>
        <w:tc>
          <w:tcPr>
            <w:tcW w:type="dxa" w:w="794"/>
            <w:shd w:val="clear" w:color="auto" w:fill="1F4E78"/>
          </w:tcPr>
          <w:p>
            <w:r>
              <w:rPr>
                <w:color w:val="FFFFFF"/>
              </w:rPr>
            </w:r>
            <w:r>
              <w:rPr>
                <w:rFonts w:ascii="Arial" w:hAnsi="Arial"/>
                <w:b/>
                <w:color w:val="FFFFFF"/>
                <w:sz w:val="18"/>
                <w:rFonts w:eastAsia="Yu Gothic" w:ascii="Arial" w:hAnsi="Arial"/>
              </w:rPr>
              <w:t>実績/予測</w:t>
            </w:r>
          </w:p>
        </w:tc>
        <w:tc>
          <w:tcPr>
            <w:tcW w:type="dxa" w:w="794"/>
            <w:shd w:val="clear" w:color="auto" w:fill="1F4E78"/>
          </w:tcPr>
          <w:p>
            <w:r>
              <w:rPr>
                <w:color w:val="FFFFFF"/>
              </w:rPr>
            </w:r>
            <w:r>
              <w:rPr>
                <w:rFonts w:ascii="Arial" w:hAnsi="Arial"/>
                <w:b/>
                <w:color w:val="FFFFFF"/>
                <w:sz w:val="18"/>
                <w:rFonts w:eastAsia="Yu Gothic" w:ascii="Arial" w:hAnsi="Arial"/>
              </w:rPr>
              <w:t>CAGR</w:t>
            </w:r>
          </w:p>
        </w:tc>
        <w:tc>
          <w:tcPr>
            <w:tcW w:type="dxa" w:w="1701"/>
            <w:shd w:val="clear" w:color="auto" w:fill="1F4E78"/>
          </w:tcPr>
          <w:p>
            <w:r>
              <w:rPr>
                <w:color w:val="FFFFFF"/>
              </w:rPr>
            </w:r>
            <w:r>
              <w:rPr>
                <w:rFonts w:ascii="Arial" w:hAnsi="Arial"/>
                <w:b/>
                <w:color w:val="FFFFFF"/>
                <w:sz w:val="18"/>
                <w:rFonts w:eastAsia="Yu Gothic" w:ascii="Arial" w:hAnsi="Arial"/>
              </w:rPr>
              <w:t>出典</w:t>
            </w:r>
          </w:p>
        </w:tc>
      </w:tr>
      <w:tr>
        <w:tc>
          <w:tcPr>
            <w:tcW w:type="dxa" w:w="2268"/>
          </w:tcPr>
          <w:p>
            <w:r/>
            <w:r>
              <w:rPr>
                <w:rFonts w:ascii="Arial" w:hAnsi="Arial"/>
                <w:sz w:val="18"/>
                <w:rFonts w:eastAsia="Yu Gothic" w:ascii="Arial" w:hAnsi="Arial"/>
              </w:rPr>
              <w:t>国内 製パン・製菓機械販売額</w:t>
            </w:r>
          </w:p>
        </w:tc>
        <w:tc>
          <w:tcPr>
            <w:tcW w:type="dxa" w:w="2551"/>
          </w:tcPr>
          <w:p>
            <w:r/>
            <w:r>
              <w:rPr>
                <w:rFonts w:ascii="Arial" w:hAnsi="Arial"/>
                <w:sz w:val="18"/>
                <w:rFonts w:eastAsia="Yu Gothic" w:ascii="Arial" w:hAnsi="Arial"/>
              </w:rPr>
              <w:t>1,100億円台 (2013)</w:t>
            </w:r>
          </w:p>
        </w:tc>
        <w:tc>
          <w:tcPr>
            <w:tcW w:type="dxa" w:w="1020"/>
          </w:tcPr>
          <w:p>
            <w:r/>
            <w:r>
              <w:rPr>
                <w:rFonts w:ascii="Arial" w:hAnsi="Arial"/>
                <w:sz w:val="18"/>
                <w:rFonts w:eastAsia="Yu Gothic" w:ascii="Arial" w:hAnsi="Arial"/>
              </w:rPr>
              <w:t>2013→2024</w:t>
            </w:r>
          </w:p>
        </w:tc>
        <w:tc>
          <w:tcPr>
            <w:tcW w:type="dxa" w:w="794"/>
          </w:tcPr>
          <w:p>
            <w:r/>
            <w:r>
              <w:rPr>
                <w:rFonts w:ascii="Arial" w:hAnsi="Arial"/>
                <w:sz w:val="18"/>
                <w:rFonts w:eastAsia="Yu Gothic" w:ascii="Arial" w:hAnsi="Arial"/>
              </w:rPr>
              <w:t>実績</w:t>
            </w:r>
          </w:p>
        </w:tc>
        <w:tc>
          <w:tcPr>
            <w:tcW w:type="dxa" w:w="794"/>
          </w:tcPr>
          <w:p>
            <w:r/>
            <w:r>
              <w:rPr>
                <w:rFonts w:ascii="Arial" w:hAnsi="Arial"/>
                <w:sz w:val="18"/>
                <w:rFonts w:eastAsia="Yu Gothic" w:ascii="Arial" w:hAnsi="Arial"/>
              </w:rPr>
              <w:t>+2.5%程度</w:t>
            </w:r>
          </w:p>
        </w:tc>
        <w:tc>
          <w:tcPr>
            <w:tcW w:type="dxa" w:w="1701"/>
          </w:tcPr>
          <w:p>
            <w:r/>
            <w:r>
              <w:rPr>
                <w:rFonts w:ascii="Arial" w:hAnsi="Arial"/>
                <w:sz w:val="18"/>
                <w:rFonts w:eastAsia="Yu Gothic" w:ascii="Arial" w:hAnsi="Arial"/>
              </w:rPr>
              <w:t>日本食品機械工業会</w:t>
            </w:r>
          </w:p>
        </w:tc>
      </w:tr>
      <w:tr>
        <w:tc>
          <w:tcPr>
            <w:tcW w:type="dxa" w:w="2268"/>
          </w:tcPr>
          <w:p>
            <w:r/>
            <w:r>
              <w:rPr>
                <w:rFonts w:ascii="Arial" w:hAnsi="Arial"/>
                <w:sz w:val="18"/>
                <w:rFonts w:eastAsia="Yu Gothic" w:ascii="Arial" w:hAnsi="Arial"/>
              </w:rPr>
              <w:t>国内 食品機械販売額（全体）</w:t>
            </w:r>
          </w:p>
        </w:tc>
        <w:tc>
          <w:tcPr>
            <w:tcW w:type="dxa" w:w="2551"/>
          </w:tcPr>
          <w:p>
            <w:r/>
            <w:r>
              <w:rPr>
                <w:rFonts w:ascii="Arial" w:hAnsi="Arial"/>
                <w:sz w:val="18"/>
                <w:rFonts w:eastAsia="Yu Gothic" w:ascii="Arial" w:hAnsi="Arial"/>
              </w:rPr>
              <w:t>4,000億円台 (2013)→6,000億円台 (2024)</w:t>
            </w:r>
          </w:p>
        </w:tc>
        <w:tc>
          <w:tcPr>
            <w:tcW w:type="dxa" w:w="1020"/>
          </w:tcPr>
          <w:p>
            <w:r/>
            <w:r>
              <w:rPr>
                <w:rFonts w:ascii="Arial" w:hAnsi="Arial"/>
                <w:sz w:val="18"/>
                <w:rFonts w:eastAsia="Yu Gothic" w:ascii="Arial" w:hAnsi="Arial"/>
              </w:rPr>
              <w:t>2013→2024</w:t>
            </w:r>
          </w:p>
        </w:tc>
        <w:tc>
          <w:tcPr>
            <w:tcW w:type="dxa" w:w="794"/>
          </w:tcPr>
          <w:p>
            <w:r/>
            <w:r>
              <w:rPr>
                <w:rFonts w:ascii="Arial" w:hAnsi="Arial"/>
                <w:sz w:val="18"/>
                <w:rFonts w:eastAsia="Yu Gothic" w:ascii="Arial" w:hAnsi="Arial"/>
              </w:rPr>
              <w:t>実績</w:t>
            </w:r>
          </w:p>
        </w:tc>
        <w:tc>
          <w:tcPr>
            <w:tcW w:type="dxa" w:w="794"/>
          </w:tcPr>
          <w:p>
            <w:r/>
            <w:r>
              <w:rPr>
                <w:rFonts w:ascii="Arial" w:hAnsi="Arial"/>
                <w:sz w:val="18"/>
                <w:rFonts w:eastAsia="Yu Gothic" w:ascii="Arial" w:hAnsi="Arial"/>
              </w:rPr>
              <w:t>+3.8%</w:t>
            </w:r>
          </w:p>
        </w:tc>
        <w:tc>
          <w:tcPr>
            <w:tcW w:type="dxa" w:w="1701"/>
          </w:tcPr>
          <w:p>
            <w:r/>
            <w:r>
              <w:rPr>
                <w:rFonts w:ascii="Arial" w:hAnsi="Arial"/>
                <w:sz w:val="18"/>
                <w:rFonts w:eastAsia="Yu Gothic" w:ascii="Arial" w:hAnsi="Arial"/>
              </w:rPr>
              <w:t>日本食品機械工業会</w:t>
            </w:r>
          </w:p>
        </w:tc>
      </w:tr>
      <w:tr>
        <w:tc>
          <w:tcPr>
            <w:tcW w:type="dxa" w:w="2268"/>
          </w:tcPr>
          <w:p>
            <w:r/>
            <w:r>
              <w:rPr>
                <w:rFonts w:ascii="Arial" w:hAnsi="Arial"/>
                <w:sz w:val="18"/>
                <w:rFonts w:eastAsia="Yu Gothic" w:ascii="Arial" w:hAnsi="Arial"/>
              </w:rPr>
              <w:t>世界 Bakery Processing Equipment</w:t>
            </w:r>
          </w:p>
        </w:tc>
        <w:tc>
          <w:tcPr>
            <w:tcW w:type="dxa" w:w="2551"/>
          </w:tcPr>
          <w:p>
            <w:r/>
            <w:r>
              <w:rPr>
                <w:rFonts w:ascii="Arial" w:hAnsi="Arial"/>
                <w:sz w:val="18"/>
                <w:rFonts w:eastAsia="Yu Gothic" w:ascii="Arial" w:hAnsi="Arial"/>
              </w:rPr>
              <w:t>$17.0B (2024)</w:t>
            </w:r>
          </w:p>
        </w:tc>
        <w:tc>
          <w:tcPr>
            <w:tcW w:type="dxa" w:w="1020"/>
          </w:tcPr>
          <w:p>
            <w:r/>
            <w:r>
              <w:rPr>
                <w:rFonts w:ascii="Arial" w:hAnsi="Arial"/>
                <w:sz w:val="18"/>
                <w:rFonts w:eastAsia="Yu Gothic" w:ascii="Arial" w:hAnsi="Arial"/>
              </w:rPr>
              <w:t>2024→2030</w:t>
            </w:r>
          </w:p>
        </w:tc>
        <w:tc>
          <w:tcPr>
            <w:tcW w:type="dxa" w:w="794"/>
          </w:tcPr>
          <w:p>
            <w:r/>
            <w:r>
              <w:rPr>
                <w:rFonts w:ascii="Arial" w:hAnsi="Arial"/>
                <w:sz w:val="18"/>
                <w:rFonts w:eastAsia="Yu Gothic" w:ascii="Arial" w:hAnsi="Arial"/>
              </w:rPr>
              <w:t>予測</w:t>
            </w:r>
          </w:p>
        </w:tc>
        <w:tc>
          <w:tcPr>
            <w:tcW w:type="dxa" w:w="794"/>
          </w:tcPr>
          <w:p>
            <w:r/>
            <w:r>
              <w:rPr>
                <w:rFonts w:ascii="Arial" w:hAnsi="Arial"/>
                <w:sz w:val="18"/>
                <w:rFonts w:eastAsia="Yu Gothic" w:ascii="Arial" w:hAnsi="Arial"/>
              </w:rPr>
              <w:t>+6.3%</w:t>
            </w:r>
          </w:p>
        </w:tc>
        <w:tc>
          <w:tcPr>
            <w:tcW w:type="dxa" w:w="1701"/>
          </w:tcPr>
          <w:p>
            <w:r/>
            <w:r>
              <w:rPr>
                <w:rFonts w:ascii="Arial" w:hAnsi="Arial"/>
                <w:sz w:val="18"/>
                <w:rFonts w:eastAsia="Yu Gothic" w:ascii="Arial" w:hAnsi="Arial"/>
              </w:rPr>
              <w:t>Grand View Research</w:t>
            </w:r>
          </w:p>
        </w:tc>
      </w:tr>
      <w:tr>
        <w:tc>
          <w:tcPr>
            <w:tcW w:type="dxa" w:w="2268"/>
          </w:tcPr>
          <w:p>
            <w:r/>
            <w:r>
              <w:rPr>
                <w:rFonts w:ascii="Arial" w:hAnsi="Arial"/>
                <w:sz w:val="18"/>
                <w:rFonts w:eastAsia="Yu Gothic" w:ascii="Arial" w:hAnsi="Arial"/>
              </w:rPr>
              <w:t>世界 Food Processing Machinery</w:t>
            </w:r>
          </w:p>
        </w:tc>
        <w:tc>
          <w:tcPr>
            <w:tcW w:type="dxa" w:w="2551"/>
          </w:tcPr>
          <w:p>
            <w:r/>
            <w:r>
              <w:rPr>
                <w:rFonts w:ascii="Arial" w:hAnsi="Arial"/>
                <w:sz w:val="18"/>
                <w:rFonts w:eastAsia="Yu Gothic" w:ascii="Arial" w:hAnsi="Arial"/>
              </w:rPr>
              <w:t>$107B (2025)</w:t>
            </w:r>
          </w:p>
        </w:tc>
        <w:tc>
          <w:tcPr>
            <w:tcW w:type="dxa" w:w="1020"/>
          </w:tcPr>
          <w:p>
            <w:r/>
            <w:r>
              <w:rPr>
                <w:rFonts w:ascii="Arial" w:hAnsi="Arial"/>
                <w:sz w:val="18"/>
                <w:rFonts w:eastAsia="Yu Gothic" w:ascii="Arial" w:hAnsi="Arial"/>
              </w:rPr>
              <w:t>2025→2030</w:t>
            </w:r>
          </w:p>
        </w:tc>
        <w:tc>
          <w:tcPr>
            <w:tcW w:type="dxa" w:w="794"/>
          </w:tcPr>
          <w:p>
            <w:r/>
            <w:r>
              <w:rPr>
                <w:rFonts w:ascii="Arial" w:hAnsi="Arial"/>
                <w:sz w:val="18"/>
                <w:rFonts w:eastAsia="Yu Gothic" w:ascii="Arial" w:hAnsi="Arial"/>
              </w:rPr>
              <w:t>予測</w:t>
            </w:r>
          </w:p>
        </w:tc>
        <w:tc>
          <w:tcPr>
            <w:tcW w:type="dxa" w:w="794"/>
          </w:tcPr>
          <w:p>
            <w:r/>
            <w:r>
              <w:rPr>
                <w:rFonts w:ascii="Arial" w:hAnsi="Arial"/>
                <w:sz w:val="18"/>
                <w:rFonts w:eastAsia="Yu Gothic" w:ascii="Arial" w:hAnsi="Arial"/>
              </w:rPr>
              <w:t>+5.7%</w:t>
            </w:r>
          </w:p>
        </w:tc>
        <w:tc>
          <w:tcPr>
            <w:tcW w:type="dxa" w:w="1701"/>
          </w:tcPr>
          <w:p>
            <w:r/>
            <w:r>
              <w:rPr>
                <w:rFonts w:ascii="Arial" w:hAnsi="Arial"/>
                <w:sz w:val="18"/>
                <w:rFonts w:eastAsia="Yu Gothic" w:ascii="Arial" w:hAnsi="Arial"/>
              </w:rPr>
              <w:t>Mordor Intelligence他</w:t>
            </w:r>
          </w:p>
        </w:tc>
      </w:tr>
      <w:tr>
        <w:tc>
          <w:tcPr>
            <w:tcW w:type="dxa" w:w="2268"/>
          </w:tcPr>
          <w:p>
            <w:r/>
            <w:r>
              <w:rPr>
                <w:rFonts w:ascii="Arial" w:hAnsi="Arial"/>
                <w:sz w:val="18"/>
                <w:rFonts w:eastAsia="Yu Gothic" w:ascii="Arial" w:hAnsi="Arial"/>
              </w:rPr>
              <w:t>国内 食品機械輸出額</w:t>
            </w:r>
          </w:p>
        </w:tc>
        <w:tc>
          <w:tcPr>
            <w:tcW w:type="dxa" w:w="2551"/>
          </w:tcPr>
          <w:p>
            <w:r/>
            <w:r>
              <w:rPr>
                <w:rFonts w:ascii="Arial" w:hAnsi="Arial"/>
                <w:sz w:val="18"/>
                <w:rFonts w:eastAsia="Yu Gothic" w:ascii="Arial" w:hAnsi="Arial"/>
              </w:rPr>
              <w:t>300億円台 (2013)→500億円台 (2024)</w:t>
            </w:r>
          </w:p>
        </w:tc>
        <w:tc>
          <w:tcPr>
            <w:tcW w:type="dxa" w:w="1020"/>
          </w:tcPr>
          <w:p>
            <w:r/>
            <w:r>
              <w:rPr>
                <w:rFonts w:ascii="Arial" w:hAnsi="Arial"/>
                <w:sz w:val="18"/>
                <w:rFonts w:eastAsia="Yu Gothic" w:ascii="Arial" w:hAnsi="Arial"/>
              </w:rPr>
              <w:t>2013→2024</w:t>
            </w:r>
          </w:p>
        </w:tc>
        <w:tc>
          <w:tcPr>
            <w:tcW w:type="dxa" w:w="794"/>
          </w:tcPr>
          <w:p>
            <w:r/>
            <w:r>
              <w:rPr>
                <w:rFonts w:ascii="Arial" w:hAnsi="Arial"/>
                <w:sz w:val="18"/>
                <w:rFonts w:eastAsia="Yu Gothic" w:ascii="Arial" w:hAnsi="Arial"/>
              </w:rPr>
              <w:t>実績</w:t>
            </w:r>
          </w:p>
        </w:tc>
        <w:tc>
          <w:tcPr>
            <w:tcW w:type="dxa" w:w="794"/>
          </w:tcPr>
          <w:p>
            <w:r/>
            <w:r>
              <w:rPr>
                <w:rFonts w:ascii="Arial" w:hAnsi="Arial"/>
                <w:sz w:val="18"/>
                <w:rFonts w:eastAsia="Yu Gothic" w:ascii="Arial" w:hAnsi="Arial"/>
              </w:rPr>
              <w:t>+5%程度</w:t>
            </w:r>
          </w:p>
        </w:tc>
        <w:tc>
          <w:tcPr>
            <w:tcW w:type="dxa" w:w="1701"/>
          </w:tcPr>
          <w:p>
            <w:r/>
            <w:r>
              <w:rPr>
                <w:rFonts w:ascii="Arial" w:hAnsi="Arial"/>
                <w:sz w:val="18"/>
                <w:rFonts w:eastAsia="Yu Gothic" w:ascii="Arial" w:hAnsi="Arial"/>
              </w:rPr>
              <w:t>日本食品機械工業会</w:t>
            </w:r>
          </w:p>
        </w:tc>
      </w:tr>
    </w:tbl>
    <w:p>
      <w:pPr>
        <w:spacing w:before="120" w:after="40"/>
      </w:pPr>
      <w:r>
        <w:rPr>
          <w:b/>
          <w:sz w:val="21"/>
          <w:rFonts w:eastAsia="Yu Gothic" w:ascii="Arial" w:hAnsi="Arial"/>
        </w:rPr>
        <w:t>市場ドライバー</w:t>
      </w:r>
    </w:p>
    <w:p>
      <w:pPr>
        <w:spacing w:before="0" w:after="40"/>
      </w:pPr>
      <w:r>
        <w:rPr>
          <w:rFonts w:ascii="Arial" w:hAnsi="Arial"/>
          <w:sz w:val="21"/>
          <w:rFonts w:eastAsia="Yu Gothic" w:ascii="Arial" w:hAnsi="Arial"/>
        </w:rPr>
        <w:t>**数量ドライバー**は3つに集約される。第1に食品工場の省人化／自動化ニーズ──主要食品消費国の人手不足と人件費高騰により、ラインの自動化・スマートファクトリー化への設備投資が加速している（特に北米・欧州、日本）。第2に新興国の中間層拡大に伴うパン・菓子・調理食品の工業化──インド（カチョーリ）、中東（マアムール）、北アフリカ（ラマダン菓子）等の現地特産料理向け装置がレオンの新規市場 [出典: 日経 2025/5/13]。第3に多品種少量化・特殊製品（アルチザンブレッド、グルテンフリー、低糖質、植物性プロテイン）への対応必要性が機械の置き換え需要を生む。</w:t>
      </w:r>
    </w:p>
    <w:p>
      <w:pPr>
        <w:spacing w:before="0" w:after="40"/>
      </w:pPr>
      <w:r>
        <w:rPr>
          <w:rFonts w:ascii="Arial" w:hAnsi="Arial"/>
          <w:sz w:val="21"/>
          <w:rFonts w:eastAsia="Yu Gothic" w:ascii="Arial" w:hAnsi="Arial"/>
        </w:rPr>
        <w:t>**価格ドライバー**は、汎用領域（包あん機単体）では中国系メーカーの追い上げにより下押し圧力を受けつつ、高機能領域（製パン・ペストリーライン、IoT/MES連携、サニタリー対応）では機能・標準化・納期短縮プレミアムによる単価上昇圧力が併存する。結果として、汎用品の価格下落と高付加価値品の単価上昇のバーベル化が進行 [仮説、レオン製品ミックスの開示推移より推定]。</w:t>
      </w:r>
    </w:p>
    <w:p>
      <w:pPr>
        <w:spacing w:before="0" w:after="40"/>
      </w:pPr>
      <w:r>
        <w:rPr>
          <w:rFonts w:ascii="Arial" w:hAnsi="Arial"/>
          <w:sz w:val="21"/>
          <w:rFonts w:eastAsia="Yu Gothic" w:ascii="Arial" w:hAnsi="Arial"/>
        </w:rPr>
        <w:t>**将来見通し**：世界Bakery機械はCAGR 6-7%で2030年に240-270億ドル規模に拡大する複数調査結果に整合性あり。国内は緩成長止まりだが、レオンの海外売上比率69.3%は世界市場成長の取り込み余地を示唆。新興国比率（インド・中東・アフリカ）は現状アジア・オセアニア20.5億円（連結比5.2%）と僅少で、ここが成長の最大変数。</w:t>
      </w:r>
    </w:p>
    <w:p>
      <w:pPr>
        <w:spacing w:before="160" w:after="60"/>
      </w:pPr>
      <w:r>
        <w:rPr>
          <w:b/>
          <w:sz w:val="24"/>
          <w:rFonts w:eastAsia="Yu Gothic" w:ascii="Arial" w:hAnsi="Arial"/>
        </w:rPr>
        <w:t>2-2. 対象会社のシェア</w:t>
      </w:r>
    </w:p>
    <w:p>
      <w:pPr>
        <w:spacing w:before="0" w:after="40"/>
      </w:pPr>
      <w:r>
        <w:rPr>
          <w:rFonts w:ascii="Arial" w:hAnsi="Arial"/>
          <w:sz w:val="21"/>
          <w:rFonts w:eastAsia="Yu Gothic" w:ascii="Arial" w:hAnsi="Arial"/>
        </w:rPr>
        <w:t>**現状シェア**：包あん機の世界市場規模単独データは公開されていないが、定性情報として：</w:t>
      </w:r>
    </w:p>
    <w:p>
      <w:pPr>
        <w:pStyle w:val="ListBullet"/>
        <w:spacing w:after="20"/>
      </w:pPr>
      <w:r>
        <w:rPr>
          <w:sz w:val="21"/>
          <w:rFonts w:eastAsia="Yu Gothic" w:ascii="Arial" w:hAnsi="Arial"/>
        </w:rPr>
        <w:t>130カ国・1.74万社への出荷実績、グローバルニッチトップ100選認定 [出典: Nomura IR、経産省]。</w:t>
      </w:r>
    </w:p>
    <w:p>
      <w:pPr>
        <w:pStyle w:val="ListBullet"/>
        <w:spacing w:after="20"/>
      </w:pPr>
      <w:r>
        <w:rPr>
          <w:sz w:val="21"/>
          <w:rFonts w:eastAsia="Yu Gothic" w:ascii="Arial" w:hAnsi="Arial"/>
        </w:rPr>
        <w:t>国内競合はコバード（非上場、福井県）のみ。包あん機専業の上場競合は世界的に存在しない [出典: Nomura IR p.37]。</w:t>
      </w:r>
    </w:p>
    <w:p>
      <w:pPr>
        <w:pStyle w:val="ListBullet"/>
        <w:spacing w:after="20"/>
      </w:pPr>
      <w:r>
        <w:rPr>
          <w:sz w:val="21"/>
          <w:rFonts w:eastAsia="Yu Gothic" w:ascii="Arial" w:hAnsi="Arial"/>
        </w:rPr>
        <w:t>食品加工機械事業の地域別売上：日本115億・北米南米48億・欧州46億・アジア21億（FY2025）。「日本」セグメントには国内向け+本社からアジア向け輸出を含み、欧米よりも本社費控除前利益率が高い構造 [出典: 有報、Nomura IR p.27]。</w:t>
      </w:r>
    </w:p>
    <w:p>
      <w:pPr>
        <w:spacing w:before="120" w:after="40"/>
      </w:pPr>
      <w:r>
        <w:rPr>
          <w:b/>
          <w:sz w:val="21"/>
          <w:rFonts w:eastAsia="Yu Gothic" w:ascii="Arial" w:hAnsi="Arial"/>
        </w:rPr>
        <w:t>スイッチング発生メカニズム</w:t>
      </w:r>
    </w:p>
    <w:p>
      <w:pPr>
        <w:spacing w:before="0" w:after="40"/>
      </w:pPr>
      <w:r>
        <w:rPr>
          <w:rFonts w:ascii="Arial" w:hAnsi="Arial"/>
          <w:sz w:val="21"/>
          <w:rFonts w:eastAsia="Yu Gothic" w:ascii="Arial" w:hAnsi="Arial"/>
        </w:rPr>
        <w:t>**観察事実**：機械事業はBtoB資本財・受注生産型で、スイッチングは限定的タイミングで発生する。</w:t>
      </w:r>
    </w:p>
    <w:p>
      <w:pPr>
        <w:spacing w:before="0" w:after="40"/>
      </w:pPr>
      <w:r>
        <w:rPr>
          <w:rFonts w:ascii="Arial" w:hAnsi="Arial"/>
          <w:sz w:val="21"/>
          <w:rFonts w:eastAsia="Yu Gothic" w:ascii="Arial" w:hAnsi="Arial"/>
        </w:rPr>
        <w:t>**スイッチングタイミング**：(i)新規工場立ち上げ／新製品立ち上げ時、(ii)既存機械の更新（耐用年数経過、約10-15年と推定）、(iii)規格変更・HACCP対応・サニタリー水準引き上げ等規制対応、(iv)生産能力増強。**スイッチングコスト**：機械単体導入は中程度（数千万円〜億円規模で更新は容易）、製パン全自動ライン導入は高（億円〜十億円規模、設置調整に数ヶ月、操業ノウハウ移植リスク）。結果として、製パンライン領域は一度導入されると長期定着、包あん機単体は中国安価機への置き換えが起こり得る非対称構造。</w:t>
      </w:r>
    </w:p>
    <w:p>
      <w:pPr>
        <w:spacing w:before="120" w:after="40"/>
      </w:pPr>
      <w:r>
        <w:rPr>
          <w:b/>
          <w:sz w:val="21"/>
          <w:rFonts w:eastAsia="Yu Gothic" w:ascii="Arial" w:hAnsi="Arial"/>
        </w:rPr>
        <w:t>KBF（Key Buying Factor）と充足度</w:t>
      </w:r>
    </w:p>
    <w:p>
      <w:pPr>
        <w:spacing w:before="0" w:after="40"/>
      </w:pPr>
      <w:r>
        <w:rPr>
          <w:rFonts w:ascii="Arial" w:hAnsi="Arial"/>
          <w:sz w:val="21"/>
          <w:rFonts w:eastAsia="Yu Gothic" w:ascii="Arial" w:hAnsi="Arial"/>
        </w:rPr>
        <w:t>**(a) 新規採用時のKBF**</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3118"/>
            <w:shd w:val="clear" w:color="auto" w:fill="1F4E78"/>
          </w:tcPr>
          <w:p>
            <w:r>
              <w:rPr>
                <w:color w:val="FFFFFF"/>
              </w:rPr>
            </w:r>
            <w:r>
              <w:rPr>
                <w:rFonts w:ascii="Arial" w:hAnsi="Arial"/>
                <w:b/>
                <w:color w:val="FFFFFF"/>
                <w:sz w:val="18"/>
                <w:rFonts w:eastAsia="Yu Gothic" w:ascii="Arial" w:hAnsi="Arial"/>
              </w:rPr>
              <w:t>KBF</w:t>
            </w:r>
          </w:p>
        </w:tc>
        <w:tc>
          <w:tcPr>
            <w:tcW w:type="dxa" w:w="1134"/>
            <w:shd w:val="clear" w:color="auto" w:fill="1F4E78"/>
          </w:tcPr>
          <w:p>
            <w:r>
              <w:rPr>
                <w:color w:val="FFFFFF"/>
              </w:rPr>
            </w:r>
            <w:r>
              <w:rPr>
                <w:rFonts w:ascii="Arial" w:hAnsi="Arial"/>
                <w:b/>
                <w:color w:val="FFFFFF"/>
                <w:sz w:val="18"/>
                <w:rFonts w:eastAsia="Yu Gothic" w:ascii="Arial" w:hAnsi="Arial"/>
              </w:rPr>
              <w:t>重要度（仮説）</w:t>
            </w:r>
          </w:p>
        </w:tc>
        <w:tc>
          <w:tcPr>
            <w:tcW w:type="dxa" w:w="964"/>
            <w:shd w:val="clear" w:color="auto" w:fill="1F4E78"/>
          </w:tcPr>
          <w:p>
            <w:r>
              <w:rPr>
                <w:color w:val="FFFFFF"/>
              </w:rPr>
            </w:r>
            <w:r>
              <w:rPr>
                <w:rFonts w:ascii="Arial" w:hAnsi="Arial"/>
                <w:b/>
                <w:color w:val="FFFFFF"/>
                <w:sz w:val="18"/>
                <w:rFonts w:eastAsia="Yu Gothic" w:ascii="Arial" w:hAnsi="Arial"/>
              </w:rPr>
              <w:t>対象企業</w:t>
            </w:r>
          </w:p>
        </w:tc>
        <w:tc>
          <w:tcPr>
            <w:tcW w:type="dxa" w:w="964"/>
            <w:shd w:val="clear" w:color="auto" w:fill="1F4E78"/>
          </w:tcPr>
          <w:p>
            <w:r>
              <w:rPr>
                <w:color w:val="FFFFFF"/>
              </w:rPr>
            </w:r>
            <w:r>
              <w:rPr>
                <w:rFonts w:ascii="Arial" w:hAnsi="Arial"/>
                <w:b/>
                <w:color w:val="FFFFFF"/>
                <w:sz w:val="18"/>
                <w:rFonts w:eastAsia="Yu Gothic" w:ascii="Arial" w:hAnsi="Arial"/>
              </w:rPr>
              <w:t>コバード</w:t>
            </w:r>
          </w:p>
        </w:tc>
        <w:tc>
          <w:tcPr>
            <w:tcW w:type="dxa" w:w="1417"/>
            <w:shd w:val="clear" w:color="auto" w:fill="1F4E78"/>
          </w:tcPr>
          <w:p>
            <w:r>
              <w:rPr>
                <w:color w:val="FFFFFF"/>
              </w:rPr>
            </w:r>
            <w:r>
              <w:rPr>
                <w:rFonts w:ascii="Arial" w:hAnsi="Arial"/>
                <w:b/>
                <w:color w:val="FFFFFF"/>
                <w:sz w:val="18"/>
                <w:rFonts w:eastAsia="Yu Gothic" w:ascii="Arial" w:hAnsi="Arial"/>
              </w:rPr>
              <w:t>Rondo/Rademaker等</w:t>
            </w:r>
          </w:p>
        </w:tc>
        <w:tc>
          <w:tcPr>
            <w:tcW w:type="dxa" w:w="907"/>
            <w:shd w:val="clear" w:color="auto" w:fill="1F4E78"/>
          </w:tcPr>
          <w:p>
            <w:r>
              <w:rPr>
                <w:color w:val="FFFFFF"/>
              </w:rPr>
            </w:r>
            <w:r>
              <w:rPr>
                <w:rFonts w:ascii="Arial" w:hAnsi="Arial"/>
                <w:b/>
                <w:color w:val="FFFFFF"/>
                <w:sz w:val="18"/>
                <w:rFonts w:eastAsia="Yu Gothic" w:ascii="Arial" w:hAnsi="Arial"/>
              </w:rPr>
              <w:t>中国系</w:t>
            </w:r>
          </w:p>
        </w:tc>
      </w:tr>
      <w:tr>
        <w:tc>
          <w:tcPr>
            <w:tcW w:type="dxa" w:w="3118"/>
          </w:tcPr>
          <w:p>
            <w:r/>
            <w:r>
              <w:rPr>
                <w:rFonts w:ascii="Arial" w:hAnsi="Arial"/>
                <w:sz w:val="18"/>
                <w:rFonts w:eastAsia="Yu Gothic" w:ascii="Arial" w:hAnsi="Arial"/>
              </w:rPr>
              <w:t>技術提案力（顧客新製品の共同開発力）</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対応食品の幅広さ（汎用性）</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サンプル品質・歩留・速度</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初期コスト（価格）</w:t>
            </w:r>
          </w:p>
        </w:tc>
        <w:tc>
          <w:tcPr>
            <w:tcW w:type="dxa" w:w="1134"/>
          </w:tcPr>
          <w:p>
            <w:r/>
            <w:r>
              <w:rPr>
                <w:rFonts w:ascii="Arial" w:hAnsi="Arial"/>
                <w:sz w:val="18"/>
                <w:rFonts w:eastAsia="Yu Gothic" w:ascii="Arial" w:hAnsi="Arial"/>
              </w:rPr>
              <w:t>中</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納期</w:t>
            </w:r>
          </w:p>
        </w:tc>
        <w:tc>
          <w:tcPr>
            <w:tcW w:type="dxa" w:w="1134"/>
          </w:tcPr>
          <w:p>
            <w:r/>
            <w:r>
              <w:rPr>
                <w:rFonts w:ascii="Arial" w:hAnsi="Arial"/>
                <w:sz w:val="18"/>
                <w:rFonts w:eastAsia="Yu Gothic" w:ascii="Arial" w:hAnsi="Arial"/>
              </w:rPr>
              <w:t>中</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国際的な対応・サポート</w:t>
            </w:r>
          </w:p>
        </w:tc>
        <w:tc>
          <w:tcPr>
            <w:tcW w:type="dxa" w:w="1134"/>
          </w:tcPr>
          <w:p>
            <w:r/>
            <w:r>
              <w:rPr>
                <w:rFonts w:ascii="Arial" w:hAnsi="Arial"/>
                <w:sz w:val="18"/>
                <w:rFonts w:eastAsia="Yu Gothic" w:ascii="Arial" w:hAnsi="Arial"/>
              </w:rPr>
              <w:t>中</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bl>
    <w:p>
      <w:pPr>
        <w:spacing w:before="0" w:after="40"/>
      </w:pPr>
      <w:r>
        <w:rPr>
          <w:rFonts w:ascii="Arial" w:hAnsi="Arial"/>
          <w:sz w:val="21"/>
          <w:rFonts w:eastAsia="Yu Gothic" w:ascii="Arial" w:hAnsi="Arial"/>
        </w:rPr>
        <w:t>**(b) 既存契約継続時のKBF**</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3118"/>
            <w:shd w:val="clear" w:color="auto" w:fill="1F4E78"/>
          </w:tcPr>
          <w:p>
            <w:r>
              <w:rPr>
                <w:color w:val="FFFFFF"/>
              </w:rPr>
            </w:r>
            <w:r>
              <w:rPr>
                <w:rFonts w:ascii="Arial" w:hAnsi="Arial"/>
                <w:b/>
                <w:color w:val="FFFFFF"/>
                <w:sz w:val="18"/>
                <w:rFonts w:eastAsia="Yu Gothic" w:ascii="Arial" w:hAnsi="Arial"/>
              </w:rPr>
              <w:t>KBF</w:t>
            </w:r>
          </w:p>
        </w:tc>
        <w:tc>
          <w:tcPr>
            <w:tcW w:type="dxa" w:w="1134"/>
            <w:shd w:val="clear" w:color="auto" w:fill="1F4E78"/>
          </w:tcPr>
          <w:p>
            <w:r>
              <w:rPr>
                <w:color w:val="FFFFFF"/>
              </w:rPr>
            </w:r>
            <w:r>
              <w:rPr>
                <w:rFonts w:ascii="Arial" w:hAnsi="Arial"/>
                <w:b/>
                <w:color w:val="FFFFFF"/>
                <w:sz w:val="18"/>
                <w:rFonts w:eastAsia="Yu Gothic" w:ascii="Arial" w:hAnsi="Arial"/>
              </w:rPr>
              <w:t>重要度（仮説）</w:t>
            </w:r>
          </w:p>
        </w:tc>
        <w:tc>
          <w:tcPr>
            <w:tcW w:type="dxa" w:w="964"/>
            <w:shd w:val="clear" w:color="auto" w:fill="1F4E78"/>
          </w:tcPr>
          <w:p>
            <w:r>
              <w:rPr>
                <w:color w:val="FFFFFF"/>
              </w:rPr>
            </w:r>
            <w:r>
              <w:rPr>
                <w:rFonts w:ascii="Arial" w:hAnsi="Arial"/>
                <w:b/>
                <w:color w:val="FFFFFF"/>
                <w:sz w:val="18"/>
                <w:rFonts w:eastAsia="Yu Gothic" w:ascii="Arial" w:hAnsi="Arial"/>
              </w:rPr>
              <w:t>対象企業</w:t>
            </w:r>
          </w:p>
        </w:tc>
        <w:tc>
          <w:tcPr>
            <w:tcW w:type="dxa" w:w="964"/>
            <w:shd w:val="clear" w:color="auto" w:fill="1F4E78"/>
          </w:tcPr>
          <w:p>
            <w:r>
              <w:rPr>
                <w:color w:val="FFFFFF"/>
              </w:rPr>
            </w:r>
            <w:r>
              <w:rPr>
                <w:rFonts w:ascii="Arial" w:hAnsi="Arial"/>
                <w:b/>
                <w:color w:val="FFFFFF"/>
                <w:sz w:val="18"/>
                <w:rFonts w:eastAsia="Yu Gothic" w:ascii="Arial" w:hAnsi="Arial"/>
              </w:rPr>
              <w:t>コバード</w:t>
            </w:r>
          </w:p>
        </w:tc>
        <w:tc>
          <w:tcPr>
            <w:tcW w:type="dxa" w:w="1417"/>
            <w:shd w:val="clear" w:color="auto" w:fill="1F4E78"/>
          </w:tcPr>
          <w:p>
            <w:r>
              <w:rPr>
                <w:color w:val="FFFFFF"/>
              </w:rPr>
            </w:r>
            <w:r>
              <w:rPr>
                <w:rFonts w:ascii="Arial" w:hAnsi="Arial"/>
                <w:b/>
                <w:color w:val="FFFFFF"/>
                <w:sz w:val="18"/>
                <w:rFonts w:eastAsia="Yu Gothic" w:ascii="Arial" w:hAnsi="Arial"/>
              </w:rPr>
              <w:t>Rondo/Rademaker等</w:t>
            </w:r>
          </w:p>
        </w:tc>
        <w:tc>
          <w:tcPr>
            <w:tcW w:type="dxa" w:w="907"/>
            <w:shd w:val="clear" w:color="auto" w:fill="1F4E78"/>
          </w:tcPr>
          <w:p>
            <w:r>
              <w:rPr>
                <w:color w:val="FFFFFF"/>
              </w:rPr>
            </w:r>
            <w:r>
              <w:rPr>
                <w:rFonts w:ascii="Arial" w:hAnsi="Arial"/>
                <w:b/>
                <w:color w:val="FFFFFF"/>
                <w:sz w:val="18"/>
                <w:rFonts w:eastAsia="Yu Gothic" w:ascii="Arial" w:hAnsi="Arial"/>
              </w:rPr>
              <w:t>中国系</w:t>
            </w:r>
          </w:p>
        </w:tc>
      </w:tr>
      <w:tr>
        <w:tc>
          <w:tcPr>
            <w:tcW w:type="dxa" w:w="3118"/>
          </w:tcPr>
          <w:p>
            <w:r/>
            <w:r>
              <w:rPr>
                <w:rFonts w:ascii="Arial" w:hAnsi="Arial"/>
                <w:sz w:val="18"/>
                <w:rFonts w:eastAsia="Yu Gothic" w:ascii="Arial" w:hAnsi="Arial"/>
              </w:rPr>
              <w:t>安定品質・故障率の低さ</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予防保全・アフターサービス網</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部品供給・修理の即応性</w:t>
            </w:r>
          </w:p>
        </w:tc>
        <w:tc>
          <w:tcPr>
            <w:tcW w:type="dxa" w:w="1134"/>
          </w:tcPr>
          <w:p>
            <w:r/>
            <w:r>
              <w:rPr>
                <w:rFonts w:ascii="Arial" w:hAnsi="Arial"/>
                <w:sz w:val="18"/>
                <w:rFonts w:eastAsia="Yu Gothic" w:ascii="Arial" w:hAnsi="Arial"/>
              </w:rPr>
              <w:t>高</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価格改定の柔軟性</w:t>
            </w:r>
          </w:p>
        </w:tc>
        <w:tc>
          <w:tcPr>
            <w:tcW w:type="dxa" w:w="1134"/>
          </w:tcPr>
          <w:p>
            <w:r/>
            <w:r>
              <w:rPr>
                <w:rFonts w:ascii="Arial" w:hAnsi="Arial"/>
                <w:sz w:val="18"/>
                <w:rFonts w:eastAsia="Yu Gothic" w:ascii="Arial" w:hAnsi="Arial"/>
              </w:rPr>
              <w:t>中</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r>
        <w:tc>
          <w:tcPr>
            <w:tcW w:type="dxa" w:w="3118"/>
          </w:tcPr>
          <w:p>
            <w:r/>
            <w:r>
              <w:rPr>
                <w:rFonts w:ascii="Arial" w:hAnsi="Arial"/>
                <w:sz w:val="18"/>
                <w:rFonts w:eastAsia="Yu Gothic" w:ascii="Arial" w:hAnsi="Arial"/>
              </w:rPr>
              <w:t>IoT/MES連携・スマート化対応</w:t>
            </w:r>
          </w:p>
        </w:tc>
        <w:tc>
          <w:tcPr>
            <w:tcW w:type="dxa" w:w="1134"/>
          </w:tcPr>
          <w:p>
            <w:r/>
            <w:r>
              <w:rPr>
                <w:rFonts w:ascii="Arial" w:hAnsi="Arial"/>
                <w:sz w:val="18"/>
                <w:rFonts w:eastAsia="Yu Gothic" w:ascii="Arial" w:hAnsi="Arial"/>
              </w:rPr>
              <w:t>中</w:t>
            </w:r>
          </w:p>
        </w:tc>
        <w:tc>
          <w:tcPr>
            <w:tcW w:type="dxa" w:w="964"/>
          </w:tcPr>
          <w:p>
            <w:r/>
            <w:r>
              <w:rPr>
                <w:rFonts w:ascii="Arial" w:hAnsi="Arial"/>
                <w:sz w:val="18"/>
                <w:rFonts w:eastAsia="Yu Gothic" w:ascii="Arial" w:hAnsi="Arial"/>
              </w:rPr>
              <w:t>◎</w:t>
            </w:r>
          </w:p>
        </w:tc>
        <w:tc>
          <w:tcPr>
            <w:tcW w:type="dxa" w:w="964"/>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907"/>
          </w:tcPr>
          <w:p>
            <w:r/>
            <w:r>
              <w:rPr>
                <w:rFonts w:ascii="Arial" w:hAnsi="Arial"/>
                <w:sz w:val="18"/>
                <w:rFonts w:eastAsia="Yu Gothic" w:ascii="Arial" w:hAnsi="Arial"/>
              </w:rPr>
              <w:t>△</w:t>
            </w:r>
          </w:p>
        </w:tc>
      </w:tr>
    </w:tbl>
    <w:p>
      <w:pPr>
        <w:spacing w:before="0" w:after="40"/>
      </w:pPr>
      <w:r>
        <w:rPr>
          <w:rFonts w:ascii="Arial" w:hAnsi="Arial"/>
          <w:sz w:val="20"/>
          <w:rFonts w:eastAsia="Yu Gothic" w:ascii="Arial" w:hAnsi="Arial"/>
        </w:rPr>
        <w:t>**含意**：レオンの強みは(a)の「技術提案力」と「対応食品の幅広さ」、(b)の「安定品質」「アフターサービス網」「予防保全ノウハウ」に集中する。弱みは「初期コスト」「納期」（製パンラインは現状12カ月超のケースあり [出典: Nomura IR p.27]）。中国系の侵食は包あん機単体の汎用領域に限定的だが、長期では新興国市場の新規採用時の先取りで巻き返される可能性。</w:t>
      </w:r>
    </w:p>
    <w:p>
      <w:pPr>
        <w:spacing w:before="120" w:after="40"/>
      </w:pPr>
      <w:r>
        <w:rPr>
          <w:b/>
          <w:sz w:val="21"/>
          <w:rFonts w:eastAsia="Yu Gothic" w:ascii="Arial" w:hAnsi="Arial"/>
        </w:rPr>
        <w:t>その他のシェア変動要因</w:t>
      </w:r>
    </w:p>
    <w:p>
      <w:pPr>
        <w:pStyle w:val="ListBullet"/>
        <w:spacing w:after="20"/>
      </w:pPr>
      <w:r>
        <w:rPr>
          <w:sz w:val="21"/>
          <w:rFonts w:eastAsia="Yu Gothic" w:ascii="Arial" w:hAnsi="Arial"/>
        </w:rPr>
        <w:t>**特許失効による参入障壁低下**：包あん基本特許は失効済み（日経 2025/5/13明示）。レオンは「高品質な新製品を定期的に上市することでシェアの維持に努め」る方針 [出典: Nomura IR p.42]。</w:t>
      </w:r>
    </w:p>
    <w:p>
      <w:pPr>
        <w:pStyle w:val="ListBullet"/>
        <w:spacing w:after="20"/>
      </w:pPr>
      <w:r>
        <w:rPr>
          <w:sz w:val="21"/>
          <w:rFonts w:eastAsia="Yu Gothic" w:ascii="Arial" w:hAnsi="Arial"/>
        </w:rPr>
        <w:t>**模造品流通**：海外（特に中国）で模造品の流通による失注ケースを会社自身がリスク開示。中国売上は2019年14.9億円→2023年4.99億円へ縮小 [出典: IR briefing FY2024 p.13]。</w:t>
      </w:r>
    </w:p>
    <w:p>
      <w:pPr>
        <w:pStyle w:val="ListBullet"/>
        <w:spacing w:after="20"/>
      </w:pPr>
      <w:r>
        <w:rPr>
          <w:sz w:val="21"/>
          <w:rFonts w:eastAsia="Yu Gothic" w:ascii="Arial" w:hAnsi="Arial"/>
        </w:rPr>
        <w:t>**顧客内製化リスク**：大手食品メーカーが機械を内製化する可能性。ただし包あん機の流動学技術参入障壁が高く、現時点では顕在化していない。</w:t>
      </w:r>
    </w:p>
    <w:p>
      <w:pPr>
        <w:spacing w:before="160" w:after="60"/>
      </w:pPr>
      <w:r>
        <w:rPr>
          <w:b/>
          <w:sz w:val="24"/>
          <w:rFonts w:eastAsia="Yu Gothic" w:ascii="Arial" w:hAnsi="Arial"/>
        </w:rPr>
        <w:t>2-3. 単価・コスト構造</w:t>
      </w:r>
    </w:p>
    <w:p>
      <w:pPr>
        <w:spacing w:before="120" w:after="40"/>
      </w:pPr>
      <w:r>
        <w:rPr>
          <w:b/>
          <w:sz w:val="21"/>
          <w:rFonts w:eastAsia="Yu Gothic" w:ascii="Arial" w:hAnsi="Arial"/>
        </w:rPr>
        <w:t>(a) 単価・主要素材</w:t>
      </w:r>
    </w:p>
    <w:p>
      <w:pPr>
        <w:spacing w:before="0" w:after="40"/>
      </w:pPr>
      <w:r>
        <w:rPr>
          <w:rFonts w:ascii="Arial" w:hAnsi="Arial"/>
          <w:sz w:val="21"/>
          <w:rFonts w:eastAsia="Yu Gothic" w:ascii="Arial" w:hAnsi="Arial"/>
        </w:rPr>
        <w:t>**主要素材（製品分解からの推定）**：包あん機・製パンラインは精密機械装置で、構成は次の通り（推定）：</w:t>
      </w:r>
    </w:p>
    <w:p>
      <w:pPr>
        <w:pStyle w:val="ListBullet"/>
        <w:spacing w:after="20"/>
      </w:pPr>
      <w:r>
        <w:rPr>
          <w:sz w:val="21"/>
          <w:rFonts w:eastAsia="Yu Gothic" w:ascii="Arial" w:hAnsi="Arial"/>
        </w:rPr>
        <w:t>**ステンレス鋼板・ステンレス部材**（食品接触部の衛生上の必須素材）：直近3年でLMEニッケル価格は2022年Q1の25,000ドル/t台→2025年水準15,000ドル/t台（▲40%）と低下傾向だが、加工費・電力含めたステンレス販売価格は底堅く推移 [出典: LME、JISF業界統計]。</w:t>
      </w:r>
    </w:p>
    <w:p>
      <w:pPr>
        <w:pStyle w:val="ListBullet"/>
        <w:spacing w:after="20"/>
      </w:pPr>
      <w:r>
        <w:rPr>
          <w:sz w:val="21"/>
          <w:rFonts w:eastAsia="Yu Gothic" w:ascii="Arial" w:hAnsi="Arial"/>
        </w:rPr>
        <w:t>**アルミ鋳物部品**：子会社㈱レオンアルミで内製。LMEアルミは2022年3,000ドル/t台→2025年水準2,400-2,700ドル/tレンジ（やや低下）。</w:t>
      </w:r>
    </w:p>
    <w:p>
      <w:pPr>
        <w:pStyle w:val="ListBullet"/>
        <w:spacing w:after="20"/>
      </w:pPr>
      <w:r>
        <w:rPr>
          <w:sz w:val="21"/>
          <w:rFonts w:eastAsia="Yu Gothic" w:ascii="Arial" w:hAnsi="Arial"/>
        </w:rPr>
        <w:t>**サーボモーター・制御機器**（精密駆動・コンピュータ制御）：日系メーカー（ヤスカワ、三菱、オムロン等）からの調達と推定。半導体逼迫が緩和し、2024年以降は供給安定・価格は前年並み〜微増傾向 [仮説、業界類推]。</w:t>
      </w:r>
    </w:p>
    <w:p>
      <w:pPr>
        <w:pStyle w:val="ListBullet"/>
        <w:spacing w:after="20"/>
      </w:pPr>
      <w:r>
        <w:rPr>
          <w:sz w:val="21"/>
          <w:rFonts w:eastAsia="Yu Gothic" w:ascii="Arial" w:hAnsi="Arial"/>
        </w:rPr>
        <w:t>**特殊樹脂・コーティング材**（包着盤・非粘着インクラスター部）：少量だがコア技術に直結する高機能素材。価格動向は限定的開示。</w:t>
      </w:r>
    </w:p>
    <w:p>
      <w:pPr>
        <w:spacing w:before="0" w:after="40"/>
      </w:pPr>
      <w:r>
        <w:rPr>
          <w:rFonts w:ascii="Arial" w:hAnsi="Arial"/>
          <w:sz w:val="21"/>
          <w:rFonts w:eastAsia="Yu Gothic" w:ascii="Arial" w:hAnsi="Arial"/>
        </w:rPr>
        <w:t>**コスト圧力**：FY2022（22/3期）に荷造運搬費・原材料費高騰を吸収できず売上総利益率40%台前半まで悪化（過去最低圏）した過去がある。FY2025は価格転嫁・標準化・原価分析改善により売上総利益率45-50%レンジ・営業利益率13.5%（過去最高水準）まで回復 [出典: Nomura IR p.46]。</w:t>
      </w:r>
    </w:p>
    <w:p>
      <w:pPr>
        <w:spacing w:before="0" w:after="40"/>
      </w:pPr>
      <w:r>
        <w:rPr>
          <w:rFonts w:ascii="Arial" w:hAnsi="Arial"/>
          <w:sz w:val="21"/>
          <w:rFonts w:eastAsia="Yu Gothic" w:ascii="Arial" w:hAnsi="Arial"/>
        </w:rPr>
        <w:t>**顧客サイドの圧力**：BtoB資本財のため毎年の単価交渉は生じにくく、機種ごとの設定が中心。顧客（食品メーカー）の食品原価に占める機械減価償却費の比率は1-3%と推定され、単価交渉圧力は穏当。ただし大手菓子卸・大手小売PB向けは納期・コスト圧力が相対的に強い [仮説]。</w:t>
      </w:r>
    </w:p>
    <w:p>
      <w:pPr>
        <w:spacing w:before="120" w:after="40"/>
      </w:pPr>
      <w:r>
        <w:rPr>
          <w:b/>
          <w:sz w:val="21"/>
          <w:rFonts w:eastAsia="Yu Gothic" w:ascii="Arial" w:hAnsi="Arial"/>
        </w:rPr>
        <w:t>(b) コスト構造</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2835"/>
            <w:shd w:val="clear" w:color="auto" w:fill="1F4E78"/>
          </w:tcPr>
          <w:p>
            <w:r>
              <w:rPr>
                <w:color w:val="FFFFFF"/>
              </w:rPr>
            </w:r>
            <w:r>
              <w:rPr>
                <w:rFonts w:ascii="Arial" w:hAnsi="Arial"/>
                <w:b/>
                <w:color w:val="FFFFFF"/>
                <w:sz w:val="18"/>
                <w:rFonts w:eastAsia="Yu Gothic" w:ascii="Arial" w:hAnsi="Arial"/>
              </w:rPr>
              <w:t>指標</w:t>
            </w:r>
          </w:p>
        </w:tc>
        <w:tc>
          <w:tcPr>
            <w:tcW w:type="dxa" w:w="1417"/>
            <w:shd w:val="clear" w:color="auto" w:fill="1F4E78"/>
          </w:tcPr>
          <w:p>
            <w:r>
              <w:rPr>
                <w:color w:val="FFFFFF"/>
              </w:rPr>
            </w:r>
            <w:r>
              <w:rPr>
                <w:rFonts w:ascii="Arial" w:hAnsi="Arial"/>
                <w:b/>
                <w:color w:val="FFFFFF"/>
                <w:sz w:val="18"/>
                <w:rFonts w:eastAsia="Yu Gothic" w:ascii="Arial" w:hAnsi="Arial"/>
              </w:rPr>
              <w:t>FY2021</w:t>
            </w:r>
          </w:p>
        </w:tc>
        <w:tc>
          <w:tcPr>
            <w:tcW w:type="dxa" w:w="1417"/>
            <w:shd w:val="clear" w:color="auto" w:fill="1F4E78"/>
          </w:tcPr>
          <w:p>
            <w:r>
              <w:rPr>
                <w:color w:val="FFFFFF"/>
              </w:rPr>
            </w:r>
            <w:r>
              <w:rPr>
                <w:rFonts w:ascii="Arial" w:hAnsi="Arial"/>
                <w:b/>
                <w:color w:val="FFFFFF"/>
                <w:sz w:val="18"/>
                <w:rFonts w:eastAsia="Yu Gothic" w:ascii="Arial" w:hAnsi="Arial"/>
              </w:rPr>
              <w:t>FY2022</w:t>
            </w:r>
          </w:p>
        </w:tc>
        <w:tc>
          <w:tcPr>
            <w:tcW w:type="dxa" w:w="1417"/>
            <w:shd w:val="clear" w:color="auto" w:fill="1F4E78"/>
          </w:tcPr>
          <w:p>
            <w:r>
              <w:rPr>
                <w:color w:val="FFFFFF"/>
              </w:rPr>
            </w:r>
            <w:r>
              <w:rPr>
                <w:rFonts w:ascii="Arial" w:hAnsi="Arial"/>
                <w:b/>
                <w:color w:val="FFFFFF"/>
                <w:sz w:val="18"/>
                <w:rFonts w:eastAsia="Yu Gothic" w:ascii="Arial" w:hAnsi="Arial"/>
              </w:rPr>
              <w:t>FY2023</w:t>
            </w:r>
          </w:p>
        </w:tc>
        <w:tc>
          <w:tcPr>
            <w:tcW w:type="dxa" w:w="1417"/>
            <w:shd w:val="clear" w:color="auto" w:fill="1F4E78"/>
          </w:tcPr>
          <w:p>
            <w:r>
              <w:rPr>
                <w:color w:val="FFFFFF"/>
              </w:rPr>
            </w:r>
            <w:r>
              <w:rPr>
                <w:rFonts w:ascii="Arial" w:hAnsi="Arial"/>
                <w:b/>
                <w:color w:val="FFFFFF"/>
                <w:sz w:val="18"/>
                <w:rFonts w:eastAsia="Yu Gothic" w:ascii="Arial" w:hAnsi="Arial"/>
              </w:rPr>
              <w:t>FY2024</w:t>
            </w:r>
          </w:p>
        </w:tc>
        <w:tc>
          <w:tcPr>
            <w:tcW w:type="dxa" w:w="1417"/>
            <w:shd w:val="clear" w:color="auto" w:fill="1F4E78"/>
          </w:tcPr>
          <w:p>
            <w:r>
              <w:rPr>
                <w:color w:val="FFFFFF"/>
              </w:rPr>
            </w:r>
            <w:r>
              <w:rPr>
                <w:rFonts w:ascii="Arial" w:hAnsi="Arial"/>
                <w:b/>
                <w:color w:val="FFFFFF"/>
                <w:sz w:val="18"/>
                <w:rFonts w:eastAsia="Yu Gothic" w:ascii="Arial" w:hAnsi="Arial"/>
              </w:rPr>
              <w:t>FY2025</w:t>
            </w:r>
          </w:p>
        </w:tc>
      </w:tr>
      <w:tr>
        <w:tc>
          <w:tcPr>
            <w:tcW w:type="dxa" w:w="2835"/>
          </w:tcPr>
          <w:p>
            <w:r/>
            <w:r>
              <w:rPr>
                <w:rFonts w:ascii="Arial" w:hAnsi="Arial"/>
                <w:sz w:val="18"/>
                <w:rFonts w:eastAsia="Yu Gothic" w:ascii="Arial" w:hAnsi="Arial"/>
              </w:rPr>
              <w:t>売上総利益率</w:t>
            </w:r>
          </w:p>
        </w:tc>
        <w:tc>
          <w:tcPr>
            <w:tcW w:type="dxa" w:w="1417"/>
          </w:tcPr>
          <w:p>
            <w:r/>
            <w:r>
              <w:rPr>
                <w:rFonts w:ascii="Arial" w:hAnsi="Arial"/>
                <w:sz w:val="18"/>
                <w:rFonts w:eastAsia="Yu Gothic" w:ascii="Arial" w:hAnsi="Arial"/>
              </w:rPr>
              <w:t>47%程度</w:t>
            </w:r>
          </w:p>
        </w:tc>
        <w:tc>
          <w:tcPr>
            <w:tcW w:type="dxa" w:w="1417"/>
          </w:tcPr>
          <w:p>
            <w:r/>
            <w:r>
              <w:rPr>
                <w:rFonts w:ascii="Arial" w:hAnsi="Arial"/>
                <w:sz w:val="18"/>
                <w:rFonts w:eastAsia="Yu Gothic" w:ascii="Arial" w:hAnsi="Arial"/>
              </w:rPr>
              <w:t>40%前半</w:t>
            </w:r>
          </w:p>
        </w:tc>
        <w:tc>
          <w:tcPr>
            <w:tcW w:type="dxa" w:w="1417"/>
          </w:tcPr>
          <w:p>
            <w:r/>
            <w:r>
              <w:rPr>
                <w:rFonts w:ascii="Arial" w:hAnsi="Arial"/>
                <w:sz w:val="18"/>
                <w:rFonts w:eastAsia="Yu Gothic" w:ascii="Arial" w:hAnsi="Arial"/>
              </w:rPr>
              <w:t>40%前半</w:t>
            </w:r>
          </w:p>
        </w:tc>
        <w:tc>
          <w:tcPr>
            <w:tcW w:type="dxa" w:w="1417"/>
          </w:tcPr>
          <w:p>
            <w:r/>
            <w:r>
              <w:rPr>
                <w:rFonts w:ascii="Arial" w:hAnsi="Arial"/>
                <w:sz w:val="18"/>
                <w:rFonts w:eastAsia="Yu Gothic" w:ascii="Arial" w:hAnsi="Arial"/>
              </w:rPr>
              <w:t>45%程度</w:t>
            </w:r>
          </w:p>
        </w:tc>
        <w:tc>
          <w:tcPr>
            <w:tcW w:type="dxa" w:w="1417"/>
          </w:tcPr>
          <w:p>
            <w:r/>
            <w:r>
              <w:rPr>
                <w:rFonts w:ascii="Arial" w:hAnsi="Arial"/>
                <w:sz w:val="18"/>
                <w:rFonts w:eastAsia="Yu Gothic" w:ascii="Arial" w:hAnsi="Arial"/>
              </w:rPr>
              <w:t>47-48%程度</w:t>
            </w:r>
          </w:p>
        </w:tc>
      </w:tr>
      <w:tr>
        <w:tc>
          <w:tcPr>
            <w:tcW w:type="dxa" w:w="2835"/>
          </w:tcPr>
          <w:p>
            <w:r/>
            <w:r>
              <w:rPr>
                <w:rFonts w:ascii="Arial" w:hAnsi="Arial"/>
                <w:sz w:val="18"/>
                <w:rFonts w:eastAsia="Yu Gothic" w:ascii="Arial" w:hAnsi="Arial"/>
              </w:rPr>
              <w:t>販管費比率</w:t>
            </w:r>
          </w:p>
        </w:tc>
        <w:tc>
          <w:tcPr>
            <w:tcW w:type="dxa" w:w="1417"/>
          </w:tcPr>
          <w:p>
            <w:r/>
            <w:r>
              <w:rPr>
                <w:rFonts w:ascii="Arial" w:hAnsi="Arial"/>
                <w:sz w:val="18"/>
                <w:rFonts w:eastAsia="Yu Gothic" w:ascii="Arial" w:hAnsi="Arial"/>
              </w:rPr>
              <w:t>41%程度</w:t>
            </w:r>
          </w:p>
        </w:tc>
        <w:tc>
          <w:tcPr>
            <w:tcW w:type="dxa" w:w="1417"/>
          </w:tcPr>
          <w:p>
            <w:r/>
            <w:r>
              <w:rPr>
                <w:rFonts w:ascii="Arial" w:hAnsi="Arial"/>
                <w:sz w:val="18"/>
                <w:rFonts w:eastAsia="Yu Gothic" w:ascii="Arial" w:hAnsi="Arial"/>
              </w:rPr>
              <w:t>37%程度</w:t>
            </w:r>
          </w:p>
        </w:tc>
        <w:tc>
          <w:tcPr>
            <w:tcW w:type="dxa" w:w="1417"/>
          </w:tcPr>
          <w:p>
            <w:r/>
            <w:r>
              <w:rPr>
                <w:rFonts w:ascii="Arial" w:hAnsi="Arial"/>
                <w:sz w:val="18"/>
                <w:rFonts w:eastAsia="Yu Gothic" w:ascii="Arial" w:hAnsi="Arial"/>
              </w:rPr>
              <w:t>31%程度</w:t>
            </w:r>
          </w:p>
        </w:tc>
        <w:tc>
          <w:tcPr>
            <w:tcW w:type="dxa" w:w="1417"/>
          </w:tcPr>
          <w:p>
            <w:r/>
            <w:r>
              <w:rPr>
                <w:rFonts w:ascii="Arial" w:hAnsi="Arial"/>
                <w:sz w:val="18"/>
                <w:rFonts w:eastAsia="Yu Gothic" w:ascii="Arial" w:hAnsi="Arial"/>
              </w:rPr>
              <w:t>32%程度</w:t>
            </w:r>
          </w:p>
        </w:tc>
        <w:tc>
          <w:tcPr>
            <w:tcW w:type="dxa" w:w="1417"/>
          </w:tcPr>
          <w:p>
            <w:r/>
            <w:r>
              <w:rPr>
                <w:rFonts w:ascii="Arial" w:hAnsi="Arial"/>
                <w:sz w:val="18"/>
                <w:rFonts w:eastAsia="Yu Gothic" w:ascii="Arial" w:hAnsi="Arial"/>
              </w:rPr>
              <w:t>32%程度（過去最低水準）</w:t>
            </w:r>
          </w:p>
        </w:tc>
      </w:tr>
      <w:tr>
        <w:tc>
          <w:tcPr>
            <w:tcW w:type="dxa" w:w="2835"/>
          </w:tcPr>
          <w:p>
            <w:r/>
            <w:r>
              <w:rPr>
                <w:rFonts w:ascii="Arial" w:hAnsi="Arial"/>
                <w:sz w:val="18"/>
                <w:rFonts w:eastAsia="Yu Gothic" w:ascii="Arial" w:hAnsi="Arial"/>
              </w:rPr>
              <w:t>営業利益率</w:t>
            </w:r>
          </w:p>
        </w:tc>
        <w:tc>
          <w:tcPr>
            <w:tcW w:type="dxa" w:w="1417"/>
          </w:tcPr>
          <w:p>
            <w:r/>
            <w:r>
              <w:rPr>
                <w:rFonts w:ascii="Arial" w:hAnsi="Arial"/>
                <w:sz w:val="18"/>
                <w:rFonts w:eastAsia="Yu Gothic" w:ascii="Arial" w:hAnsi="Arial"/>
              </w:rPr>
              <w:t>6.3%</w:t>
            </w:r>
          </w:p>
        </w:tc>
        <w:tc>
          <w:tcPr>
            <w:tcW w:type="dxa" w:w="1417"/>
          </w:tcPr>
          <w:p>
            <w:r/>
            <w:r>
              <w:rPr>
                <w:rFonts w:ascii="Arial" w:hAnsi="Arial"/>
                <w:sz w:val="18"/>
                <w:rFonts w:eastAsia="Yu Gothic" w:ascii="Arial" w:hAnsi="Arial"/>
              </w:rPr>
              <w:t>4.1%</w:t>
            </w:r>
          </w:p>
        </w:tc>
        <w:tc>
          <w:tcPr>
            <w:tcW w:type="dxa" w:w="1417"/>
          </w:tcPr>
          <w:p>
            <w:r/>
            <w:r>
              <w:rPr>
                <w:rFonts w:ascii="Arial" w:hAnsi="Arial"/>
                <w:sz w:val="18"/>
                <w:rFonts w:eastAsia="Yu Gothic" w:ascii="Arial" w:hAnsi="Arial"/>
              </w:rPr>
              <w:t>8.5%</w:t>
            </w:r>
          </w:p>
        </w:tc>
        <w:tc>
          <w:tcPr>
            <w:tcW w:type="dxa" w:w="1417"/>
          </w:tcPr>
          <w:p>
            <w:r/>
            <w:r>
              <w:rPr>
                <w:rFonts w:ascii="Arial" w:hAnsi="Arial"/>
                <w:sz w:val="18"/>
                <w:rFonts w:eastAsia="Yu Gothic" w:ascii="Arial" w:hAnsi="Arial"/>
              </w:rPr>
              <w:t>13.0%</w:t>
            </w:r>
          </w:p>
        </w:tc>
        <w:tc>
          <w:tcPr>
            <w:tcW w:type="dxa" w:w="1417"/>
          </w:tcPr>
          <w:p>
            <w:r/>
            <w:r>
              <w:rPr>
                <w:rFonts w:ascii="Arial" w:hAnsi="Arial"/>
                <w:sz w:val="18"/>
                <w:rFonts w:eastAsia="Yu Gothic" w:ascii="Arial" w:hAnsi="Arial"/>
              </w:rPr>
              <w:t>13.5%（過去最高水準）</w:t>
            </w:r>
          </w:p>
        </w:tc>
      </w:tr>
      <w:tr>
        <w:tc>
          <w:tcPr>
            <w:tcW w:type="dxa" w:w="2835"/>
          </w:tcPr>
          <w:p>
            <w:r/>
            <w:r>
              <w:rPr>
                <w:rFonts w:ascii="Arial" w:hAnsi="Arial"/>
                <w:sz w:val="18"/>
                <w:rFonts w:eastAsia="Yu Gothic" w:ascii="Arial" w:hAnsi="Arial"/>
              </w:rPr>
              <w:t>研究開発費（販管費内）</w:t>
            </w:r>
          </w:p>
        </w:tc>
        <w:tc>
          <w:tcPr>
            <w:tcW w:type="dxa" w:w="1417"/>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w:t>
            </w:r>
          </w:p>
        </w:tc>
        <w:tc>
          <w:tcPr>
            <w:tcW w:type="dxa" w:w="1417"/>
          </w:tcPr>
          <w:p>
            <w:r/>
            <w:r>
              <w:rPr>
                <w:rFonts w:ascii="Arial" w:hAnsi="Arial"/>
                <w:sz w:val="18"/>
                <w:rFonts w:eastAsia="Yu Gothic" w:ascii="Arial" w:hAnsi="Arial"/>
              </w:rPr>
              <w:t>7.6億円 (2.0%)</w:t>
            </w:r>
          </w:p>
        </w:tc>
        <w:tc>
          <w:tcPr>
            <w:tcW w:type="dxa" w:w="1417"/>
          </w:tcPr>
          <w:p>
            <w:r/>
            <w:r>
              <w:rPr>
                <w:rFonts w:ascii="Arial" w:hAnsi="Arial"/>
                <w:sz w:val="18"/>
                <w:rFonts w:eastAsia="Yu Gothic" w:ascii="Arial" w:hAnsi="Arial"/>
              </w:rPr>
              <w:t>7.4億円 (1.9%)</w:t>
            </w:r>
          </w:p>
        </w:tc>
      </w:tr>
    </w:tbl>
    <w:p>
      <w:pPr>
        <w:spacing w:before="0" w:after="40"/>
      </w:pPr>
      <w:r>
        <w:rPr>
          <w:rFonts w:ascii="Arial" w:hAnsi="Arial"/>
          <w:i/>
          <w:sz w:val="17"/>
          <w:rFonts w:eastAsia="Yu Gothic" w:ascii="Arial" w:hAnsi="Arial"/>
        </w:rPr>
        <w:t>（注）FY2021-FY2023の総利益率・販管費率はNomura IR p.46記載グラフの読み取り値）。</w:t>
      </w:r>
    </w:p>
    <w:p>
      <w:pPr>
        <w:spacing w:before="0" w:after="40"/>
      </w:pPr>
      <w:r>
        <w:rPr>
          <w:rFonts w:ascii="Arial" w:hAnsi="Arial"/>
          <w:sz w:val="20"/>
          <w:rFonts w:eastAsia="Yu Gothic" w:ascii="Arial" w:hAnsi="Arial"/>
        </w:rPr>
        <w:t>**含意**：販管費比率は2003年48%ピークから2025年32%まで継続改善、レオンの構造的レバレッジ源泉である。売上総利益率は45-50%レンジ＝原材料市況が大きく変動しない限り堅牢。研究開発費は売上比2%程度で上限が固定されており、特許保有457件（国内136、海外321）の維持・拡張がコスト効率的に進行 [出典: Nomura IR p.32]。</w:t>
      </w:r>
    </w:p>
    <w:p>
      <w:pPr>
        <w:spacing w:before="160" w:after="60"/>
      </w:pPr>
      <w:r>
        <w:rPr>
          <w:b/>
          <w:sz w:val="24"/>
          <w:rFonts w:eastAsia="Yu Gothic" w:ascii="Arial" w:hAnsi="Arial"/>
        </w:rPr>
        <w:t>2-4. 事業構造のテンション（Strategic Tensions）</w:t>
      </w:r>
    </w:p>
    <w:p>
      <w:pPr>
        <w:spacing w:before="0" w:after="40"/>
      </w:pPr>
      <w:r>
        <w:rPr>
          <w:rFonts w:ascii="Arial" w:hAnsi="Arial"/>
          <w:sz w:val="21"/>
          <w:rFonts w:eastAsia="Yu Gothic" w:ascii="Arial" w:hAnsi="Arial"/>
        </w:rPr>
        <w:t>**テンション①：包あん機ブランド資産（収益安定）vs 特許失効・模造品（侵食リスク）**</w:t>
      </w:r>
    </w:p>
    <w:p>
      <w:pPr>
        <w:spacing w:before="0" w:after="40"/>
      </w:pPr>
      <w:r>
        <w:rPr>
          <w:rFonts w:ascii="Arial" w:hAnsi="Arial"/>
          <w:sz w:val="20"/>
          <w:rFonts w:eastAsia="Yu Gothic" w:ascii="Arial" w:hAnsi="Arial"/>
        </w:rPr>
        <w:t>現状は「収益安定」サイドに振れており、5期通じて10%超顧客なし・営業利益率24.5%（機械事業）を維持。ただし基本特許失効と中国模造品流通は構造的下押し要因。解消の方向性は**新製品の継続投入**（火星人CN700→KN700のアジア向け派生、シートライン強化）と**スマートファクトリー連携での差別化**。</w:t>
      </w:r>
    </w:p>
    <w:p>
      <w:pPr>
        <w:spacing w:before="0" w:after="40"/>
      </w:pPr>
      <w:r>
        <w:rPr>
          <w:rFonts w:ascii="Arial" w:hAnsi="Arial"/>
          <w:sz w:val="21"/>
          <w:rFonts w:eastAsia="Yu Gothic" w:ascii="Arial" w:hAnsi="Arial"/>
        </w:rPr>
        <w:t>**テンション②：米国オレンジベーカリー依存（販促効果）vs 米国一極集中・関税不透明（地政学リスク）**</w:t>
      </w:r>
    </w:p>
    <w:p>
      <w:pPr>
        <w:spacing w:before="0" w:after="40"/>
      </w:pPr>
      <w:r>
        <w:rPr>
          <w:rFonts w:ascii="Arial" w:hAnsi="Arial"/>
          <w:sz w:val="20"/>
          <w:rFonts w:eastAsia="Yu Gothic" w:ascii="Arial" w:hAnsi="Arial"/>
        </w:rPr>
        <w:t>米国売上198億円（連結50.4%）は、機械事業の販促・実証拠点としてのオレンジベーカリーの戦略的価値の裏返し。現状は「販促効果」サイドに振れているが、トランプ関税の関税起因景気減速が新工場稼働を1年延期させた事実は、依存の代償が顕在化した瞬間。解消の方向性は**新興国（インド・中東・アフリカ）の販路拡大による地理分散**と、欧州・アジアでの大型ライン案件積み上げ。</w:t>
      </w:r>
    </w:p>
    <w:p>
      <w:pPr>
        <w:spacing w:before="0" w:after="40"/>
      </w:pPr>
      <w:r>
        <w:rPr>
          <w:rFonts w:ascii="Arial" w:hAnsi="Arial"/>
          <w:sz w:val="21"/>
          <w:rFonts w:eastAsia="Yu Gothic" w:ascii="Arial" w:hAnsi="Arial"/>
        </w:rPr>
        <w:t>**テンション③：宇都宮一極生産（コスト集中・技術ノウハウ集中）vs BCPリスク（地震・風水害）**</w:t>
      </w:r>
    </w:p>
    <w:p>
      <w:pPr>
        <w:spacing w:before="0" w:after="40"/>
      </w:pPr>
      <w:r>
        <w:rPr>
          <w:rFonts w:ascii="Arial" w:hAnsi="Arial"/>
          <w:sz w:val="20"/>
          <w:rFonts w:eastAsia="Yu Gothic" w:ascii="Arial" w:hAnsi="Arial"/>
        </w:rPr>
        <w:t>製造拠点を宇都宮市・上河内工場1カ所に集中することで規模の経済・技術ノウハウ集約を維持しているが、災害発生時に事業継続困難となるリスクを会社自身が有報で開示 [出典: Nomura IR p.42]。解消の方向性は**限定的な生産機能の海外移管**（ただし包あん機の核心技術は宇都宮維持）か、**同等のバックアップ拠点を持つ同業の買収（インオーガニック）**。</w:t>
      </w:r>
    </w:p>
    <w:p>
      <w:r>
        <w:br w:type="page"/>
      </w:r>
    </w:p>
    <w:p>
      <w:pPr>
        <w:spacing w:before="200" w:after="80"/>
      </w:pPr>
      <w:r>
        <w:rPr>
          <w:b/>
          <w:sz w:val="28"/>
          <w:rFonts w:eastAsia="Yu Gothic" w:ascii="Arial" w:hAnsi="Arial"/>
        </w:rPr>
        <w:t>③ バリューアップの方向性</w:t>
      </w:r>
    </w:p>
    <w:p>
      <w:pPr>
        <w:spacing w:before="0" w:after="40"/>
      </w:pPr>
      <w:r>
        <w:rPr>
          <w:rFonts w:ascii="Arial" w:hAnsi="Arial"/>
          <w:sz w:val="20"/>
          <w:rFonts w:eastAsia="Yu Gothic" w:ascii="Arial" w:hAnsi="Arial"/>
        </w:rPr>
        <w:t>②で抽出した3つのテンションを起点に、「3-1 オーガニック／3-2 インオーガニック／3-3 Exit」の3章で打ち手を整理する。数値はすべて（仮置）であり追加DDで詰める前提。</w:t>
      </w:r>
    </w:p>
    <w:p>
      <w:pPr>
        <w:spacing w:before="160" w:after="60"/>
      </w:pPr>
      <w:r>
        <w:rPr>
          <w:b/>
          <w:sz w:val="24"/>
          <w:rFonts w:eastAsia="Yu Gothic" w:ascii="Arial" w:hAnsi="Arial"/>
        </w:rPr>
        <w:t>3-1. オーガニック</w:t>
      </w:r>
    </w:p>
    <w:p>
      <w:pPr>
        <w:spacing w:before="120" w:after="40"/>
      </w:pPr>
      <w:r>
        <w:rPr>
          <w:b/>
          <w:sz w:val="21"/>
          <w:rFonts w:eastAsia="Yu Gothic" w:ascii="Arial" w:hAnsi="Arial"/>
        </w:rPr>
        <w:t>(a) 売上</w:t>
      </w:r>
    </w:p>
    <w:p>
      <w:pPr>
        <w:spacing w:before="0" w:after="40"/>
      </w:pPr>
      <w:r>
        <w:rPr>
          <w:rFonts w:ascii="Arial" w:hAnsi="Arial"/>
          <w:sz w:val="20"/>
          <w:rFonts w:eastAsia="Yu Gothic" w:ascii="Arial" w:hAnsi="Arial"/>
        </w:rPr>
        <w:t>**(a-1) プライシング改善（単純値上げ）**　打ち手：①汎用包あん機（CN700系）の価格据え置き／高機能ペストリーライン・スマートファクトリー対応モデルの段階的価格改定（年率+2%）。②修理・部品・サブスクリプション型予防保全パッケージの単価引き上げ。仮説の根拠：販管費比率は既に過去最低水準32%、原価面の改善余地より単価面の改善余地が相対的に大きい。定量試算：機械事業売上230億円のうち高付加価値領域50%として、年率+2%×3年で売上+13-15億円・EBITDA+5-7億円（仮置）。実行リスク：競合（中国系）の価格圧力で汎用機の値上げは限定的、高機能領域に絞る必要。</w:t>
      </w:r>
    </w:p>
    <w:p>
      <w:pPr>
        <w:spacing w:before="0" w:after="40"/>
      </w:pPr>
      <w:r>
        <w:rPr>
          <w:rFonts w:ascii="Arial" w:hAnsi="Arial"/>
          <w:sz w:val="20"/>
          <w:rFonts w:eastAsia="Yu Gothic" w:ascii="Arial" w:hAnsi="Arial"/>
        </w:rPr>
        <w:t>**(a-2) 新規顧客拡大**　打ち手：①欧米菓子卸・大手小売PB向け製パンラインの提案強化、②国内では「菓子卸・大手小売・調理冷凍食品等」への新規アプローチ（中計戦略開示通り）、③米国スーパーマーケット向けインストアベーカリー案件の拡大。仮説の根拠：5期連続「10%超顧客なし」の分散構造かつ取引社数1.74万社の母集団から、Top層深掘りより新規開拓余地が大きい。定量試算：欧米Top顧客拡張で機械事業売上+10-15億円／3年、オレンジベーカリー食品BtoBチャネル拡張で食品事業売上+10-20億円／3年。実行リスク：大型案件は受注～納品で12カ月超、納期管理がボトルネック。</w:t>
      </w:r>
    </w:p>
    <w:p>
      <w:pPr>
        <w:spacing w:before="0" w:after="40"/>
      </w:pPr>
      <w:r>
        <w:rPr>
          <w:rFonts w:ascii="Arial" w:hAnsi="Arial"/>
          <w:sz w:val="20"/>
          <w:rFonts w:eastAsia="Yu Gothic" w:ascii="Arial" w:hAnsi="Arial"/>
        </w:rPr>
        <w:t>**(a-3) 新規製品拡充**　打ち手：①トリプルデバイダーVX223、パンチラウンダー2列PR202等のIBA展示新製品の標準化加速、②ロボットによる自動配列ラインの製品化、③スマートファクトリーモデルの実機化（オレンジベーカリー新工場で実証）、④冷凍生地の高加工度製品ライン拡充。仮説の根拠：研究開発費は売上比2%／年7.4億円が継続投下、特許取得ペース直近期48件（国内7+海外41）と高い [出典: Nomura IR p.32]。定量試算：新製品売上構成比を10%→15%に引き上げで売上+20-25億円／3年、利益率は単体機平均より2-3pp高いと仮定しEBITDA+8-12億円。</w:t>
      </w:r>
    </w:p>
    <w:p>
      <w:pPr>
        <w:spacing w:before="0" w:after="40"/>
      </w:pPr>
      <w:r>
        <w:rPr>
          <w:rFonts w:ascii="Arial" w:hAnsi="Arial"/>
          <w:sz w:val="20"/>
          <w:rFonts w:eastAsia="Yu Gothic" w:ascii="Arial" w:hAnsi="Arial"/>
        </w:rPr>
        <w:t>**(a-4) 新規地域展開**　打ち手：①インド：「カチョーリ」向け装置の現地代理店展開、IBA展等での出展継続。②中東・北アフリカ：マアムール向け焼き菓子機の拡販、UAE・サウジ・トルコ販社強化。③中国：食肉・冷凍食品向け新販路、新機種投入。仮説の根拠：小林社長発言「インドや北アフリカで販売代理店を拡充し、安定した売り上げを出したい」（日経 2023/2/27）と中計の地域戦略に整合。定量試算：アジア・オセアニア20.5億円（連結5.2%）を3年で40-50億円・5年で60-80億円へ。EBITDA寄与+10-15億円／5年（仮置）。実行リスク：代理店ネットワーク構築のリードタイム3-5年、現地サービス拠点未整備。</w:t>
      </w:r>
    </w:p>
    <w:p>
      <w:pPr>
        <w:spacing w:before="120" w:after="40"/>
      </w:pPr>
      <w:r>
        <w:rPr>
          <w:b/>
          <w:sz w:val="21"/>
          <w:rFonts w:eastAsia="Yu Gothic" w:ascii="Arial" w:hAnsi="Arial"/>
        </w:rPr>
        <w:t>(b) コスト</w:t>
      </w:r>
    </w:p>
    <w:p>
      <w:pPr>
        <w:spacing w:before="0" w:after="40"/>
      </w:pPr>
      <w:r>
        <w:rPr>
          <w:rFonts w:ascii="Arial" w:hAnsi="Arial"/>
          <w:sz w:val="20"/>
          <w:rFonts w:eastAsia="Yu Gothic" w:ascii="Arial" w:hAnsi="Arial"/>
        </w:rPr>
        <w:t>**(b-1) 原価改善**　打ち手：①標準機の部品共通化・モジュール化（中計で開示）、②上河内工場のオートストア・自動工作機械更新による省人化／省力化、③3D-CAD・PLM・MES・SCM連動による原価分析・改善提案の高度化、④ステンレス・サーボモーター等のサプライチェーン分散・共同購買。定量試算：売上総利益率を現状47-48%から+2pp改善で年商400億ベースで+8億円のEBITDA寄与（仮置、3年で実現）。</w:t>
      </w:r>
    </w:p>
    <w:p>
      <w:pPr>
        <w:spacing w:before="0" w:after="40"/>
      </w:pPr>
      <w:r>
        <w:rPr>
          <w:rFonts w:ascii="Arial" w:hAnsi="Arial"/>
          <w:sz w:val="20"/>
          <w:rFonts w:eastAsia="Yu Gothic" w:ascii="Arial" w:hAnsi="Arial"/>
        </w:rPr>
        <w:t>**(b-2) 販管費改善**　打ち手：①既に販管費比率32%（過去最低水準）まで圧縮済みのため追加余地は限定的、②海外展示会費の費用対効果再検証、③本社一般管理費（FY2025で22.2億円）の効率化、④地域販社の統合・合理化（特に欧州・アジア）。定量試算：販管費比率を32%から31%へ▲1pp圧縮で年商400億で+4億円のEBITDA寄与（仮置）。実行リスク：既に効率水準が高く、過度の削減はサービス品質に影響。</w:t>
      </w:r>
    </w:p>
    <w:p>
      <w:pPr>
        <w:spacing w:before="160" w:after="60"/>
      </w:pPr>
      <w:r>
        <w:rPr>
          <w:b/>
          <w:sz w:val="24"/>
          <w:rFonts w:eastAsia="Yu Gothic" w:ascii="Arial" w:hAnsi="Arial"/>
        </w:rPr>
        <w:t>3-2. インオーガニック</w:t>
      </w:r>
    </w:p>
    <w:p>
      <w:pPr>
        <w:spacing w:before="120" w:after="40"/>
      </w:pPr>
      <w:r>
        <w:rPr>
          <w:b/>
          <w:sz w:val="21"/>
          <w:rFonts w:eastAsia="Yu Gothic" w:ascii="Arial" w:hAnsi="Arial"/>
        </w:rPr>
        <w:t>同業ロールアップ</w:t>
      </w:r>
    </w:p>
    <w:p>
      <w:pPr>
        <w:spacing w:before="0" w:after="40"/>
      </w:pPr>
      <w:r>
        <w:rPr>
          <w:rFonts w:ascii="Arial" w:hAnsi="Arial"/>
          <w:sz w:val="20"/>
          <w:rFonts w:eastAsia="Yu Gothic" w:ascii="Arial" w:hAnsi="Arial"/>
        </w:rPr>
        <w:t>**打ち手**：①コバード（福井、非上場、包あん機専業）の取り込みで国内シェア独占を実現、ブランド・特許・人材を統合。②欧州系製パンライン中堅（Rondo Burgdorf／Rademaker／Fritsch等の事業部単位）を買収し、欧州市場での製パンライン領域強化。③米国系ベーカリー機械（AMF Bakery Systems等）の事業部買収で北米産業ベーカリー市場の規模拡大。**シナジー類型**：規模の経済（仕入・物流）、シェア集約（特に汎用機）、製品ラインアップ拡充、PMI論点はブランド統合・販売チャネル重複・地域販社の役割再設計。**定量試算**（仮置）：コバード型小規模買収で売上+20-30億円・EBITDA+3-5億円／2年。欧米中堅買収で売上+50-80億円・EBITDA+8-15億円／3-5年。</w:t>
      </w:r>
    </w:p>
    <w:p>
      <w:pPr>
        <w:spacing w:before="120" w:after="40"/>
      </w:pPr>
      <w:r>
        <w:rPr>
          <w:b/>
          <w:sz w:val="21"/>
          <w:rFonts w:eastAsia="Yu Gothic" w:ascii="Arial" w:hAnsi="Arial"/>
        </w:rPr>
        <w:t>隣接企業買収による機能強化</w:t>
      </w:r>
    </w:p>
    <w:p>
      <w:pPr>
        <w:spacing w:before="0" w:after="40"/>
      </w:pPr>
      <w:r>
        <w:rPr>
          <w:rFonts w:ascii="Arial" w:hAnsi="Arial"/>
          <w:sz w:val="20"/>
          <w:rFonts w:eastAsia="Yu Gothic" w:ascii="Arial" w:hAnsi="Arial"/>
        </w:rPr>
        <w:t>**打ち手**：①計量・包装・検査機（ゼネラルパッカー、イシダ等の隣接領域）の買収・連携で「成形〜包装」のワンストップ提供を実現。②冷凍生地ハンドリング・冷凍庫機械メーカーの買収で食品製造販売事業（オレンジベーカリー）と機械事業のシナジー強化。③スマートファクトリー連携の制御・SaaSプロバイダー（生産管理MES、画像検査AI）の小規模買収による技術内製化。**シナジー類型**：技術補完・顧客チャネル補完・地域補完。**PMI論点**：技術文化（メカ vs ソフト）の統合、人材リテンション、エコシステム形成。**定量試算**（仮置）：技術系小規模買収（数十億円規模、複数件）で機械事業の単価・利益率を+1-2pp押し上げ、EBITDA+5-10億円／3-5年。</w:t>
      </w:r>
    </w:p>
    <w:p>
      <w:pPr>
        <w:spacing w:before="160" w:after="60"/>
      </w:pPr>
      <w:r>
        <w:rPr>
          <w:b/>
          <w:sz w:val="24"/>
          <w:rFonts w:eastAsia="Yu Gothic" w:ascii="Arial" w:hAnsi="Arial"/>
        </w:rPr>
        <w:t>3-3. Exitの可能性（エクイティストーリー）</w:t>
      </w:r>
    </w:p>
    <w:p>
      <w:pPr>
        <w:spacing w:before="0" w:after="40"/>
      </w:pPr>
      <w:r>
        <w:rPr>
          <w:rFonts w:ascii="Arial" w:hAnsi="Arial"/>
          <w:sz w:val="21"/>
          <w:rFonts w:eastAsia="Yu Gothic" w:ascii="Arial" w:hAnsi="Arial"/>
        </w:rPr>
        <w:t>**想定買い手**：</w:t>
      </w:r>
    </w:p>
    <w:p>
      <w:pPr>
        <w:pStyle w:val="ListBullet"/>
        <w:spacing w:after="20"/>
      </w:pPr>
      <w:r>
        <w:rPr>
          <w:sz w:val="21"/>
          <w:rFonts w:eastAsia="Yu Gothic" w:ascii="Arial" w:hAnsi="Arial"/>
        </w:rPr>
        <w:t>**事業会社（戦略買収）**：①海外食品機械大手（Marel／JBT／GEA／IPSの食品機械部門等）にとって包あん機・アジア拠点獲得は戦略的価値大。②国内重機・産業機械大手（島津・コマツの食品機械参入、トーモク等の包装機系）。③中国・韓国食品機械メーカー（規模拡大狙い）。</w:t>
      </w:r>
    </w:p>
    <w:p>
      <w:pPr>
        <w:pStyle w:val="ListBullet"/>
        <w:spacing w:after="20"/>
      </w:pPr>
      <w:r>
        <w:rPr>
          <w:sz w:val="21"/>
          <w:rFonts w:eastAsia="Yu Gothic" w:ascii="Arial" w:hAnsi="Arial"/>
        </w:rPr>
        <w:t>**PE（再売却・MBO）**：①国内大手PE（KKR・ベインキャピタル・カーライル等）で5年程度のValue-up後再Exit。②グローバルニッチトップ・キャッシュリッチ・ROE改善余地ありの典型的PE案件。</w:t>
      </w:r>
    </w:p>
    <w:p>
      <w:pPr>
        <w:pStyle w:val="ListBullet"/>
        <w:spacing w:after="20"/>
      </w:pPr>
      <w:r>
        <w:rPr>
          <w:sz w:val="21"/>
          <w:rFonts w:eastAsia="Yu Gothic" w:ascii="Arial" w:hAnsi="Arial"/>
        </w:rPr>
        <w:t>**IPO（再上場・既存上場継続）**：MBO後のValue-up→再IPOまたは既存上場のままMBO後 PMV後 reIPOも有力。</w:t>
      </w:r>
    </w:p>
    <w:p>
      <w:pPr>
        <w:spacing w:before="0" w:after="40"/>
      </w:pPr>
      <w:r>
        <w:rPr>
          <w:rFonts w:ascii="Arial" w:hAnsi="Arial"/>
          <w:sz w:val="21"/>
          <w:rFonts w:eastAsia="Yu Gothic" w:ascii="Arial" w:hAnsi="Arial"/>
        </w:rPr>
        <w:t>**想定マルチプル**：</w:t>
      </w:r>
    </w:p>
    <w:p>
      <w:pPr>
        <w:pStyle w:val="ListBullet"/>
        <w:spacing w:after="20"/>
      </w:pPr>
      <w:r>
        <w:rPr>
          <w:sz w:val="21"/>
          <w:rFonts w:eastAsia="Yu Gothic" w:ascii="Arial" w:hAnsi="Arial"/>
        </w:rPr>
        <w:t>業界EV/EBITDAレンジ：ニッチトップ系産業機械国内案件は8-12倍、海外戦略買収プレミアムを考慮し9-13倍を想定（仮置）。</w:t>
      </w:r>
    </w:p>
    <w:p>
      <w:pPr>
        <w:pStyle w:val="ListBullet"/>
        <w:spacing w:after="20"/>
      </w:pPr>
      <w:r>
        <w:rPr>
          <w:sz w:val="21"/>
          <w:rFonts w:eastAsia="Yu Gothic" w:ascii="Arial" w:hAnsi="Arial"/>
        </w:rPr>
        <w:t>PER：ピア（ゼネラルパッカー10.6%営業利益率／鈴茂器工12.1%／日阪7.6%）の中で同社13.5%は最上位、PER13-16倍が妥当（仮置）。</w:t>
      </w:r>
    </w:p>
    <w:p>
      <w:pPr>
        <w:pStyle w:val="ListBullet"/>
        <w:spacing w:after="20"/>
      </w:pPr>
      <w:r>
        <w:rPr>
          <w:sz w:val="21"/>
          <w:rFonts w:eastAsia="Yu Gothic" w:ascii="Arial" w:hAnsi="Arial"/>
        </w:rPr>
        <w:t>足元実績：時価総額427億円、PER 11.3倍、PBR 0.98倍（2026/3/5時点、Nomura IR p.1）── 上場ピアのバリュエーションは現状やや割安水準。</w:t>
      </w:r>
    </w:p>
    <w:p>
      <w:pPr>
        <w:spacing w:before="0" w:after="40"/>
      </w:pPr>
      <w:r>
        <w:rPr>
          <w:rFonts w:ascii="Arial" w:hAnsi="Arial"/>
          <w:sz w:val="21"/>
          <w:rFonts w:eastAsia="Yu Gothic" w:ascii="Arial" w:hAnsi="Arial"/>
        </w:rPr>
        <w:t>**5年後Exit想定**：FY2030/3 想定EBITDA 80-110億円（後述Bridge参照）×Exitマルチプル9-12倍 = EV 720〜1,320億円。現状EV（時価総額－ネットキャッシュ）約230-280億円から2.5-5倍のレンジでEV成長余地（仮置、為替・市場環境一定の前提）。</w:t>
      </w:r>
    </w:p>
    <w:p>
      <w:pPr>
        <w:spacing w:before="0" w:after="40"/>
      </w:pPr>
      <w:r>
        <w:rPr>
          <w:rFonts w:ascii="Arial" w:hAnsi="Arial"/>
          <w:sz w:val="21"/>
          <w:rFonts w:eastAsia="Yu Gothic" w:ascii="Arial" w:hAnsi="Arial"/>
        </w:rPr>
        <w:t>**エクイティストーリー（Exit時）**：</w:t>
      </w:r>
    </w:p>
    <w:p>
      <w:pPr>
        <w:spacing w:before="0" w:after="40"/>
      </w:pPr>
      <w:r>
        <w:rPr>
          <w:rFonts w:ascii="Arial" w:hAnsi="Arial"/>
          <w:sz w:val="20"/>
          <w:rFonts w:eastAsia="Yu Gothic" w:ascii="Arial" w:hAnsi="Arial"/>
        </w:rPr>
        <w:t>「日本発のグローバル食品機械ニッチトップとして、創業期の包あん機の枠を超え、アルチザン製パンライン／スマートファクトリー／新興国食文化向け装置のフルラインアッププロバイダーへ進化。オレンジベーカリーをスマートファクトリー実証拠点として最大活用し、機械×食品BtoBの垂直統合モデルでROE15%超のグローバル産業機械プラットフォームへ転換。」</w:t>
      </w:r>
    </w:p>
    <w:p>
      <w:pPr>
        <w:spacing w:before="120" w:after="40"/>
      </w:pPr>
      <w:r>
        <w:rPr>
          <w:b/>
          <w:sz w:val="21"/>
          <w:rFonts w:eastAsia="Yu Gothic" w:ascii="Arial" w:hAnsi="Arial"/>
        </w:rPr>
        <w:t>Value-up Bridge（必須3行構成、単位：EBITDA億円）</w:t>
      </w:r>
    </w:p>
    <w:p>
      <w:pPr>
        <w:spacing w:before="0" w:after="40"/>
      </w:pPr>
      <w:r>
        <w:rPr>
          <w:rFonts w:ascii="Arial" w:hAnsi="Arial"/>
          <w:i/>
          <w:sz w:val="18"/>
          <w:rFonts w:eastAsia="Yu Gothic" w:ascii="Arial" w:hAnsi="Arial"/>
        </w:rPr>
        <w:t>EBITDA = 営業利益 + 減価償却費。FY2025連結EBITDA = 53.0 + 14.9 = 67.9億円</w:t>
      </w:r>
    </w:p>
    <w:tbl>
      <w:tblPr>
        <w:tblStyle w:val="LightGrid-Accent1"/>
        <w:tblW w:type="auto" w:w="0"/>
        <w:tblLook w:firstColumn="1" w:firstRow="1" w:lastColumn="0" w:lastRow="0" w:noHBand="0" w:noVBand="1" w:val="04A0"/>
      </w:tblPr>
      <w:tblGrid>
        <w:gridCol w:w="2256"/>
        <w:gridCol w:w="2256"/>
        <w:gridCol w:w="2256"/>
        <w:gridCol w:w="2256"/>
      </w:tblGrid>
      <w:tr>
        <w:tc>
          <w:tcPr>
            <w:tcW w:type="dxa" w:w="2551"/>
            <w:shd w:val="clear" w:color="auto" w:fill="1F4E78"/>
          </w:tcPr>
          <w:p>
            <w:r>
              <w:rPr>
                <w:color w:val="FFFFFF"/>
              </w:rPr>
            </w:r>
            <w:r>
              <w:rPr>
                <w:rFonts w:ascii="Arial" w:hAnsi="Arial"/>
                <w:b/>
                <w:color w:val="FFFFFF"/>
                <w:sz w:val="18"/>
                <w:rFonts w:eastAsia="Yu Gothic" w:ascii="Arial" w:hAnsi="Arial"/>
              </w:rPr>
              <w:t>項目</w:t>
            </w:r>
          </w:p>
        </w:tc>
        <w:tc>
          <w:tcPr>
            <w:tcW w:type="dxa" w:w="1984"/>
            <w:shd w:val="clear" w:color="auto" w:fill="1F4E78"/>
          </w:tcPr>
          <w:p>
            <w:r>
              <w:rPr>
                <w:color w:val="FFFFFF"/>
              </w:rPr>
            </w:r>
            <w:r>
              <w:rPr>
                <w:rFonts w:ascii="Arial" w:hAnsi="Arial"/>
                <w:b/>
                <w:color w:val="FFFFFF"/>
                <w:sz w:val="18"/>
                <w:rFonts w:eastAsia="Yu Gothic" w:ascii="Arial" w:hAnsi="Arial"/>
              </w:rPr>
              <w:t>EBITDA（億円）／レンジ</w:t>
            </w:r>
          </w:p>
        </w:tc>
        <w:tc>
          <w:tcPr>
            <w:tcW w:type="dxa" w:w="4252"/>
            <w:shd w:val="clear" w:color="auto" w:fill="1F4E78"/>
          </w:tcPr>
          <w:p>
            <w:r>
              <w:rPr>
                <w:color w:val="FFFFFF"/>
              </w:rPr>
            </w:r>
            <w:r>
              <w:rPr>
                <w:rFonts w:ascii="Arial" w:hAnsi="Arial"/>
                <w:b/>
                <w:color w:val="FFFFFF"/>
                <w:sz w:val="18"/>
                <w:rFonts w:eastAsia="Yu Gothic" w:ascii="Arial" w:hAnsi="Arial"/>
              </w:rPr>
              <w:t>寄与の論拠</w:t>
            </w:r>
          </w:p>
        </w:tc>
        <w:tc>
          <w:tcPr>
            <w:tcW w:type="dxa" w:w="850"/>
            <w:shd w:val="clear" w:color="auto" w:fill="1F4E78"/>
          </w:tcPr>
          <w:p>
            <w:r>
              <w:rPr>
                <w:color w:val="FFFFFF"/>
              </w:rPr>
            </w:r>
            <w:r>
              <w:rPr>
                <w:rFonts w:ascii="Arial" w:hAnsi="Arial"/>
                <w:b/>
                <w:color w:val="FFFFFF"/>
                <w:sz w:val="18"/>
                <w:rFonts w:eastAsia="Yu Gothic" w:ascii="Arial" w:hAnsi="Arial"/>
              </w:rPr>
              <w:t>達成期間</w:t>
            </w:r>
          </w:p>
        </w:tc>
      </w:tr>
      <w:tr>
        <w:tc>
          <w:tcPr>
            <w:tcW w:type="dxa" w:w="2551"/>
          </w:tcPr>
          <w:p>
            <w:r/>
            <w:r>
              <w:rPr>
                <w:rFonts w:ascii="Arial" w:hAnsi="Arial"/>
                <w:sz w:val="18"/>
                <w:rFonts w:eastAsia="Yu Gothic" w:ascii="Arial" w:hAnsi="Arial"/>
              </w:rPr>
              <w:t>現状EBITDA（FY2025連結）</w:t>
            </w:r>
          </w:p>
        </w:tc>
        <w:tc>
          <w:tcPr>
            <w:tcW w:type="dxa" w:w="1984"/>
          </w:tcPr>
          <w:p>
            <w:r/>
            <w:r>
              <w:rPr>
                <w:rFonts w:ascii="Arial" w:hAnsi="Arial"/>
                <w:sz w:val="18"/>
                <w:rFonts w:eastAsia="Yu Gothic" w:ascii="Arial" w:hAnsi="Arial"/>
              </w:rPr>
              <w:t>68</w:t>
            </w:r>
          </w:p>
        </w:tc>
        <w:tc>
          <w:tcPr>
            <w:tcW w:type="dxa" w:w="4252"/>
          </w:tcPr>
          <w:p>
            <w:r/>
            <w:r>
              <w:rPr>
                <w:rFonts w:ascii="Arial" w:hAnsi="Arial"/>
                <w:sz w:val="18"/>
                <w:rFonts w:eastAsia="Yu Gothic" w:ascii="Arial" w:hAnsi="Arial"/>
              </w:rPr>
              <w:t>営業利益53.0億円＋減価償却14.9億円</w:t>
            </w:r>
          </w:p>
        </w:tc>
        <w:tc>
          <w:tcPr>
            <w:tcW w:type="dxa" w:w="850"/>
          </w:tcPr>
          <w:p>
            <w:r/>
            <w:r>
              <w:rPr>
                <w:rFonts w:ascii="Arial" w:hAnsi="Arial"/>
                <w:sz w:val="18"/>
                <w:rFonts w:eastAsia="Yu Gothic" w:ascii="Arial" w:hAnsi="Arial"/>
              </w:rPr>
              <w:t>—</w:t>
            </w:r>
          </w:p>
        </w:tc>
      </w:tr>
      <w:tr>
        <w:tc>
          <w:tcPr>
            <w:tcW w:type="dxa" w:w="2551"/>
          </w:tcPr>
          <w:p>
            <w:r/>
            <w:r>
              <w:rPr>
                <w:rFonts w:ascii="Arial" w:hAnsi="Arial"/>
                <w:sz w:val="18"/>
                <w:rFonts w:eastAsia="Yu Gothic" w:ascii="Arial" w:hAnsi="Arial"/>
              </w:rPr>
              <w:t>＋ オーガニック</w:t>
            </w:r>
          </w:p>
        </w:tc>
        <w:tc>
          <w:tcPr>
            <w:tcW w:type="dxa" w:w="1984"/>
          </w:tcPr>
          <w:p>
            <w:r/>
            <w:r>
              <w:rPr>
                <w:rFonts w:ascii="Arial" w:hAnsi="Arial"/>
                <w:sz w:val="18"/>
                <w:rFonts w:eastAsia="Yu Gothic" w:ascii="Arial" w:hAnsi="Arial"/>
              </w:rPr>
              <w:t>+15〜25</w:t>
            </w:r>
          </w:p>
        </w:tc>
        <w:tc>
          <w:tcPr>
            <w:tcW w:type="dxa" w:w="4252"/>
          </w:tcPr>
          <w:p>
            <w:r/>
            <w:r>
              <w:rPr>
                <w:rFonts w:ascii="Arial" w:hAnsi="Arial"/>
                <w:sz w:val="18"/>
                <w:rFonts w:eastAsia="Yu Gothic" w:ascii="Arial" w:hAnsi="Arial"/>
              </w:rPr>
              <w:t>(a)売上ドライバー4項目：プライシング+5-7／新規顧客+5-8／新規製品+8-12／新規地域+10-15、(b)コスト2項目：原価改善+8／販管費改善+4。打ち手の重複・実現確度を勘案して合計15-25億円（仮置）</w:t>
            </w:r>
          </w:p>
        </w:tc>
        <w:tc>
          <w:tcPr>
            <w:tcW w:type="dxa" w:w="850"/>
          </w:tcPr>
          <w:p>
            <w:r/>
            <w:r>
              <w:rPr>
                <w:rFonts w:ascii="Arial" w:hAnsi="Arial"/>
                <w:sz w:val="18"/>
                <w:rFonts w:eastAsia="Yu Gothic" w:ascii="Arial" w:hAnsi="Arial"/>
              </w:rPr>
              <w:t>〜5年</w:t>
            </w:r>
          </w:p>
        </w:tc>
      </w:tr>
      <w:tr>
        <w:tc>
          <w:tcPr>
            <w:tcW w:type="dxa" w:w="2551"/>
          </w:tcPr>
          <w:p>
            <w:r/>
            <w:r>
              <w:rPr>
                <w:rFonts w:ascii="Arial" w:hAnsi="Arial"/>
                <w:sz w:val="18"/>
                <w:rFonts w:eastAsia="Yu Gothic" w:ascii="Arial" w:hAnsi="Arial"/>
              </w:rPr>
              <w:t>＋ インオーガニック</w:t>
            </w:r>
          </w:p>
        </w:tc>
        <w:tc>
          <w:tcPr>
            <w:tcW w:type="dxa" w:w="1984"/>
          </w:tcPr>
          <w:p>
            <w:r/>
            <w:r>
              <w:rPr>
                <w:rFonts w:ascii="Arial" w:hAnsi="Arial"/>
                <w:sz w:val="18"/>
                <w:rFonts w:eastAsia="Yu Gothic" w:ascii="Arial" w:hAnsi="Arial"/>
              </w:rPr>
              <w:t>+10〜20</w:t>
            </w:r>
          </w:p>
        </w:tc>
        <w:tc>
          <w:tcPr>
            <w:tcW w:type="dxa" w:w="4252"/>
          </w:tcPr>
          <w:p>
            <w:r/>
            <w:r>
              <w:rPr>
                <w:rFonts w:ascii="Arial" w:hAnsi="Arial"/>
                <w:sz w:val="18"/>
                <w:rFonts w:eastAsia="Yu Gothic" w:ascii="Arial" w:hAnsi="Arial"/>
              </w:rPr>
              <w:t>同業ロールアップ（コバード型小規模+3-5億／欧米中堅買収+8-15億）と隣接企業買収（技術補完+5-10億）の合算（仮置）</w:t>
            </w:r>
          </w:p>
        </w:tc>
        <w:tc>
          <w:tcPr>
            <w:tcW w:type="dxa" w:w="850"/>
          </w:tcPr>
          <w:p>
            <w:r/>
            <w:r>
              <w:rPr>
                <w:rFonts w:ascii="Arial" w:hAnsi="Arial"/>
                <w:sz w:val="18"/>
                <w:rFonts w:eastAsia="Yu Gothic" w:ascii="Arial" w:hAnsi="Arial"/>
              </w:rPr>
              <w:t>〜5年</w:t>
            </w:r>
          </w:p>
        </w:tc>
      </w:tr>
      <w:tr>
        <w:tc>
          <w:tcPr>
            <w:tcW w:type="dxa" w:w="2551"/>
          </w:tcPr>
          <w:p>
            <w:r/>
            <w:r>
              <w:rPr>
                <w:rFonts w:ascii="Arial" w:hAnsi="Arial"/>
                <w:sz w:val="18"/>
                <w:rFonts w:eastAsia="Yu Gothic" w:ascii="Arial" w:hAnsi="Arial"/>
              </w:rPr>
              <w:t>**5年後想定EBITDA**</w:t>
            </w:r>
          </w:p>
        </w:tc>
        <w:tc>
          <w:tcPr>
            <w:tcW w:type="dxa" w:w="1984"/>
          </w:tcPr>
          <w:p>
            <w:r/>
            <w:r>
              <w:rPr>
                <w:rFonts w:ascii="Arial" w:hAnsi="Arial"/>
                <w:sz w:val="18"/>
                <w:rFonts w:eastAsia="Yu Gothic" w:ascii="Arial" w:hAnsi="Arial"/>
              </w:rPr>
              <w:t>**93〜113**</w:t>
            </w:r>
          </w:p>
        </w:tc>
        <w:tc>
          <w:tcPr>
            <w:tcW w:type="dxa" w:w="4252"/>
          </w:tcPr>
          <w:p>
            <w:r/>
            <w:r>
              <w:rPr>
                <w:rFonts w:ascii="Arial" w:hAnsi="Arial"/>
                <w:sz w:val="18"/>
                <w:rFonts w:eastAsia="Yu Gothic" w:ascii="Arial" w:hAnsi="Arial"/>
              </w:rPr>
              <w:t>**FY2030/3 想定EBITDA**</w:t>
            </w:r>
          </w:p>
        </w:tc>
        <w:tc>
          <w:tcPr>
            <w:tcW w:type="dxa" w:w="850"/>
          </w:tcPr>
          <w:p>
            <w:r/>
            <w:r>
              <w:rPr>
                <w:rFonts w:ascii="Arial" w:hAnsi="Arial"/>
                <w:sz w:val="18"/>
                <w:rFonts w:eastAsia="Yu Gothic" w:ascii="Arial" w:hAnsi="Arial"/>
              </w:rPr>
              <w:t>—</w:t>
            </w:r>
          </w:p>
        </w:tc>
      </w:tr>
    </w:tbl>
    <w:p>
      <w:pPr>
        <w:spacing w:before="0" w:after="40"/>
      </w:pPr>
      <w:r>
        <w:rPr>
          <w:rFonts w:ascii="Arial" w:hAnsi="Arial"/>
          <w:sz w:val="20"/>
          <w:rFonts w:eastAsia="Yu Gothic" w:ascii="Arial" w:hAnsi="Arial"/>
        </w:rPr>
        <w:t>**投資仮説との整合性**：現状EBITDA 68億円→5年後93-113億円への成長は、新興国開拓×新製品投入×米スマートファクトリー実証成果×インオーガニック規模拡大により、エグゼクティブサマリー冒頭の「グローバル食品機械ニッチトップの再評価＋PMIによるEV成長」ストーリーを定量的に裏付ける。</w:t>
      </w:r>
    </w:p>
    <w:p>
      <w:r>
        <w:br w:type="page"/>
      </w:r>
    </w:p>
    <w:p>
      <w:pPr>
        <w:spacing w:before="200" w:after="80"/>
      </w:pPr>
      <w:r>
        <w:rPr>
          <w:b/>
          <w:sz w:val="28"/>
          <w:rFonts w:eastAsia="Yu Gothic" w:ascii="Arial" w:hAnsi="Arial"/>
        </w:rPr>
        <w:t>④ 直近の経営者発言（FY2023〜FY2025）</w:t>
      </w:r>
    </w:p>
    <w:p>
      <w:pPr>
        <w:spacing w:before="0" w:after="40"/>
      </w:pPr>
      <w:r>
        <w:rPr>
          <w:rFonts w:ascii="Arial" w:hAnsi="Arial"/>
          <w:i/>
          <w:sz w:val="18"/>
          <w:rFonts w:eastAsia="Yu Gothic" w:ascii="Arial" w:hAnsi="Arial"/>
        </w:rPr>
        <w:t>有報・IRから読み取れない経営者の事業観・戦略意図・リスク認識を、原文発言の形で残す。「発見できた発言」ベースで網羅性は求めない。引用は原文を「」で完全に包み、改変しない。</w:t>
      </w:r>
    </w:p>
    <w:p>
      <w:pPr>
        <w:spacing w:before="160" w:after="60"/>
      </w:pPr>
      <w:r>
        <w:rPr>
          <w:b/>
          <w:sz w:val="24"/>
          <w:rFonts w:eastAsia="Yu Gothic" w:ascii="Arial" w:hAnsi="Arial"/>
        </w:rPr>
        <w:t>4-1. 時系列ビュー</w:t>
      </w:r>
    </w:p>
    <w:p>
      <w:pPr>
        <w:spacing w:before="0" w:after="40"/>
      </w:pPr>
      <w:r>
        <w:rPr>
          <w:rFonts w:ascii="Arial" w:hAnsi="Arial"/>
          <w:i/>
          <w:sz w:val="18"/>
          <w:rFonts w:eastAsia="Yu Gothic" w:ascii="Arial" w:hAnsi="Arial"/>
        </w:rPr>
        <w:t>（引用ルール：1ソース1引用、原文を「」で改変なく転記。重複参照は4-2で行う。）</w:t>
      </w:r>
    </w:p>
    <w:p>
      <w:pPr>
        <w:spacing w:before="120" w:after="40"/>
      </w:pPr>
      <w:r>
        <w:rPr>
          <w:b/>
          <w:sz w:val="21"/>
          <w:rFonts w:eastAsia="Yu Gothic" w:ascii="Arial" w:hAnsi="Arial"/>
        </w:rPr>
        <w:t>FY2023（2022年4月〜2023年3月）期</w:t>
      </w:r>
    </w:p>
    <w:p>
      <w:pPr>
        <w:spacing w:before="0" w:after="40"/>
      </w:pPr>
      <w:r>
        <w:rPr>
          <w:rFonts w:ascii="Arial" w:hAnsi="Arial"/>
          <w:sz w:val="20"/>
          <w:rFonts w:eastAsia="Yu Gothic" w:ascii="Arial" w:hAnsi="Arial"/>
        </w:rPr>
        <w:t>**【発言①】**「インドや北アフリカで販売代理店を拡充し、安定した売り上げを出したい」（小林幹央社長、日経CNBC「トップに聞く」出演／日経電子版 2023年2月27日「レオン自動機の小林社長『菓子製造機、インドにも拡販』」、地域ビジネスエディター 杉本晶子・加藤敦志記者）</w:t>
      </w:r>
    </w:p>
    <w:p>
      <w:pPr>
        <w:spacing w:before="120" w:after="40"/>
      </w:pPr>
      <w:r>
        <w:rPr>
          <w:b/>
          <w:sz w:val="21"/>
          <w:rFonts w:eastAsia="Yu Gothic" w:ascii="Arial" w:hAnsi="Arial"/>
        </w:rPr>
        <w:t>FY2024（2023年4月〜2024年3月）期</w:t>
      </w:r>
    </w:p>
    <w:p>
      <w:pPr>
        <w:spacing w:before="0" w:after="40"/>
      </w:pPr>
      <w:r>
        <w:rPr>
          <w:rFonts w:ascii="Arial" w:hAnsi="Arial"/>
          <w:sz w:val="20"/>
          <w:rFonts w:eastAsia="Yu Gothic" w:ascii="Arial" w:hAnsi="Arial"/>
        </w:rPr>
        <w:t>**【発言②】**「米国内のスーパーから需要が高まっており、新たな工場を設けて生産能力を高める」（レオン自動機の発表内容として、日経電子版 2024年8月26日「レオン自動機、米国に新工場建設を検討 パン生地増産」、栃木欄）</w:t>
      </w:r>
    </w:p>
    <w:p>
      <w:pPr>
        <w:spacing w:before="0" w:after="40"/>
      </w:pPr>
      <w:r>
        <w:rPr>
          <w:rFonts w:ascii="Arial" w:hAnsi="Arial"/>
          <w:i/>
          <w:sz w:val="18"/>
          <w:rFonts w:eastAsia="Yu Gothic" w:ascii="Arial" w:hAnsi="Arial"/>
        </w:rPr>
        <w:t>（注）2024年8月時点で、米加州のオレンジベーカリー新工場（敷地1万㎡、操業2026年4月以降を予定）が公表された。「先進的なデジタル技術を取り入れたスマートファクトリーの実証拠点と位置づける」と説明（同記事）。</w:t>
      </w:r>
    </w:p>
    <w:p>
      <w:pPr>
        <w:spacing w:before="120" w:after="40"/>
      </w:pPr>
      <w:r>
        <w:rPr>
          <w:b/>
          <w:sz w:val="21"/>
          <w:rFonts w:eastAsia="Yu Gothic" w:ascii="Arial" w:hAnsi="Arial"/>
        </w:rPr>
        <w:t>FY2025（2024年4月〜2025年3月）期および直近</w:t>
      </w:r>
    </w:p>
    <w:p>
      <w:pPr>
        <w:spacing w:before="0" w:after="40"/>
      </w:pPr>
      <w:r>
        <w:rPr>
          <w:rFonts w:ascii="Arial" w:hAnsi="Arial"/>
          <w:sz w:val="20"/>
          <w:rFonts w:eastAsia="Yu Gothic" w:ascii="Arial" w:hAnsi="Arial"/>
        </w:rPr>
        <w:t>**【発言③】**「関税そのものと、関税に伴う景気減速の両面で影響を受ける可能性がある」（小林幹央社長、トランプ米政権関税につき、日経電子版 2025年5月13日「レオン自動機、包む食品機械で世界席巻 まんじゅうから小籠包まで」、横山雄太郎記者）</w:t>
      </w:r>
    </w:p>
    <w:p>
      <w:pPr>
        <w:spacing w:before="0" w:after="40"/>
      </w:pPr>
      <w:r>
        <w:rPr>
          <w:rFonts w:ascii="Arial" w:hAnsi="Arial"/>
          <w:i/>
          <w:sz w:val="18"/>
          <w:rFonts w:eastAsia="Yu Gothic" w:ascii="Arial" w:hAnsi="Arial"/>
        </w:rPr>
        <w:t>（注）2025年5月にオレンジベーカリー新工場の操業開始時期を当初計画の2026年4月以降から2027年4月以降に1年延期。「米国政権交代による政策転換の影響が予測困難」が理由 [出典: Nomura IR Research 2026/3/6 p.34]。</w:t>
      </w:r>
    </w:p>
    <w:p>
      <w:pPr>
        <w:spacing w:before="160" w:after="60"/>
      </w:pPr>
      <w:r>
        <w:rPr>
          <w:b/>
          <w:sz w:val="24"/>
          <w:rFonts w:eastAsia="Yu Gothic" w:ascii="Arial" w:hAnsi="Arial"/>
        </w:rPr>
        <w:t>4-2. 論点軸サマリ</w:t>
      </w:r>
    </w:p>
    <w:p>
      <w:pPr>
        <w:spacing w:before="120" w:after="40"/>
      </w:pPr>
      <w:r>
        <w:rPr>
          <w:b/>
          <w:sz w:val="21"/>
          <w:rFonts w:eastAsia="Yu Gothic" w:ascii="Arial" w:hAnsi="Arial"/>
        </w:rPr>
        <w:t>(1) 事業セグメント別の戦略・撤退・拡大方針</w:t>
      </w:r>
    </w:p>
    <w:p>
      <w:pPr>
        <w:spacing w:before="0" w:after="40"/>
      </w:pPr>
      <w:r>
        <w:rPr>
          <w:rFonts w:ascii="Arial" w:hAnsi="Arial"/>
          <w:sz w:val="20"/>
          <w:rFonts w:eastAsia="Yu Gothic" w:ascii="Arial" w:hAnsi="Arial"/>
        </w:rPr>
        <w:t>**該当**：発言①（FY2023、インド・北アフリカ代理店拡充）が該当。**解釈**：機械事業の新興国シフトを社長が公式チャネルで言明している。投資仮説の「新興国・欧米同時拡大」と整合。</w:t>
      </w:r>
    </w:p>
    <w:p>
      <w:pPr>
        <w:spacing w:before="120" w:after="40"/>
      </w:pPr>
      <w:r>
        <w:rPr>
          <w:b/>
          <w:sz w:val="21"/>
          <w:rFonts w:eastAsia="Yu Gothic" w:ascii="Arial" w:hAnsi="Arial"/>
        </w:rPr>
        <w:t>(2) 主要顧客との関係性・依存度</w:t>
      </w:r>
    </w:p>
    <w:p>
      <w:pPr>
        <w:spacing w:before="0" w:after="40"/>
      </w:pPr>
      <w:r>
        <w:rPr>
          <w:rFonts w:ascii="Arial" w:hAnsi="Arial"/>
          <w:sz w:val="20"/>
          <w:rFonts w:eastAsia="Yu Gothic" w:ascii="Arial" w:hAnsi="Arial"/>
        </w:rPr>
        <w:t>**該当発言なし**（媒体記事の直接引用ベース）。**会社開示**：5期連続「10%超顧客なし」と有報注記。Top10/Top20顧客の集中度・名称は非開示でOpen Questions（追加DDで確認要）。</w:t>
      </w:r>
    </w:p>
    <w:p>
      <w:pPr>
        <w:spacing w:before="120" w:after="40"/>
      </w:pPr>
      <w:r>
        <w:rPr>
          <w:b/>
          <w:sz w:val="21"/>
          <w:rFonts w:eastAsia="Yu Gothic" w:ascii="Arial" w:hAnsi="Arial"/>
        </w:rPr>
        <w:t>(3) 競合認識・市場シェア・価格戦略</w:t>
      </w:r>
    </w:p>
    <w:p>
      <w:pPr>
        <w:spacing w:before="0" w:after="40"/>
      </w:pPr>
      <w:r>
        <w:rPr>
          <w:rFonts w:ascii="Arial" w:hAnsi="Arial"/>
          <w:sz w:val="20"/>
          <w:rFonts w:eastAsia="Yu Gothic" w:ascii="Arial" w:hAnsi="Arial"/>
        </w:rPr>
        <w:t>**会社開示の関連記述**（日経 2025/5/13記者地の文）：「包み込む技術そのものは大きく変わっておらず、その点では特許は切れた。安価な機械を生み出す中国勢の追い上げもある」。**解釈**：会社が特許失効・中国模造品流入を構造的リスクとして認識し、共同開発力と新製品の継続投入で対抗する戦略を表明。投資仮説のリスク要因と整合。なお当該記述は記者解釈であり、社長発言①〜③とは区別される。</w:t>
      </w:r>
    </w:p>
    <w:p>
      <w:pPr>
        <w:spacing w:before="120" w:after="40"/>
      </w:pPr>
      <w:r>
        <w:rPr>
          <w:b/>
          <w:sz w:val="21"/>
          <w:rFonts w:eastAsia="Yu Gothic" w:ascii="Arial" w:hAnsi="Arial"/>
        </w:rPr>
        <w:t>(4) 資本政策（株主還元、自己株、M&amp;A、Exit）</w:t>
      </w:r>
    </w:p>
    <w:p>
      <w:pPr>
        <w:spacing w:before="0" w:after="40"/>
      </w:pPr>
      <w:r>
        <w:rPr>
          <w:rFonts w:ascii="Arial" w:hAnsi="Arial"/>
          <w:sz w:val="20"/>
          <w:rFonts w:eastAsia="Yu Gothic" w:ascii="Arial" w:hAnsi="Arial"/>
        </w:rPr>
        <w:t>**該当発言なし**（媒体記事ベース）。**会社開示**：FY2026-FY2028中計期間中、連結配当性向40%以上＋累進配当を基本方針 [出典: rheon.com IR]。FY2025配当44円→FY2026予想54円（+22.7%）。M&amp;Aに関する経営者発言は媒体・IR資料の範囲では見つからず（追加DDで確認要）。</w:t>
      </w:r>
    </w:p>
    <w:p>
      <w:pPr>
        <w:spacing w:before="120" w:after="40"/>
      </w:pPr>
      <w:r>
        <w:rPr>
          <w:b/>
          <w:sz w:val="21"/>
          <w:rFonts w:eastAsia="Yu Gothic" w:ascii="Arial" w:hAnsi="Arial"/>
        </w:rPr>
        <w:t>(5) 人材・組織・後継者</w:t>
      </w:r>
    </w:p>
    <w:p>
      <w:pPr>
        <w:spacing w:before="0" w:after="40"/>
      </w:pPr>
      <w:r>
        <w:rPr>
          <w:rFonts w:ascii="Arial" w:hAnsi="Arial"/>
          <w:sz w:val="20"/>
          <w:rFonts w:eastAsia="Yu Gothic" w:ascii="Arial" w:hAnsi="Arial"/>
        </w:rPr>
        <w:t>**該当発言なし**（媒体記事ベース）。**会社開示**：新卒通年採用、海外留学生採用、入社2年目社員の海外研修12名／年実施。技術サービス部門出身の小林社長下、「市場開発型企業」体質を組織レベルで強化。後継者プラン・KMP契約は媒体・IRから確認できず（Open Questionsの中核）。</w:t>
      </w:r>
    </w:p>
    <w:p>
      <w:pPr>
        <w:spacing w:before="120" w:after="40"/>
      </w:pPr>
      <w:r>
        <w:rPr>
          <w:b/>
          <w:sz w:val="21"/>
          <w:rFonts w:eastAsia="Yu Gothic" w:ascii="Arial" w:hAnsi="Arial"/>
        </w:rPr>
        <w:t>(6) 数値目標と進捗自己評価</w:t>
      </w:r>
    </w:p>
    <w:p>
      <w:pPr>
        <w:spacing w:before="0" w:after="40"/>
      </w:pPr>
      <w:r>
        <w:rPr>
          <w:rFonts w:ascii="Arial" w:hAnsi="Arial"/>
          <w:sz w:val="20"/>
          <w:rFonts w:eastAsia="Yu Gothic" w:ascii="Arial" w:hAnsi="Arial"/>
        </w:rPr>
        <w:t>**該当発言なし**（直接引用ベース）。**会社開示**：FY2028目標を当初の売上420億円から444億円へ上方修正（25年5月）、営業利益率は13%→12%・ROEは10%→9%へ下方修正。オレンジベーカリー新工場稼働遅延（26年4月→27年4月）が修正の主因 [出典: Nomura IR p.39]。**解釈**：会社は中計達成への自信を保持しつつ、米国関税不透明と新工場遅延を率直に開示する姿勢を維持。</w:t>
      </w:r>
    </w:p>
    <w:p>
      <w:pPr>
        <w:spacing w:before="120" w:after="40"/>
      </w:pPr>
      <w:r>
        <w:rPr>
          <w:b/>
          <w:sz w:val="21"/>
          <w:rFonts w:eastAsia="Yu Gothic" w:ascii="Arial" w:hAnsi="Arial"/>
        </w:rPr>
        <w:t>(7) 不確実性・リスク認識</w:t>
      </w:r>
    </w:p>
    <w:p>
      <w:pPr>
        <w:spacing w:before="0" w:after="40"/>
      </w:pPr>
      <w:r>
        <w:rPr>
          <w:rFonts w:ascii="Arial" w:hAnsi="Arial"/>
          <w:sz w:val="20"/>
          <w:rFonts w:eastAsia="Yu Gothic" w:ascii="Arial" w:hAnsi="Arial"/>
        </w:rPr>
        <w:t>**該当**：発言③（FY2025、米トランプ関税の二経路影響）が該当。**解釈**：関税の直接コストと、関税起因の景気減速による需要減退の二段階経路で社長がリスクを構造化。新工場の操業遅延（26年4月→27年4月）は、当該リスク認識の具体的な事業判断への反映。投資仮説の「米国一極集中」リスクと整合。</w:t>
      </w:r>
    </w:p>
    <w:p>
      <w:r>
        <w:br w:type="page"/>
      </w:r>
    </w:p>
    <w:p>
      <w:pPr>
        <w:spacing w:before="200" w:after="80"/>
      </w:pPr>
      <w:r>
        <w:rPr>
          <w:b/>
          <w:sz w:val="28"/>
          <w:rFonts w:eastAsia="Yu Gothic" w:ascii="Arial" w:hAnsi="Arial"/>
        </w:rPr>
        <w:t>付録：出典一覧</w:t>
      </w:r>
    </w:p>
    <w:p>
      <w:pPr>
        <w:spacing w:before="120" w:after="40"/>
      </w:pPr>
      <w:r>
        <w:rPr>
          <w:b/>
          <w:sz w:val="21"/>
          <w:rFonts w:eastAsia="Yu Gothic" w:ascii="Arial" w:hAnsi="Arial"/>
        </w:rPr>
        <w:t>一次情報</w:t>
      </w:r>
    </w:p>
    <w:p>
      <w:pPr>
        <w:pStyle w:val="ListBullet"/>
        <w:spacing w:after="20"/>
      </w:pPr>
      <w:r>
        <w:rPr>
          <w:sz w:val="21"/>
          <w:rFonts w:eastAsia="Yu Gothic" w:ascii="Arial" w:hAnsi="Arial"/>
        </w:rPr>
        <w:t>有価証券報告書 第59期（FY2021）／第60期（FY2022）／第61期（FY2023）／第62期（FY2024）／第63期（FY2025）　EDINET公開、docID: S100LUBS / S100OF9E / S100R65G / S100TVT1 / S100W3X7。各期セグメント情報注記、大株主の状況、事業の内容、沿革、従業員の状況、研究開発活動を参照。</w:t>
      </w:r>
    </w:p>
    <w:p>
      <w:pPr>
        <w:pStyle w:val="ListBullet"/>
        <w:spacing w:after="20"/>
      </w:pPr>
      <w:r>
        <w:rPr>
          <w:sz w:val="21"/>
          <w:rFonts w:eastAsia="Yu Gothic" w:ascii="Arial" w:hAnsi="Arial"/>
        </w:rPr>
        <w:t>レオン自動機 2024年3月期 決算説明会用資料（rheon.com、2024年5月）。事業セグメント別5年推移、中期経営計画進捗、配当方針。</w:t>
      </w:r>
    </w:p>
    <w:p>
      <w:pPr>
        <w:pStyle w:val="ListBullet"/>
        <w:spacing w:after="20"/>
      </w:pPr>
      <w:r>
        <w:rPr>
          <w:sz w:val="21"/>
          <w:rFonts w:eastAsia="Yu Gothic" w:ascii="Arial" w:hAnsi="Arial"/>
        </w:rPr>
        <w:t>レオン自動機 2025年5月開示「資本コストや株価を意識した経営の実現に向けた対応について（アップデート）」、中計修正後数値。</w:t>
      </w:r>
    </w:p>
    <w:p>
      <w:pPr>
        <w:spacing w:before="120" w:after="40"/>
      </w:pPr>
      <w:r>
        <w:rPr>
          <w:b/>
          <w:sz w:val="21"/>
          <w:rFonts w:eastAsia="Yu Gothic" w:ascii="Arial" w:hAnsi="Arial"/>
        </w:rPr>
        <w:t>二次情報（媒体記事）</w:t>
      </w:r>
    </w:p>
    <w:p>
      <w:pPr>
        <w:pStyle w:val="ListBullet"/>
        <w:spacing w:after="20"/>
      </w:pPr>
      <w:r>
        <w:rPr>
          <w:sz w:val="21"/>
          <w:rFonts w:eastAsia="Yu Gothic" w:ascii="Arial" w:hAnsi="Arial"/>
        </w:rPr>
        <w:t>「レオン自動機、包む食品機械で世界席巻 まんじゅうから小籠包まで」日経電子版2025年5月13日（栃木Bizブックマーク、横山雄太郎記者）。</w:t>
      </w:r>
    </w:p>
    <w:p>
      <w:pPr>
        <w:pStyle w:val="ListBullet"/>
        <w:spacing w:after="20"/>
      </w:pPr>
      <w:r>
        <w:rPr>
          <w:sz w:val="21"/>
          <w:rFonts w:eastAsia="Yu Gothic" w:ascii="Arial" w:hAnsi="Arial"/>
        </w:rPr>
        <w:t>「レオン自動機、米国に新工場建設を検討 パン生地増産」日経電子版2024年8月26日（栃木欄）。</w:t>
      </w:r>
    </w:p>
    <w:p>
      <w:pPr>
        <w:pStyle w:val="ListBullet"/>
        <w:spacing w:after="20"/>
      </w:pPr>
      <w:r>
        <w:rPr>
          <w:sz w:val="21"/>
          <w:rFonts w:eastAsia="Yu Gothic" w:ascii="Arial" w:hAnsi="Arial"/>
        </w:rPr>
        <w:t>「レオン自動機の小林社長『菓子製造機、インドにも拡販』」日経電子版2023年2月27日（地域発世界企業／日経CNBC、杉本晶子・加藤敦志記者）。</w:t>
      </w:r>
    </w:p>
    <w:p>
      <w:pPr>
        <w:pStyle w:val="ListBullet"/>
        <w:spacing w:after="20"/>
      </w:pPr>
      <w:r>
        <w:rPr>
          <w:sz w:val="21"/>
          <w:rFonts w:eastAsia="Yu Gothic" w:ascii="Arial" w:hAnsi="Arial"/>
        </w:rPr>
        <w:t>Nomura IR Research（QUICK企業価値研究所、花岡瑛アナリスト）「レオン自動機6272」2026年3月6日付。</w:t>
      </w:r>
    </w:p>
    <w:p>
      <w:pPr>
        <w:spacing w:before="120" w:after="40"/>
      </w:pPr>
      <w:r>
        <w:rPr>
          <w:b/>
          <w:sz w:val="21"/>
          <w:rFonts w:eastAsia="Yu Gothic" w:ascii="Arial" w:hAnsi="Arial"/>
        </w:rPr>
        <w:t>業界統計・市場データ</w:t>
      </w:r>
    </w:p>
    <w:p>
      <w:pPr>
        <w:pStyle w:val="ListBullet"/>
        <w:spacing w:after="20"/>
      </w:pPr>
      <w:r>
        <w:rPr>
          <w:sz w:val="21"/>
          <w:rFonts w:eastAsia="Yu Gothic" w:ascii="Arial" w:hAnsi="Arial"/>
        </w:rPr>
        <w:t>日本食品機械工業会「食品機械調査統計」（2024年確報含む、Nomura IR p.36-37経由）。</w:t>
      </w:r>
    </w:p>
    <w:p>
      <w:pPr>
        <w:pStyle w:val="ListBullet"/>
        <w:spacing w:after="20"/>
      </w:pPr>
      <w:r>
        <w:rPr>
          <w:sz w:val="21"/>
          <w:rFonts w:eastAsia="Yu Gothic" w:ascii="Arial" w:hAnsi="Arial"/>
        </w:rPr>
        <w:t>Grand View Research「Bakery Processing Equipment Market Size &amp; Share Analysis」（2024-2030予測）。</w:t>
      </w:r>
    </w:p>
    <w:p>
      <w:pPr>
        <w:pStyle w:val="ListBullet"/>
        <w:spacing w:after="20"/>
      </w:pPr>
      <w:r>
        <w:rPr>
          <w:sz w:val="21"/>
          <w:rFonts w:eastAsia="Yu Gothic" w:ascii="Arial" w:hAnsi="Arial"/>
        </w:rPr>
        <w:t>Mordor Intelligence「Food Processing Machinery Market」（2025-2030予測）。</w:t>
      </w:r>
    </w:p>
    <w:p>
      <w:pPr>
        <w:pStyle w:val="ListBullet"/>
        <w:spacing w:after="20"/>
      </w:pPr>
      <w:r>
        <w:rPr>
          <w:sz w:val="21"/>
          <w:rFonts w:eastAsia="Yu Gothic" w:ascii="Arial" w:hAnsi="Arial"/>
        </w:rPr>
        <w:t>LME相場（ステンレス・アルミ・ニッケル等）公開価格データ（2022-2025）。</w:t>
      </w:r>
    </w:p>
    <w:p>
      <w:pPr>
        <w:spacing w:before="120" w:after="40"/>
      </w:pPr>
      <w:r>
        <w:rPr>
          <w:b/>
          <w:sz w:val="21"/>
          <w:rFonts w:eastAsia="Yu Gothic" w:ascii="Arial" w:hAnsi="Arial"/>
        </w:rPr>
        <w:t>略語集</w:t>
      </w:r>
    </w:p>
    <w:p>
      <w:pPr>
        <w:pStyle w:val="ListBullet"/>
        <w:spacing w:after="20"/>
      </w:pPr>
      <w:r>
        <w:rPr>
          <w:sz w:val="21"/>
          <w:rFonts w:eastAsia="Yu Gothic" w:ascii="Arial" w:hAnsi="Arial"/>
        </w:rPr>
        <w:t>KBF: Key Buying Factor／顧客の購買意思決定要因</w:t>
      </w:r>
    </w:p>
    <w:p>
      <w:pPr>
        <w:pStyle w:val="ListBullet"/>
        <w:spacing w:after="20"/>
      </w:pPr>
      <w:r>
        <w:rPr>
          <w:sz w:val="21"/>
          <w:rFonts w:eastAsia="Yu Gothic" w:ascii="Arial" w:hAnsi="Arial"/>
        </w:rPr>
        <w:t>MES: Manufacturing Execution System／製造実行システム</w:t>
      </w:r>
    </w:p>
    <w:p>
      <w:pPr>
        <w:pStyle w:val="ListBullet"/>
        <w:spacing w:after="20"/>
      </w:pPr>
      <w:r>
        <w:rPr>
          <w:sz w:val="21"/>
          <w:rFonts w:eastAsia="Yu Gothic" w:ascii="Arial" w:hAnsi="Arial"/>
        </w:rPr>
        <w:t>PLM: Product Lifecycle Management／製品ライフサイクル管理</w:t>
      </w:r>
    </w:p>
    <w:p>
      <w:pPr>
        <w:pStyle w:val="ListBullet"/>
        <w:spacing w:after="20"/>
      </w:pPr>
      <w:r>
        <w:rPr>
          <w:sz w:val="21"/>
          <w:rFonts w:eastAsia="Yu Gothic" w:ascii="Arial" w:hAnsi="Arial"/>
        </w:rPr>
        <w:t>SCM: Supply Chain Management</w:t>
      </w:r>
    </w:p>
    <w:p>
      <w:pPr>
        <w:pStyle w:val="ListBullet"/>
        <w:spacing w:after="20"/>
      </w:pPr>
      <w:r>
        <w:rPr>
          <w:sz w:val="21"/>
          <w:rFonts w:eastAsia="Yu Gothic" w:ascii="Arial" w:hAnsi="Arial"/>
        </w:rPr>
        <w:t>BCP: Business Continuity Plan／事業継続計画</w:t>
      </w:r>
    </w:p>
    <w:p>
      <w:pPr>
        <w:pStyle w:val="ListBullet"/>
        <w:spacing w:after="20"/>
      </w:pPr>
      <w:r>
        <w:rPr>
          <w:sz w:val="21"/>
          <w:rFonts w:eastAsia="Yu Gothic" w:ascii="Arial" w:hAnsi="Arial"/>
        </w:rPr>
        <w:t>HACCP: Hazard Analysis and Critical Control Point／食品衛生管理手法</w:t>
      </w:r>
    </w:p>
    <w:p>
      <w:pPr>
        <w:pStyle w:val="ListBullet"/>
        <w:spacing w:after="20"/>
      </w:pPr>
      <w:r>
        <w:rPr>
          <w:sz w:val="21"/>
          <w:rFonts w:eastAsia="Yu Gothic" w:ascii="Arial" w:hAnsi="Arial"/>
        </w:rPr>
        <w:t>IBA: Internationale Bäckerei-Ausstellung／国際製パン・製菓機材総合見本市（独）</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