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Arial" w:cs="Arial" w:eastAsia="Arial" w:hAnsi="Arial"/>
          <w:b/>
          <w:bCs/>
          <w:color w:val="1F3A5F"/>
          <w:sz w:val="28"/>
          <w:szCs w:val="28"/>
        </w:rPr>
        <w:t xml:space="preserve">株式会社テクノプロ・コンストラクション ビジネスDDレポート（2026年5月）</w:t>
      </w:r>
    </w:p>
    <w:p>
      <w:pPr>
        <w:spacing w:after="100" w:before="200"/>
      </w:pPr>
      <w:r>
        <w:rPr>
          <w:rFonts w:ascii="Arial" w:cs="Arial" w:eastAsia="Arial" w:hAnsi="Arial"/>
          <w:b/>
          <w:bCs/>
          <w:color w:val="2C4F7A"/>
          <w:sz w:val="25"/>
          <w:szCs w:val="25"/>
        </w:rPr>
        <w:t xml:space="preserve">エグゼクティブサマリー</w:t>
      </w:r>
    </w:p>
    <w:p>
      <w:pPr>
        <w:spacing w:after="80" w:before="160"/>
      </w:pPr>
      <w:r>
        <w:rPr>
          <w:rFonts w:ascii="Arial" w:cs="Arial" w:eastAsia="Arial" w:hAnsi="Arial"/>
          <w:b/>
          <w:bCs/>
          <w:color w:val="404040"/>
          <w:sz w:val="23"/>
          <w:szCs w:val="23"/>
        </w:rPr>
        <w:t xml:space="preserve">主要観察事実（Key Observations）</w:t>
      </w:r>
    </w:p>
    <w:p>
      <w:pPr>
        <w:spacing w:after="40" w:line="280"/>
        <w:ind w:left="360"/>
      </w:pPr>
      <w:r>
        <w:rPr>
          <w:rFonts w:ascii="Arial" w:cs="Arial" w:eastAsia="Arial" w:hAnsi="Arial"/>
          <w:b/>
          <w:bCs/>
          <w:sz w:val="21"/>
          <w:szCs w:val="21"/>
        </w:rPr>
        <w:t xml:space="preserve">1. </w:t>
      </w:r>
      <w:r>
        <w:rPr>
          <w:rFonts w:ascii="Arial" w:cs="Arial" w:eastAsia="Arial" w:hAnsi="Arial"/>
          <w:b/>
          <w:bCs/>
          <w:i w:val="false"/>
          <w:iCs w:val="false"/>
          <w:color w:val="000000"/>
          <w:sz w:val="21"/>
          <w:szCs w:val="21"/>
        </w:rPr>
        <w:t xml:space="preserve">建設施工管理アウトソーシング業界の上位プレイヤー。</w:t>
      </w:r>
      <w:r>
        <w:rPr>
          <w:rFonts w:ascii="Arial" w:cs="Arial" w:eastAsia="Arial" w:hAnsi="Arial"/>
          <w:b w:val="false"/>
          <w:bCs w:val="false"/>
          <w:i w:val="false"/>
          <w:iCs w:val="false"/>
          <w:color w:val="000000"/>
          <w:sz w:val="21"/>
          <w:szCs w:val="21"/>
        </w:rPr>
        <w:t xml:space="preserve"> テクノプロHD連結の「施工管理アウトソーシング事業」セグメントとして、FY25/6に売上25,564百万円・営業利益3,699百万円（営業利益率14.5%）、所属技術者2,973名（連結従業員30,649名中9.7%）を計上[出典: テクノプロHD第20期有報 セグメント情報]。</w:t>
      </w:r>
    </w:p>
    <w:p>
      <w:pPr>
        <w:spacing w:after="40" w:line="280"/>
        <w:ind w:left="360"/>
      </w:pPr>
      <w:r>
        <w:rPr>
          <w:rFonts w:ascii="Arial" w:cs="Arial" w:eastAsia="Arial" w:hAnsi="Arial"/>
          <w:b/>
          <w:bCs/>
          <w:sz w:val="21"/>
          <w:szCs w:val="21"/>
        </w:rPr>
        <w:t xml:space="preserve">2. </w:t>
      </w:r>
      <w:r>
        <w:rPr>
          <w:rFonts w:ascii="Arial" w:cs="Arial" w:eastAsia="Arial" w:hAnsi="Arial"/>
          <w:b/>
          <w:bCs/>
          <w:i w:val="false"/>
          <w:iCs w:val="false"/>
          <w:color w:val="000000"/>
          <w:sz w:val="21"/>
          <w:szCs w:val="21"/>
        </w:rPr>
        <w:t xml:space="preserve">5期売上CAGR6.8%、安定して14%前後の高い営業利益率を維持。</w:t>
      </w:r>
      <w:r>
        <w:rPr>
          <w:rFonts w:ascii="Arial" w:cs="Arial" w:eastAsia="Arial" w:hAnsi="Arial"/>
          <w:b w:val="false"/>
          <w:bCs w:val="false"/>
          <w:i w:val="false"/>
          <w:iCs w:val="false"/>
          <w:color w:val="000000"/>
          <w:sz w:val="21"/>
          <w:szCs w:val="21"/>
        </w:rPr>
        <w:t xml:space="preserve"> 売上は19,670→25,564百万円（FY21→FY25）、営業利益は2,791→3,699百万円。営業利益率は12.3%（FY22ボトム）から14.5%（FY25）にレンジ管理されている[出典: 同上 FY21-FY25 セグメント情報]。</w:t>
      </w:r>
    </w:p>
    <w:p>
      <w:pPr>
        <w:spacing w:after="40" w:line="280"/>
        <w:ind w:left="360"/>
      </w:pPr>
      <w:r>
        <w:rPr>
          <w:rFonts w:ascii="Arial" w:cs="Arial" w:eastAsia="Arial" w:hAnsi="Arial"/>
          <w:b/>
          <w:bCs/>
          <w:sz w:val="21"/>
          <w:szCs w:val="21"/>
        </w:rPr>
        <w:t xml:space="preserve">3. </w:t>
      </w:r>
      <w:r>
        <w:rPr>
          <w:rFonts w:ascii="Arial" w:cs="Arial" w:eastAsia="Arial" w:hAnsi="Arial"/>
          <w:b/>
          <w:bCs/>
          <w:i w:val="false"/>
          <w:iCs w:val="false"/>
          <w:color w:val="000000"/>
          <w:sz w:val="21"/>
          <w:szCs w:val="21"/>
        </w:rPr>
        <w:t xml:space="preserve">建設技術者派遣業界の上位5社内で最も利益率が高い。</w:t>
      </w:r>
      <w:r>
        <w:rPr>
          <w:rFonts w:ascii="Arial" w:cs="Arial" w:eastAsia="Arial" w:hAnsi="Arial"/>
          <w:b w:val="false"/>
          <w:bCs w:val="false"/>
          <w:i w:val="false"/>
          <w:iCs w:val="false"/>
          <w:color w:val="000000"/>
          <w:sz w:val="21"/>
          <w:szCs w:val="21"/>
        </w:rPr>
        <w:t xml:space="preserve"> FY25時点での比較で、メイテック系を除けばテクノプロ・コンストラクション14.5% &gt; オープンアップ建設13.2% &gt; ナレルG建設ソリューション10.4% &gt; トライト建設(IR推定)9-10% &gt; コプロHD9.2%（連結）の順[出典: 各社FY25/6・FY24/12有報、IR資料]。</w:t>
      </w:r>
    </w:p>
    <w:p>
      <w:pPr>
        <w:spacing w:after="40" w:line="280"/>
        <w:ind w:left="360"/>
      </w:pPr>
      <w:r>
        <w:rPr>
          <w:rFonts w:ascii="Arial" w:cs="Arial" w:eastAsia="Arial" w:hAnsi="Arial"/>
          <w:b/>
          <w:bCs/>
          <w:sz w:val="21"/>
          <w:szCs w:val="21"/>
        </w:rPr>
        <w:t xml:space="preserve">4. </w:t>
      </w:r>
      <w:r>
        <w:rPr>
          <w:rFonts w:ascii="Arial" w:cs="Arial" w:eastAsia="Arial" w:hAnsi="Arial"/>
          <w:b/>
          <w:bCs/>
          <w:i w:val="false"/>
          <w:iCs w:val="false"/>
          <w:color w:val="000000"/>
          <w:sz w:val="21"/>
          <w:szCs w:val="21"/>
        </w:rPr>
        <w:t xml:space="preserve">テクノプロHDの中での収益構造的位置：売上構成10.7%・営業利益構成14.8%。</w:t>
      </w:r>
      <w:r>
        <w:rPr>
          <w:rFonts w:ascii="Arial" w:cs="Arial" w:eastAsia="Arial" w:hAnsi="Arial"/>
          <w:b w:val="false"/>
          <w:bCs w:val="false"/>
          <w:i w:val="false"/>
          <w:iCs w:val="false"/>
          <w:color w:val="000000"/>
          <w:sz w:val="21"/>
          <w:szCs w:val="21"/>
        </w:rPr>
        <w:t xml:space="preserve"> R&amp;Dアウトソーシング事業（売上78%・利益93%）に次ぐNo.2セグメント。連結利益率10.0%に対し施工管理セグメント単体利益率14.5%と、連結全体を押し上げる存在[出典: 同上 セグメント情報・地域別情報]。</w:t>
      </w:r>
    </w:p>
    <w:p>
      <w:pPr>
        <w:spacing w:after="40" w:line="280"/>
        <w:ind w:left="360"/>
      </w:pPr>
      <w:r>
        <w:rPr>
          <w:rFonts w:ascii="Arial" w:cs="Arial" w:eastAsia="Arial" w:hAnsi="Arial"/>
          <w:b/>
          <w:bCs/>
          <w:sz w:val="21"/>
          <w:szCs w:val="21"/>
        </w:rPr>
        <w:t xml:space="preserve">5. </w:t>
      </w:r>
      <w:r>
        <w:rPr>
          <w:rFonts w:ascii="Arial" w:cs="Arial" w:eastAsia="Arial" w:hAnsi="Arial"/>
          <w:b/>
          <w:bCs/>
          <w:i w:val="false"/>
          <w:iCs w:val="false"/>
          <w:color w:val="000000"/>
          <w:sz w:val="21"/>
          <w:szCs w:val="21"/>
        </w:rPr>
        <w:t xml:space="preserve">2025年9月、親会社テクノプロHDが米Blackstoneによる完全子会社化（TOB総額5,074億円、EV/EBITDA約11.8倍）を経て非公開化。</w:t>
      </w:r>
      <w:r>
        <w:rPr>
          <w:rFonts w:ascii="Arial" w:cs="Arial" w:eastAsia="Arial" w:hAnsi="Arial"/>
          <w:b w:val="false"/>
          <w:bCs w:val="false"/>
          <w:i w:val="false"/>
          <w:iCs w:val="false"/>
          <w:color w:val="000000"/>
          <w:sz w:val="21"/>
          <w:szCs w:val="21"/>
        </w:rPr>
        <w:t xml:space="preserve"> Blackstoneは中計でM&amp;A1,000億円・AIインフラ100億円投資を表明、施工管理事業も成長加速対象に位置づけ[出典: Blackstone press release 2025/8/6, テクノプロ意見表明書 2025/8/6]。</w:t>
      </w:r>
    </w:p>
    <w:p>
      <w:pPr>
        <w:spacing w:after="40" w:line="280"/>
        <w:ind w:left="360"/>
      </w:pPr>
      <w:r>
        <w:rPr>
          <w:rFonts w:ascii="Arial" w:cs="Arial" w:eastAsia="Arial" w:hAnsi="Arial"/>
          <w:b/>
          <w:bCs/>
          <w:sz w:val="21"/>
          <w:szCs w:val="21"/>
        </w:rPr>
        <w:t xml:space="preserve">6. </w:t>
      </w:r>
      <w:r>
        <w:rPr>
          <w:rFonts w:ascii="Arial" w:cs="Arial" w:eastAsia="Arial" w:hAnsi="Arial"/>
          <w:b/>
          <w:bCs/>
          <w:i w:val="false"/>
          <w:iCs w:val="false"/>
          <w:color w:val="000000"/>
          <w:sz w:val="21"/>
          <w:szCs w:val="21"/>
        </w:rPr>
        <w:t xml:space="preserve">建設施工管理市場（建設技術者派遣）は構造的人手不足の追い風。</w:t>
      </w:r>
      <w:r>
        <w:rPr>
          <w:rFonts w:ascii="Arial" w:cs="Arial" w:eastAsia="Arial" w:hAnsi="Arial"/>
          <w:b w:val="false"/>
          <w:bCs w:val="false"/>
          <w:i w:val="false"/>
          <w:iCs w:val="false"/>
          <w:color w:val="000000"/>
          <w:sz w:val="21"/>
          <w:szCs w:val="21"/>
        </w:rPr>
        <w:t xml:space="preserve"> 2024年問題（残業規制）による施工管理者不足、建設投資の高止まり、ゼネコンによる施工管理外注比率の上昇が、上位プレイヤーの2桁成長を支える[出典: 国交省「建設業デジタルハンドブック」、業界紙各種]。</w:t>
      </w:r>
    </w:p>
    <w:p>
      <w:pPr>
        <w:spacing w:after="40" w:line="280"/>
        <w:ind w:left="360"/>
      </w:pPr>
      <w:r>
        <w:rPr>
          <w:rFonts w:ascii="Arial" w:cs="Arial" w:eastAsia="Arial" w:hAnsi="Arial"/>
          <w:b/>
          <w:bCs/>
          <w:sz w:val="21"/>
          <w:szCs w:val="21"/>
        </w:rPr>
        <w:t xml:space="preserve">7. </w:t>
      </w:r>
      <w:r>
        <w:rPr>
          <w:rFonts w:ascii="Arial" w:cs="Arial" w:eastAsia="Arial" w:hAnsi="Arial"/>
          <w:b/>
          <w:bCs/>
          <w:i w:val="false"/>
          <w:iCs w:val="false"/>
          <w:color w:val="000000"/>
          <w:sz w:val="21"/>
          <w:szCs w:val="21"/>
        </w:rPr>
        <w:t xml:space="preserve">同業大手の中では「規模はオープンアップ建設の半分以下、コプロHDより小ぶり」だが、利益率は最上位水準。</w:t>
      </w:r>
      <w:r>
        <w:rPr>
          <w:rFonts w:ascii="Arial" w:cs="Arial" w:eastAsia="Arial" w:hAnsi="Arial"/>
          <w:b w:val="false"/>
          <w:bCs w:val="false"/>
          <w:i w:val="false"/>
          <w:iCs w:val="false"/>
          <w:color w:val="000000"/>
          <w:sz w:val="21"/>
          <w:szCs w:val="21"/>
        </w:rPr>
        <w:t xml:space="preserve"> ボリュームシェア（売上）よりも質（単価・稼働率・人件費効率）でのプレミアムが立っている構造[出典: 建設技術者派遣5社_セグメント比較_FY16-FY25 (本DDワーク)]。</w:t>
      </w:r>
    </w:p>
    <w:p>
      <w:pPr>
        <w:spacing w:after="80" w:before="160"/>
      </w:pPr>
      <w:r>
        <w:rPr>
          <w:rFonts w:ascii="Arial" w:cs="Arial" w:eastAsia="Arial" w:hAnsi="Arial"/>
          <w:b/>
          <w:bCs/>
          <w:color w:val="404040"/>
          <w:sz w:val="23"/>
          <w:szCs w:val="23"/>
        </w:rPr>
        <w:t xml:space="preserve">観察されたリスク要因（Observed Risk Factors）</w:t>
      </w:r>
    </w:p>
    <w:p>
      <w:pPr>
        <w:spacing w:after="40" w:line="280"/>
        <w:ind w:left="360"/>
      </w:pPr>
      <w:r>
        <w:rPr>
          <w:rFonts w:ascii="Arial" w:cs="Arial" w:eastAsia="Arial" w:hAnsi="Arial"/>
          <w:b/>
          <w:bCs/>
          <w:sz w:val="21"/>
          <w:szCs w:val="21"/>
        </w:rPr>
        <w:t xml:space="preserve">1. </w:t>
      </w:r>
      <w:r>
        <w:rPr>
          <w:rFonts w:ascii="Arial" w:cs="Arial" w:eastAsia="Arial" w:hAnsi="Arial"/>
          <w:b/>
          <w:bCs/>
          <w:i w:val="false"/>
          <w:iCs w:val="false"/>
          <w:color w:val="000000"/>
          <w:sz w:val="21"/>
          <w:szCs w:val="21"/>
        </w:rPr>
        <w:t xml:space="preserve">2024年問題後の建設投資調整リスク。</w:t>
      </w:r>
      <w:r>
        <w:rPr>
          <w:rFonts w:ascii="Arial" w:cs="Arial" w:eastAsia="Arial" w:hAnsi="Arial"/>
          <w:b w:val="false"/>
          <w:bCs w:val="false"/>
          <w:i w:val="false"/>
          <w:iCs w:val="false"/>
          <w:color w:val="000000"/>
          <w:sz w:val="21"/>
          <w:szCs w:val="21"/>
        </w:rPr>
        <w:t xml:space="preserve"> 残業規制への対応コスト・工期延伸が建設投資の効率を下げ、ゼネコン・サブコンの外注予算抑制につながる可能性。</w:t>
      </w:r>
    </w:p>
    <w:p>
      <w:pPr>
        <w:spacing w:after="40" w:line="280"/>
        <w:ind w:left="360"/>
      </w:pPr>
      <w:r>
        <w:rPr>
          <w:rFonts w:ascii="Arial" w:cs="Arial" w:eastAsia="Arial" w:hAnsi="Arial"/>
          <w:b/>
          <w:bCs/>
          <w:sz w:val="21"/>
          <w:szCs w:val="21"/>
        </w:rPr>
        <w:t xml:space="preserve">2. </w:t>
      </w:r>
      <w:r>
        <w:rPr>
          <w:rFonts w:ascii="Arial" w:cs="Arial" w:eastAsia="Arial" w:hAnsi="Arial"/>
          <w:b/>
          <w:bCs/>
          <w:i w:val="false"/>
          <w:iCs w:val="false"/>
          <w:color w:val="000000"/>
          <w:sz w:val="21"/>
          <w:szCs w:val="21"/>
        </w:rPr>
        <w:t xml:space="preserve">建設技術者の採用競争激化と単価上昇に伴う売上原価圧迫。</w:t>
      </w:r>
      <w:r>
        <w:rPr>
          <w:rFonts w:ascii="Arial" w:cs="Arial" w:eastAsia="Arial" w:hAnsi="Arial"/>
          <w:b w:val="false"/>
          <w:bCs w:val="false"/>
          <w:i w:val="false"/>
          <w:iCs w:val="false"/>
          <w:color w:val="000000"/>
          <w:sz w:val="21"/>
          <w:szCs w:val="21"/>
        </w:rPr>
        <w:t xml:space="preserve"> 上位5社合計で人材獲得競争中。技術者単価が上がっても給与転嫁速度が同等以上だと利益率が薄くなる。実際FY22は12.3%まで利益率が下落した実績あり[出典: 同上]。</w:t>
      </w:r>
    </w:p>
    <w:p>
      <w:pPr>
        <w:spacing w:after="40" w:line="280"/>
        <w:ind w:left="360"/>
      </w:pPr>
      <w:r>
        <w:rPr>
          <w:rFonts w:ascii="Arial" w:cs="Arial" w:eastAsia="Arial" w:hAnsi="Arial"/>
          <w:b/>
          <w:bCs/>
          <w:sz w:val="21"/>
          <w:szCs w:val="21"/>
        </w:rPr>
        <w:t xml:space="preserve">3. </w:t>
      </w:r>
      <w:r>
        <w:rPr>
          <w:rFonts w:ascii="Arial" w:cs="Arial" w:eastAsia="Arial" w:hAnsi="Arial"/>
          <w:b/>
          <w:bCs/>
          <w:i w:val="false"/>
          <w:iCs w:val="false"/>
          <w:color w:val="000000"/>
          <w:sz w:val="21"/>
          <w:szCs w:val="21"/>
        </w:rPr>
        <w:t xml:space="preserve">顧客集中（ゼネコン・サブコン上位）と長期受注変動。</w:t>
      </w:r>
      <w:r>
        <w:rPr>
          <w:rFonts w:ascii="Arial" w:cs="Arial" w:eastAsia="Arial" w:hAnsi="Arial"/>
          <w:b w:val="false"/>
          <w:bCs w:val="false"/>
          <w:i w:val="false"/>
          <w:iCs w:val="false"/>
          <w:color w:val="000000"/>
          <w:sz w:val="21"/>
          <w:szCs w:val="21"/>
        </w:rPr>
        <w:t xml:space="preserve"> 大手ゼネコン主導のメガプロジェクト（半導体工場・データセンター・都市再開発）への依存度は高く、プロジェクト終了時の派遣需要切替リスクあり[出典: 業界類推]。</w:t>
      </w:r>
    </w:p>
    <w:p>
      <w:pPr>
        <w:spacing w:after="40" w:line="280"/>
        <w:ind w:left="360"/>
      </w:pPr>
      <w:r>
        <w:rPr>
          <w:rFonts w:ascii="Arial" w:cs="Arial" w:eastAsia="Arial" w:hAnsi="Arial"/>
          <w:b/>
          <w:bCs/>
          <w:sz w:val="21"/>
          <w:szCs w:val="21"/>
        </w:rPr>
        <w:t xml:space="preserve">4. </w:t>
      </w:r>
      <w:r>
        <w:rPr>
          <w:rFonts w:ascii="Arial" w:cs="Arial" w:eastAsia="Arial" w:hAnsi="Arial"/>
          <w:b/>
          <w:bCs/>
          <w:i w:val="false"/>
          <w:iCs w:val="false"/>
          <w:color w:val="000000"/>
          <w:sz w:val="21"/>
          <w:szCs w:val="21"/>
        </w:rPr>
        <w:t xml:space="preserve">親会社（テクノプロHD/Blackstone）方針変更リスク。</w:t>
      </w:r>
      <w:r>
        <w:rPr>
          <w:rFonts w:ascii="Arial" w:cs="Arial" w:eastAsia="Arial" w:hAnsi="Arial"/>
          <w:b w:val="false"/>
          <w:bCs w:val="false"/>
          <w:i w:val="false"/>
          <w:iCs w:val="false"/>
          <w:color w:val="000000"/>
          <w:sz w:val="21"/>
          <w:szCs w:val="21"/>
        </w:rPr>
        <w:t xml:space="preserve"> Blackstoneのポートフォリオ管理上、施工管理事業のカーブアウト売却（PE・事業会社へ）あるいはR&amp;Dとの統合・再編判断はBlackstone主導[出典: 業界推測（仮説）]。</w:t>
      </w:r>
    </w:p>
    <w:p>
      <w:pPr>
        <w:spacing w:after="80" w:before="160"/>
      </w:pPr>
      <w:r>
        <w:rPr>
          <w:rFonts w:ascii="Arial" w:cs="Arial" w:eastAsia="Arial" w:hAnsi="Arial"/>
          <w:b/>
          <w:bCs/>
          <w:color w:val="404040"/>
          <w:sz w:val="23"/>
          <w:szCs w:val="23"/>
        </w:rPr>
        <w:t xml:space="preserve">追加DDで詰めるべき論点（Open Questions）</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顧客集中度</w:t>
      </w:r>
      <w:r>
        <w:rPr>
          <w:rFonts w:ascii="Arial" w:cs="Arial" w:eastAsia="Arial" w:hAnsi="Arial"/>
          <w:b w:val="false"/>
          <w:bCs w:val="false"/>
          <w:i w:val="false"/>
          <w:iCs w:val="false"/>
          <w:color w:val="000000"/>
          <w:sz w:val="20"/>
          <w:szCs w:val="20"/>
        </w:rPr>
        <w:t xml:space="preserve">：ゼネコンTop20（鹿島・大林・清水・大成・竹中等）への売上比率、半導体工場・物流倉庫・データセンターのプロジェクト別売上構成。</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稼働率と単価の足元水準</w:t>
      </w:r>
      <w:r>
        <w:rPr>
          <w:rFonts w:ascii="Arial" w:cs="Arial" w:eastAsia="Arial" w:hAnsi="Arial"/>
          <w:b w:val="false"/>
          <w:bCs w:val="false"/>
          <w:i w:val="false"/>
          <w:iCs w:val="false"/>
          <w:color w:val="000000"/>
          <w:sz w:val="20"/>
          <w:szCs w:val="20"/>
        </w:rPr>
        <w:t xml:space="preserve">：施工管理技術者2,973名の実稼働率、技術者1人月単価のFY21-FY25推移、建築/土木/設備電気/プラントの領域別単価差。</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退職率と採用パイプライン</w:t>
      </w:r>
      <w:r>
        <w:rPr>
          <w:rFonts w:ascii="Arial" w:cs="Arial" w:eastAsia="Arial" w:hAnsi="Arial"/>
          <w:b w:val="false"/>
          <w:bCs w:val="false"/>
          <w:i w:val="false"/>
          <w:iCs w:val="false"/>
          <w:color w:val="000000"/>
          <w:sz w:val="20"/>
          <w:szCs w:val="20"/>
        </w:rPr>
        <w:t xml:space="preserve">：建設技術者の年間退職率、新卒/中途比率、未経験者育成期間とコスト、施工管理技士資格保有率。</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領域別損益（建築/土木/設備電気/プラント）</w:t>
      </w:r>
      <w:r>
        <w:rPr>
          <w:rFonts w:ascii="Arial" w:cs="Arial" w:eastAsia="Arial" w:hAnsi="Arial"/>
          <w:b w:val="false"/>
          <w:bCs w:val="false"/>
          <w:i w:val="false"/>
          <w:iCs w:val="false"/>
          <w:color w:val="000000"/>
          <w:sz w:val="20"/>
          <w:szCs w:val="20"/>
        </w:rPr>
        <w:t xml:space="preserve">：プラント・設備電気は半導体工場特需で高単価、土木は公共投資依存度高、建築はゼネコン直需中心。それぞれの売上・利益貢献の分解。</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設備電気/プラント分野での競合状況</w:t>
      </w:r>
      <w:r>
        <w:rPr>
          <w:rFonts w:ascii="Arial" w:cs="Arial" w:eastAsia="Arial" w:hAnsi="Arial"/>
          <w:b w:val="false"/>
          <w:bCs w:val="false"/>
          <w:i w:val="false"/>
          <w:iCs w:val="false"/>
          <w:color w:val="000000"/>
          <w:sz w:val="20"/>
          <w:szCs w:val="20"/>
        </w:rPr>
        <w:t xml:space="preserve">：日揮・千代田化工・東洋エンジ等のEPC企業内製化動向、関電工・きんでん・明電舎等の専業派遣会社のシェア。</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Blackstone/テクノプロHDの施工管理事業に対する戦略</w:t>
      </w:r>
      <w:r>
        <w:rPr>
          <w:rFonts w:ascii="Arial" w:cs="Arial" w:eastAsia="Arial" w:hAnsi="Arial"/>
          <w:b w:val="false"/>
          <w:bCs w:val="false"/>
          <w:i w:val="false"/>
          <w:iCs w:val="false"/>
          <w:color w:val="000000"/>
          <w:sz w:val="20"/>
          <w:szCs w:val="20"/>
        </w:rPr>
        <w:t xml:space="preserve">：R&amp;Dとの統合シナジー期待、カーブアウト売却の蓋然性、中計でのKPIターゲット。</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後継者プラン・KMPリテンション</w:t>
      </w:r>
      <w:r>
        <w:rPr>
          <w:rFonts w:ascii="Arial" w:cs="Arial" w:eastAsia="Arial" w:hAnsi="Arial"/>
          <w:b w:val="false"/>
          <w:bCs w:val="false"/>
          <w:i w:val="false"/>
          <w:iCs w:val="false"/>
          <w:color w:val="000000"/>
          <w:sz w:val="20"/>
          <w:szCs w:val="20"/>
        </w:rPr>
        <w:t xml:space="preserve">：テクノプロ・コンストラクション社長以下の経営陣の出身（テクノプロ本体出向か独立採用か）、報酬設計、Blackstone体制でのインセンティブ。</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土木・公共インフラ受注の中期見通し</w:t>
      </w:r>
      <w:r>
        <w:rPr>
          <w:rFonts w:ascii="Arial" w:cs="Arial" w:eastAsia="Arial" w:hAnsi="Arial"/>
          <w:b w:val="false"/>
          <w:bCs w:val="false"/>
          <w:i w:val="false"/>
          <w:iCs w:val="false"/>
          <w:color w:val="000000"/>
          <w:sz w:val="20"/>
          <w:szCs w:val="20"/>
        </w:rPr>
        <w:t xml:space="preserve">：国土強靱化計画第2期（FY26-FY30）の予算規模、自治体派遣案件の単価感応度。</w:t>
      </w:r>
    </w:p>
    <w:p>
      <w:pPr>
        <w:spacing w:after="100" w:before="200"/>
      </w:pPr>
      <w:r>
        <w:rPr>
          <w:rFonts w:ascii="Arial" w:cs="Arial" w:eastAsia="Arial" w:hAnsi="Arial"/>
          <w:b/>
          <w:bCs/>
          <w:color w:val="2C4F7A"/>
          <w:sz w:val="25"/>
          <w:szCs w:val="25"/>
        </w:rPr>
        <w:t xml:space="preserve">① 事業概要</w:t>
      </w:r>
    </w:p>
    <w:p>
      <w:pPr>
        <w:spacing w:after="80" w:before="160"/>
      </w:pPr>
      <w:r>
        <w:rPr>
          <w:rFonts w:ascii="Arial" w:cs="Arial" w:eastAsia="Arial" w:hAnsi="Arial"/>
          <w:b/>
          <w:bCs/>
          <w:color w:val="404040"/>
          <w:sz w:val="23"/>
          <w:szCs w:val="23"/>
        </w:rPr>
        <w:t xml:space="preserve">1-1. 事業セグメント構造</w:t>
      </w:r>
    </w:p>
    <w:p>
      <w:pPr>
        <w:spacing w:after="80" w:before="0" w:line="280"/>
        <w:jc w:val="left"/>
      </w:pPr>
      <w:r>
        <w:rPr>
          <w:rFonts w:ascii="Arial" w:cs="Arial" w:eastAsia="Arial" w:hAnsi="Arial"/>
          <w:b w:val="false"/>
          <w:bCs w:val="false"/>
          <w:i w:val="false"/>
          <w:iCs w:val="false"/>
          <w:color w:val="000000"/>
          <w:sz w:val="21"/>
          <w:szCs w:val="21"/>
        </w:rPr>
        <w:t xml:space="preserve">テクノプロ・コンストラクションはテクノプロHD連結における「施工管理アウトソーシング事業」セグメントを担う中核子会社。建築・土木・設備電気・プラントの4領域における施工管理（安全管理・品質管理・工程管理・原価管理）の技術者派遣と、建設図面作成請負を主業とする[出典: テクノプロHD第20期有報 セグメント情報の概要]。</w:t>
      </w:r>
    </w:p>
    <w:p>
      <w:pPr>
        <w:spacing w:after="60" w:before="120"/>
      </w:pPr>
      <w:r>
        <w:rPr>
          <w:rFonts w:ascii="Arial" w:cs="Arial" w:eastAsia="Arial" w:hAnsi="Arial"/>
          <w:b/>
          <w:bCs/>
          <w:color w:val="595959"/>
          <w:sz w:val="21"/>
          <w:szCs w:val="21"/>
        </w:rPr>
        <w:t xml:space="preserve">必須テーブルA：5期セグメント別業績推移（百万円、FY=テクノプロHD連結6月決算）</w:t>
      </w:r>
    </w:p>
    <w:tbl>
      <w:tblPr>
        <w:tblW w:type="pct" w:w="100%"/>
        <w:tblBorders>
          <w:top w:val="single" w:color="BFBFBF" w:sz="4"/>
          <w:left w:val="single" w:color="BFBFBF" w:sz="4"/>
          <w:bottom w:val="single" w:color="BFBFBF" w:sz="4"/>
          <w:right w:val="single" w:color="BFBFBF" w:sz="4"/>
          <w:insideH w:val="single" w:color="BFBFBF" w:sz="2"/>
          <w:insideV w:val="single" w:color="BFBFBF" w:sz="2"/>
        </w:tblBorders>
      </w:tblPr>
      <w:tblGrid>
        <w:gridCol w:w="100"/>
        <w:gridCol w:w="100"/>
        <w:gridCol w:w="100"/>
        <w:gridCol w:w="100"/>
        <w:gridCol w:w="100"/>
        <w:gridCol w:w="100"/>
        <w:gridCol w:w="100"/>
      </w:tblGrid>
      <w:tr>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セグメント</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指標</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FY2021</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FY2022</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FY2023</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FY2024</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FY2025</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施工管理アウトソーシング</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売上収益（外部）</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19,670</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20,311</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21,642</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23,291</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25,564</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営業利益</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2,791</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2,489</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2,930</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3,422</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3,699</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営業利益率</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14.2%</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12.3%</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13.5%</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14.7%</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14.5%</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設備投資</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不開示</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不開示</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不開示</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不開示</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不開示</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設備投資/売上</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減価償却費</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210</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224</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248</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244</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239</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減価償却費/売上</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1.07%</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1.10%</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1.15%</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1.05%</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0.94%</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セグメント従業員数（人）</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1,605</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1,729</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2,054</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2,583</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2,973</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参考：テクノプロHD連結</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売上収益</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161,316</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178,756</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199,851</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219,218</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238,966</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営業利益</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19,461</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20,641</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21,838</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21,918</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23,844</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営業利益率</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12.1%</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11.5%</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10.9%</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10.0%</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10.0%</w:t>
            </w:r>
          </w:p>
        </w:tc>
      </w:tr>
    </w:tbl>
    <w:p>
      <w:pPr>
        <w:spacing w:after="60" w:before="0" w:line="280"/>
        <w:jc w:val="left"/>
      </w:pPr>
      <w:r>
        <w:rPr>
          <w:rFonts w:ascii="Arial" w:cs="Arial" w:eastAsia="Arial" w:hAnsi="Arial"/>
          <w:b w:val="false"/>
          <w:bCs w:val="false"/>
          <w:i w:val="false"/>
          <w:iCs w:val="false"/>
          <w:color w:val="000000"/>
          <w:sz w:val="21"/>
          <w:szCs w:val="21"/>
        </w:rPr>
        <w:t xml:space="preserve"/>
      </w:r>
    </w:p>
    <w:p>
      <w:pPr>
        <w:spacing w:after="80" w:before="0" w:line="280"/>
        <w:jc w:val="left"/>
      </w:pPr>
      <w:r>
        <w:rPr>
          <w:rFonts w:ascii="Arial" w:cs="Arial" w:eastAsia="Arial" w:hAnsi="Arial"/>
          <w:b w:val="false"/>
          <w:bCs w:val="false"/>
          <w:i w:val="false"/>
          <w:iCs w:val="false"/>
          <w:color w:val="000000"/>
          <w:sz w:val="21"/>
          <w:szCs w:val="21"/>
        </w:rPr>
        <w:t xml:space="preserve">注1：施工管理アウトソーシングはテクノプロHDの単一報告セグメント（4セグメントの一つ）。設備投資はFY25のみR&amp;D（285百万円）・全社（182百万円）の2セグメント開示があり、施工管理は個別不開示。注2：従業員数はテクノプロ・コンストラクション主体だが、連結内の建設業務関連従業員も一部含む。注3：売上CAGR（FY21→FY25）は6.8%、従業員CAGRは16.6%。出典：第16期-第20期 有価証券報告書 セグメント情報。</w:t>
      </w:r>
    </w:p>
    <w:p>
      <w:pPr>
        <w:spacing w:after="60" w:before="120"/>
      </w:pPr>
      <w:r>
        <w:rPr>
          <w:rFonts w:ascii="Arial" w:cs="Arial" w:eastAsia="Arial" w:hAnsi="Arial"/>
          <w:b/>
          <w:bCs/>
          <w:color w:val="595959"/>
          <w:sz w:val="21"/>
          <w:szCs w:val="21"/>
        </w:rPr>
        <w:t xml:space="preserve">必須テーブルB：直近期（FY2025）セグメント構成比（テクノプロHD全体に占める施工管理の位置）</w:t>
      </w:r>
    </w:p>
    <w:tbl>
      <w:tblPr>
        <w:tblW w:type="pct" w:w="100%"/>
        <w:tblBorders>
          <w:top w:val="single" w:color="BFBFBF" w:sz="4"/>
          <w:left w:val="single" w:color="BFBFBF" w:sz="4"/>
          <w:bottom w:val="single" w:color="BFBFBF" w:sz="4"/>
          <w:right w:val="single" w:color="BFBFBF" w:sz="4"/>
          <w:insideH w:val="single" w:color="BFBFBF" w:sz="2"/>
          <w:insideV w:val="single" w:color="BFBFBF" w:sz="2"/>
        </w:tblBorders>
      </w:tblPr>
      <w:tblGrid>
        <w:gridCol w:w="100"/>
        <w:gridCol w:w="100"/>
        <w:gridCol w:w="100"/>
        <w:gridCol w:w="100"/>
        <w:gridCol w:w="100"/>
        <w:gridCol w:w="100"/>
      </w:tblGrid>
      <w:tr>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セグメント</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売上（百万円）</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売上構成比</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営業利益（百万円）</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営業利益構成比</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営業利益率</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R&amp;Dアウトソーシング</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187,093</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78.3%</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23,087</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92.5%</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12.3%</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bCs/>
                <w:i w:val="false"/>
                <w:iCs w:val="false"/>
                <w:color w:val="000000"/>
                <w:sz w:val="18"/>
                <w:szCs w:val="18"/>
              </w:rPr>
              <w:t xml:space="preserve">施工管理アウトソーシング</w:t>
            </w:r>
          </w:p>
        </w:tc>
        <w:tc>
          <w:tcPr>
            <w:shd w:fill="F2F4F7" w:color="F2F4F7" w:val="solid"/>
            <w:tcMar>
              <w:top w:type="dxa" w:w="60"/>
              <w:left w:type="dxa" w:w="80"/>
              <w:bottom w:type="dxa" w:w="60"/>
              <w:right w:type="dxa" w:w="80"/>
            </w:tcMar>
          </w:tcPr>
          <w:p>
            <w:pPr>
              <w:spacing w:line="240"/>
              <w:jc w:val="left"/>
            </w:pPr>
            <w:r>
              <w:rPr>
                <w:rFonts w:ascii="Arial" w:cs="Arial" w:eastAsia="Arial" w:hAnsi="Arial"/>
                <w:b/>
                <w:bCs/>
                <w:i w:val="false"/>
                <w:iCs w:val="false"/>
                <w:color w:val="000000"/>
                <w:sz w:val="18"/>
                <w:szCs w:val="18"/>
              </w:rPr>
              <w:t xml:space="preserve">25,564</w:t>
            </w:r>
          </w:p>
        </w:tc>
        <w:tc>
          <w:tcPr>
            <w:shd w:fill="F2F4F7" w:color="F2F4F7" w:val="solid"/>
            <w:tcMar>
              <w:top w:type="dxa" w:w="60"/>
              <w:left w:type="dxa" w:w="80"/>
              <w:bottom w:type="dxa" w:w="60"/>
              <w:right w:type="dxa" w:w="80"/>
            </w:tcMar>
          </w:tcPr>
          <w:p>
            <w:pPr>
              <w:spacing w:line="240"/>
              <w:jc w:val="left"/>
            </w:pPr>
            <w:r>
              <w:rPr>
                <w:rFonts w:ascii="Arial" w:cs="Arial" w:eastAsia="Arial" w:hAnsi="Arial"/>
                <w:b/>
                <w:bCs/>
                <w:i w:val="false"/>
                <w:iCs w:val="false"/>
                <w:color w:val="000000"/>
                <w:sz w:val="18"/>
                <w:szCs w:val="18"/>
              </w:rPr>
              <w:t xml:space="preserve">10.7%</w:t>
            </w:r>
          </w:p>
        </w:tc>
        <w:tc>
          <w:tcPr>
            <w:shd w:fill="F2F4F7" w:color="F2F4F7" w:val="solid"/>
            <w:tcMar>
              <w:top w:type="dxa" w:w="60"/>
              <w:left w:type="dxa" w:w="80"/>
              <w:bottom w:type="dxa" w:w="60"/>
              <w:right w:type="dxa" w:w="80"/>
            </w:tcMar>
          </w:tcPr>
          <w:p>
            <w:pPr>
              <w:spacing w:line="240"/>
              <w:jc w:val="left"/>
            </w:pPr>
            <w:r>
              <w:rPr>
                <w:rFonts w:ascii="Arial" w:cs="Arial" w:eastAsia="Arial" w:hAnsi="Arial"/>
                <w:b/>
                <w:bCs/>
                <w:i w:val="false"/>
                <w:iCs w:val="false"/>
                <w:color w:val="000000"/>
                <w:sz w:val="18"/>
                <w:szCs w:val="18"/>
              </w:rPr>
              <w:t xml:space="preserve">3,699</w:t>
            </w:r>
          </w:p>
        </w:tc>
        <w:tc>
          <w:tcPr>
            <w:shd w:fill="F2F4F7" w:color="F2F4F7" w:val="solid"/>
            <w:tcMar>
              <w:top w:type="dxa" w:w="60"/>
              <w:left w:type="dxa" w:w="80"/>
              <w:bottom w:type="dxa" w:w="60"/>
              <w:right w:type="dxa" w:w="80"/>
            </w:tcMar>
          </w:tcPr>
          <w:p>
            <w:pPr>
              <w:spacing w:line="240"/>
              <w:jc w:val="left"/>
            </w:pPr>
            <w:r>
              <w:rPr>
                <w:rFonts w:ascii="Arial" w:cs="Arial" w:eastAsia="Arial" w:hAnsi="Arial"/>
                <w:b/>
                <w:bCs/>
                <w:i w:val="false"/>
                <w:iCs w:val="false"/>
                <w:color w:val="000000"/>
                <w:sz w:val="18"/>
                <w:szCs w:val="18"/>
              </w:rPr>
              <w:t xml:space="preserve">14.8%</w:t>
            </w:r>
          </w:p>
        </w:tc>
        <w:tc>
          <w:tcPr>
            <w:shd w:fill="F2F4F7" w:color="F2F4F7" w:val="solid"/>
            <w:tcMar>
              <w:top w:type="dxa" w:w="60"/>
              <w:left w:type="dxa" w:w="80"/>
              <w:bottom w:type="dxa" w:w="60"/>
              <w:right w:type="dxa" w:w="80"/>
            </w:tcMar>
          </w:tcPr>
          <w:p>
            <w:pPr>
              <w:spacing w:line="240"/>
              <w:jc w:val="left"/>
            </w:pPr>
            <w:r>
              <w:rPr>
                <w:rFonts w:ascii="Arial" w:cs="Arial" w:eastAsia="Arial" w:hAnsi="Arial"/>
                <w:b/>
                <w:bCs/>
                <w:i w:val="false"/>
                <w:iCs w:val="false"/>
                <w:color w:val="000000"/>
                <w:sz w:val="18"/>
                <w:szCs w:val="18"/>
              </w:rPr>
              <w:t xml:space="preserve">14.5%</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国内その他</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3,217</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1.4%</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219</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0.9%</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6.8%</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海外</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23,027</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9.6%</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△3,084</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△12.4%</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△13.4%</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全社／消去</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63</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△77</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△0.3%</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連結</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238,966</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100.0%</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23,844</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100.0%</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10.0%</w:t>
            </w:r>
          </w:p>
        </w:tc>
      </w:tr>
    </w:tbl>
    <w:p>
      <w:pPr>
        <w:spacing w:after="60" w:before="0" w:line="280"/>
        <w:jc w:val="left"/>
      </w:pPr>
      <w:r>
        <w:rPr>
          <w:rFonts w:ascii="Arial" w:cs="Arial" w:eastAsia="Arial" w:hAnsi="Arial"/>
          <w:b w:val="false"/>
          <w:bCs w:val="false"/>
          <w:i w:val="false"/>
          <w:iCs w:val="false"/>
          <w:color w:val="000000"/>
          <w:sz w:val="21"/>
          <w:szCs w:val="21"/>
        </w:rPr>
        <w:t xml:space="preserve"/>
      </w:r>
    </w:p>
    <w:p>
      <w:pPr>
        <w:spacing w:after="80" w:before="0" w:line="280"/>
        <w:jc w:val="left"/>
      </w:pPr>
      <w:r>
        <w:rPr>
          <w:rFonts w:ascii="Arial" w:cs="Arial" w:eastAsia="Arial" w:hAnsi="Arial"/>
          <w:b/>
          <w:bCs/>
          <w:i w:val="false"/>
          <w:iCs w:val="false"/>
          <w:color w:val="000000"/>
          <w:sz w:val="21"/>
          <w:szCs w:val="21"/>
        </w:rPr>
        <w:t xml:space="preserve">含意</w:t>
      </w:r>
      <w:r>
        <w:rPr>
          <w:rFonts w:ascii="Arial" w:cs="Arial" w:eastAsia="Arial" w:hAnsi="Arial"/>
          <w:b w:val="false"/>
          <w:bCs w:val="false"/>
          <w:i w:val="false"/>
          <w:iCs w:val="false"/>
          <w:color w:val="000000"/>
          <w:sz w:val="21"/>
          <w:szCs w:val="21"/>
        </w:rPr>
        <w:t xml:space="preserve">：施工管理は連結売上の10.7%しか占めないが、利益貢献は14.8%と相対的に高い「収益優等生」。海外事業の継続赤字を吸収する役割を果たしている。</w:t>
      </w:r>
    </w:p>
    <w:p>
      <w:pPr>
        <w:spacing w:after="80" w:before="160"/>
      </w:pPr>
      <w:r>
        <w:rPr>
          <w:rFonts w:ascii="Arial" w:cs="Arial" w:eastAsia="Arial" w:hAnsi="Arial"/>
          <w:b/>
          <w:bCs/>
          <w:color w:val="404040"/>
          <w:sz w:val="23"/>
          <w:szCs w:val="23"/>
        </w:rPr>
        <w:t xml:space="preserve">1-2. 製品・サービス</w:t>
      </w:r>
    </w:p>
    <w:p>
      <w:pPr>
        <w:spacing w:after="80" w:before="0" w:line="280"/>
        <w:jc w:val="left"/>
      </w:pPr>
      <w:r>
        <w:rPr>
          <w:rFonts w:ascii="Arial" w:cs="Arial" w:eastAsia="Arial" w:hAnsi="Arial"/>
          <w:b w:val="false"/>
          <w:bCs w:val="false"/>
          <w:i w:val="false"/>
          <w:iCs w:val="false"/>
          <w:color w:val="000000"/>
          <w:sz w:val="21"/>
          <w:szCs w:val="21"/>
        </w:rPr>
        <w:t xml:space="preserve">主要サービスは(i)建築施工管理派遣、(ii)土木施工管理派遣、(iii)設備電気施工管理派遣、(iv)プラント施工管理派遣、(v)建設図面作成請負（CAD/BIMオペレーション）の5本柱。施工管理業務の中身は、安全管理（KY活動・安全教育・労務管理）、品質管理（材料品質・施工品質・出来形検査）、工程管理（マスタースケジュール・週間工程・調整）、原価管理（実行予算策定・原価実績管理）の4機能を、ゼネコン・サブコン現場代理人と共同で担う。BIM活用やデジタル工事写真管理など、DX領域の付加価値サービスも拡大方向[出典: テクノプロ・コンストラクション公式サイト サービス紹介、テクノプロHD第20期有報 セグメント情報]。</w:t>
      </w:r>
    </w:p>
    <w:p>
      <w:pPr>
        <w:spacing w:after="80" w:before="0" w:line="280"/>
        <w:jc w:val="left"/>
      </w:pPr>
      <w:r>
        <w:rPr>
          <w:rFonts w:ascii="Arial" w:cs="Arial" w:eastAsia="Arial" w:hAnsi="Arial"/>
          <w:b w:val="false"/>
          <w:bCs w:val="false"/>
          <w:i w:val="false"/>
          <w:iCs w:val="false"/>
          <w:color w:val="000000"/>
          <w:sz w:val="21"/>
          <w:szCs w:val="21"/>
        </w:rPr>
        <w:t xml:space="preserve">製品ライン別の細分開示はテクノプロHD有報になく（製品及びサービスの区分が報告セグメントと同一のため省略）、領域別の売上構成は外部不可視[出典: 同上]。</w:t>
      </w:r>
    </w:p>
    <w:p>
      <w:pPr>
        <w:spacing w:after="80" w:before="160"/>
      </w:pPr>
      <w:r>
        <w:rPr>
          <w:rFonts w:ascii="Arial" w:cs="Arial" w:eastAsia="Arial" w:hAnsi="Arial"/>
          <w:b/>
          <w:bCs/>
          <w:color w:val="404040"/>
          <w:sz w:val="23"/>
          <w:szCs w:val="23"/>
        </w:rPr>
        <w:t xml:space="preserve">1-3. 顧客構造</w:t>
      </w:r>
    </w:p>
    <w:p>
      <w:pPr>
        <w:spacing w:after="80" w:before="0" w:line="280"/>
        <w:jc w:val="left"/>
      </w:pPr>
      <w:r>
        <w:rPr>
          <w:rFonts w:ascii="Arial" w:cs="Arial" w:eastAsia="Arial" w:hAnsi="Arial"/>
          <w:b w:val="false"/>
          <w:bCs w:val="false"/>
          <w:i w:val="false"/>
          <w:iCs w:val="false"/>
          <w:color w:val="000000"/>
          <w:sz w:val="21"/>
          <w:szCs w:val="21"/>
        </w:rPr>
        <w:t xml:space="preserve">主要顧客はスーパーゼネコン（鹿島・大林・清水・大成・竹中）、準大手ゼネコン（戸田・前田・西松・三井住友・五洋等）、サブコン（高砂熱学・関電工・きんでん・新菱冷熱・ダイダン等）、半導体・データセンター施主企業（TSMC熊本、ラピダス、メガクラウド系）に分散していると推測される（仮説、業界類推）。テクノプロHD連結ベースで「単一顧客10%超なし」が公表されているため、施工管理セグメント単体でも特定ゼネコン依存度は限定的（仮説）[出典: テクノプロHD第20期有報 主要な顧客に関する情報]。</w:t>
      </w:r>
    </w:p>
    <w:p>
      <w:pPr>
        <w:spacing w:after="80" w:before="0" w:line="280"/>
        <w:jc w:val="left"/>
      </w:pPr>
      <w:r>
        <w:rPr>
          <w:rFonts w:ascii="Arial" w:cs="Arial" w:eastAsia="Arial" w:hAnsi="Arial"/>
          <w:b w:val="false"/>
          <w:bCs w:val="false"/>
          <w:i w:val="false"/>
          <w:iCs w:val="false"/>
          <w:color w:val="000000"/>
          <w:sz w:val="21"/>
          <w:szCs w:val="21"/>
        </w:rPr>
        <w:t xml:space="preserve">地域別はテクノプロHD連結で日本91.1%。施工管理事業は国内事業のため、ほぼ100%日本国内売上と推定される。</w:t>
      </w:r>
    </w:p>
    <w:p>
      <w:pPr>
        <w:spacing w:after="80" w:before="160"/>
      </w:pPr>
      <w:r>
        <w:rPr>
          <w:rFonts w:ascii="Arial" w:cs="Arial" w:eastAsia="Arial" w:hAnsi="Arial"/>
          <w:b/>
          <w:bCs/>
          <w:color w:val="404040"/>
          <w:sz w:val="23"/>
          <w:szCs w:val="23"/>
        </w:rPr>
        <w:t xml:space="preserve">1-4. バリューチェーン上のポジション</w:t>
      </w:r>
    </w:p>
    <w:p>
      <w:pPr>
        <w:spacing w:after="80" w:before="0" w:line="280"/>
        <w:jc w:val="left"/>
      </w:pPr>
      <w:r>
        <w:rPr>
          <w:rFonts w:ascii="Arial" w:cs="Arial" w:eastAsia="Arial" w:hAnsi="Arial"/>
          <w:b w:val="false"/>
          <w:bCs w:val="false"/>
          <w:i w:val="false"/>
          <w:iCs w:val="false"/>
          <w:color w:val="000000"/>
          <w:sz w:val="21"/>
          <w:szCs w:val="21"/>
        </w:rPr>
        <w:t xml:space="preserve">ゼネコン・サブコンの施工管理機能の </w:t>
      </w:r>
      <w:r>
        <w:rPr>
          <w:rFonts w:ascii="Arial" w:cs="Arial" w:eastAsia="Arial" w:hAnsi="Arial"/>
          <w:b/>
          <w:bCs/>
          <w:i w:val="false"/>
          <w:iCs w:val="false"/>
          <w:color w:val="000000"/>
          <w:sz w:val="21"/>
          <w:szCs w:val="21"/>
        </w:rPr>
        <w:t xml:space="preserve">外注パートナー</w:t>
      </w:r>
      <w:r>
        <w:rPr>
          <w:rFonts w:ascii="Arial" w:cs="Arial" w:eastAsia="Arial" w:hAnsi="Arial"/>
          <w:b w:val="false"/>
          <w:bCs w:val="false"/>
          <w:i w:val="false"/>
          <w:iCs w:val="false"/>
          <w:color w:val="000000"/>
          <w:sz w:val="21"/>
          <w:szCs w:val="21"/>
        </w:rPr>
        <w:t xml:space="preserve"> として、現場代理人・職長級の人材を派遣する役務提供事業。コアプロセスは(a)技術者母集団形成（新卒・中途・施工管理技士有資格者）→(b)スクリーニング採用→(c)現場マッチング・配属→(d)現場サポート・教育→(e)資格取得支援（1級/2級施工管理技士）→(f)キャリアパス管理。固定資産は教育研修施設・本社拠点・ITシステムが中心で、極めてアセットライト（減価償却費は売上比1%程度）[出典: テクノプロHD第20期有報 設備投資の概要]。</w:t>
      </w:r>
    </w:p>
    <w:p>
      <w:pPr>
        <w:spacing w:after="80" w:before="160"/>
      </w:pPr>
      <w:r>
        <w:rPr>
          <w:rFonts w:ascii="Arial" w:cs="Arial" w:eastAsia="Arial" w:hAnsi="Arial"/>
          <w:b/>
          <w:bCs/>
          <w:color w:val="404040"/>
          <w:sz w:val="23"/>
          <w:szCs w:val="23"/>
        </w:rPr>
        <w:t xml:space="preserve">1-5. 主要競合（建設技術者派遣 上位5社比較・テーブル必須）</w:t>
      </w:r>
    </w:p>
    <w:p>
      <w:pPr>
        <w:spacing w:after="80" w:before="0" w:line="280"/>
        <w:jc w:val="left"/>
      </w:pPr>
      <w:r>
        <w:rPr>
          <w:rFonts w:ascii="Arial" w:cs="Arial" w:eastAsia="Arial" w:hAnsi="Arial"/>
          <w:b w:val="false"/>
          <w:bCs w:val="false"/>
          <w:i w:val="false"/>
          <w:iCs w:val="false"/>
          <w:color w:val="000000"/>
          <w:sz w:val="21"/>
          <w:szCs w:val="21"/>
        </w:rPr>
        <w:t xml:space="preserve">国内の建設技術者派遣・施工管理アウトソーシング市場は、2024年問題以降の人手不足を背景に高成長中であり、上位5社の競合構造は以下の通り（FY24-FY25直近期データ）。</w:t>
      </w:r>
    </w:p>
    <w:tbl>
      <w:tblPr>
        <w:tblW w:type="pct" w:w="100%"/>
        <w:tblBorders>
          <w:top w:val="single" w:color="BFBFBF" w:sz="4"/>
          <w:left w:val="single" w:color="BFBFBF" w:sz="4"/>
          <w:bottom w:val="single" w:color="BFBFBF" w:sz="4"/>
          <w:right w:val="single" w:color="BFBFBF" w:sz="4"/>
          <w:insideH w:val="single" w:color="BFBFBF" w:sz="2"/>
          <w:insideV w:val="single" w:color="BFBFBF" w:sz="2"/>
        </w:tblBorders>
      </w:tblPr>
      <w:tblGrid>
        <w:gridCol w:w="100"/>
        <w:gridCol w:w="100"/>
        <w:gridCol w:w="100"/>
        <w:gridCol w:w="100"/>
        <w:gridCol w:w="100"/>
        <w:gridCol w:w="100"/>
      </w:tblGrid>
      <w:tr>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競合名</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上場区分</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建設セグメント売上（時点）</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同セグメント営業利益率</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建設技術者数</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強み・特徴</w:t>
            </w:r>
          </w:p>
        </w:tc>
      </w:tr>
      <w:tr>
        <w:tc>
          <w:tcPr>
            <w:tcMar>
              <w:top w:type="dxa" w:w="60"/>
              <w:left w:type="dxa" w:w="80"/>
              <w:bottom w:type="dxa" w:w="60"/>
              <w:right w:type="dxa" w:w="80"/>
            </w:tcMar>
          </w:tcPr>
          <w:p>
            <w:pPr>
              <w:spacing w:line="240"/>
              <w:jc w:val="left"/>
            </w:pPr>
            <w:r>
              <w:rPr>
                <w:rFonts w:ascii="Arial" w:cs="Arial" w:eastAsia="Arial" w:hAnsi="Arial"/>
                <w:b/>
                <w:bCs/>
                <w:i w:val="false"/>
                <w:iCs w:val="false"/>
                <w:color w:val="000000"/>
                <w:sz w:val="18"/>
                <w:szCs w:val="18"/>
              </w:rPr>
              <w:t xml:space="preserve">テクノプロ・コンストラクション</w:t>
            </w:r>
            <w:r>
              <w:rPr>
                <w:rFonts w:ascii="Arial" w:cs="Arial" w:eastAsia="Arial" w:hAnsi="Arial"/>
                <w:b w:val="false"/>
                <w:bCs w:val="false"/>
                <w:i w:val="false"/>
                <w:iCs w:val="false"/>
                <w:color w:val="000000"/>
                <w:sz w:val="18"/>
                <w:szCs w:val="18"/>
              </w:rPr>
              <w:t xml:space="preserve">（テクノプロHD傘下）</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テクノプロHD非公開化（Blackstone傘下）</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25,564百万円（FY25/6）</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14.5%</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2,973名</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4領域（建築/土木/設備電気/プラント）バランス、テクノプロHDの育成・採用基盤活用</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bCs/>
                <w:i w:val="false"/>
                <w:iCs w:val="false"/>
                <w:color w:val="000000"/>
                <w:sz w:val="18"/>
                <w:szCs w:val="18"/>
              </w:rPr>
              <w:t xml:space="preserve">オープンアップ「建設」セグメント</w:t>
            </w:r>
            <w:r>
              <w:rPr>
                <w:rFonts w:ascii="Arial" w:cs="Arial" w:eastAsia="Arial" w:hAnsi="Arial"/>
                <w:b w:val="false"/>
                <w:bCs w:val="false"/>
                <w:i w:val="false"/>
                <w:iCs w:val="false"/>
                <w:color w:val="000000"/>
                <w:sz w:val="18"/>
                <w:szCs w:val="18"/>
              </w:rPr>
              <w:t xml:space="preserve">（オープンアップG 2154）</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プライム</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56,904百万円（FY25/6）</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13.2%</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9,687名</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業界規模No.1、夢真HD合併由来の建築施工管理に強み、FY25は+26.5% YoY</w:t>
            </w:r>
          </w:p>
        </w:tc>
      </w:tr>
      <w:tr>
        <w:tc>
          <w:tcPr>
            <w:tcMar>
              <w:top w:type="dxa" w:w="60"/>
              <w:left w:type="dxa" w:w="80"/>
              <w:bottom w:type="dxa" w:w="60"/>
              <w:right w:type="dxa" w:w="80"/>
            </w:tcMar>
          </w:tcPr>
          <w:p>
            <w:pPr>
              <w:spacing w:line="240"/>
              <w:jc w:val="left"/>
            </w:pPr>
            <w:r>
              <w:rPr>
                <w:rFonts w:ascii="Arial" w:cs="Arial" w:eastAsia="Arial" w:hAnsi="Arial"/>
                <w:b/>
                <w:bCs/>
                <w:i w:val="false"/>
                <w:iCs w:val="false"/>
                <w:color w:val="000000"/>
                <w:sz w:val="18"/>
                <w:szCs w:val="18"/>
              </w:rPr>
              <w:t xml:space="preserve">コプロHD</w:t>
            </w:r>
            <w:r>
              <w:rPr>
                <w:rFonts w:ascii="Arial" w:cs="Arial" w:eastAsia="Arial" w:hAnsi="Arial"/>
                <w:b w:val="false"/>
                <w:bCs w:val="false"/>
                <w:i w:val="false"/>
                <w:iCs w:val="false"/>
                <w:color w:val="000000"/>
                <w:sz w:val="18"/>
                <w:szCs w:val="18"/>
              </w:rPr>
              <w:t xml:space="preserve">（7059）建設技術者派遣</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プライム</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26,740百万円（FY25/3、サービス別売上）</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連結9.2%（建設別開示なし）</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5,154名（連結）</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単一セグメントで建設90%、若年層採用と未経験育成型、CAGR 16%超</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bCs/>
                <w:i w:val="false"/>
                <w:iCs w:val="false"/>
                <w:color w:val="000000"/>
                <w:sz w:val="18"/>
                <w:szCs w:val="18"/>
              </w:rPr>
              <w:t xml:space="preserve">ナレルG</w:t>
            </w:r>
            <w:r>
              <w:rPr>
                <w:rFonts w:ascii="Arial" w:cs="Arial" w:eastAsia="Arial" w:hAnsi="Arial"/>
                <w:b w:val="false"/>
                <w:bCs w:val="false"/>
                <w:i w:val="false"/>
                <w:iCs w:val="false"/>
                <w:color w:val="000000"/>
                <w:sz w:val="18"/>
                <w:szCs w:val="18"/>
              </w:rPr>
              <w:t xml:space="preserve">（9163）建設ソリューション</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プライム</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21,643百万円（FY25/10）</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13.5%→10.4%へ低下</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3,778名</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建築施工管理に特化、FY23 IPO後拡大、FY25は採用先行で利益率低下</w:t>
            </w:r>
          </w:p>
        </w:tc>
      </w:tr>
      <w:tr>
        <w:tc>
          <w:tcPr>
            <w:tcMar>
              <w:top w:type="dxa" w:w="60"/>
              <w:left w:type="dxa" w:w="80"/>
              <w:bottom w:type="dxa" w:w="60"/>
              <w:right w:type="dxa" w:w="80"/>
            </w:tcMar>
          </w:tcPr>
          <w:p>
            <w:pPr>
              <w:spacing w:line="240"/>
              <w:jc w:val="left"/>
            </w:pPr>
            <w:r>
              <w:rPr>
                <w:rFonts w:ascii="Arial" w:cs="Arial" w:eastAsia="Arial" w:hAnsi="Arial"/>
                <w:b/>
                <w:bCs/>
                <w:i w:val="false"/>
                <w:iCs w:val="false"/>
                <w:color w:val="000000"/>
                <w:sz w:val="18"/>
                <w:szCs w:val="18"/>
              </w:rPr>
              <w:t xml:space="preserve">トライトG</w:t>
            </w:r>
            <w:r>
              <w:rPr>
                <w:rFonts w:ascii="Arial" w:cs="Arial" w:eastAsia="Arial" w:hAnsi="Arial"/>
                <w:b w:val="false"/>
                <w:bCs w:val="false"/>
                <w:i w:val="false"/>
                <w:iCs w:val="false"/>
                <w:color w:val="000000"/>
                <w:sz w:val="18"/>
                <w:szCs w:val="18"/>
              </w:rPr>
              <w:t xml:space="preserve">（9164、Bain TOB予定）非医療福祉=建設</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上場（2025/9 TOB予定）</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18,072百万円（FY24/12）</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IRレベルでセグメント営業利益不開示</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約2,310名</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医療福祉と並ぶ二本柱、Bain Capital体制での再構築フェーズ</w:t>
            </w:r>
          </w:p>
        </w:tc>
      </w:tr>
    </w:tbl>
    <w:p>
      <w:pPr>
        <w:spacing w:after="60" w:before="0" w:line="280"/>
        <w:jc w:val="left"/>
      </w:pPr>
      <w:r>
        <w:rPr>
          <w:rFonts w:ascii="Arial" w:cs="Arial" w:eastAsia="Arial" w:hAnsi="Arial"/>
          <w:b w:val="false"/>
          <w:bCs w:val="false"/>
          <w:i w:val="false"/>
          <w:iCs w:val="false"/>
          <w:color w:val="000000"/>
          <w:sz w:val="21"/>
          <w:szCs w:val="21"/>
        </w:rPr>
        <w:t xml:space="preserve"/>
      </w:r>
    </w:p>
    <w:p>
      <w:pPr>
        <w:spacing w:after="80" w:before="0" w:line="280"/>
        <w:jc w:val="left"/>
      </w:pPr>
      <w:r>
        <w:rPr>
          <w:rFonts w:ascii="Arial" w:cs="Arial" w:eastAsia="Arial" w:hAnsi="Arial"/>
          <w:b w:val="false"/>
          <w:bCs w:val="false"/>
          <w:i w:val="false"/>
          <w:iCs w:val="false"/>
          <w:color w:val="000000"/>
          <w:sz w:val="21"/>
          <w:szCs w:val="21"/>
        </w:rPr>
        <w:t xml:space="preserve">注1：FY25/6時点では、業界構成は「規模＝オープンアップ＞コプロHD＝テクノプロ＞ナレル＝トライト」の二段階構造。注2：利益率はテクノプロが14.5%で5社中最高。注3：上位5社の合計売上は約14.9万百万円（=1,490億円）規模で、業界全体の市場規模は3,000-5,000億円程度（仮説、業界類推）。</w:t>
      </w:r>
    </w:p>
    <w:p>
      <w:pPr>
        <w:spacing w:after="80" w:before="160"/>
      </w:pPr>
      <w:r>
        <w:rPr>
          <w:rFonts w:ascii="Arial" w:cs="Arial" w:eastAsia="Arial" w:hAnsi="Arial"/>
          <w:b/>
          <w:bCs/>
          <w:color w:val="404040"/>
          <w:sz w:val="23"/>
          <w:szCs w:val="23"/>
        </w:rPr>
        <w:t xml:space="preserve">1-6. 沿革・資本構成</w:t>
      </w:r>
    </w:p>
    <w:p>
      <w:pPr>
        <w:spacing w:after="80" w:before="0" w:line="280"/>
        <w:jc w:val="left"/>
      </w:pPr>
      <w:r>
        <w:rPr>
          <w:rFonts w:ascii="Arial" w:cs="Arial" w:eastAsia="Arial" w:hAnsi="Arial"/>
          <w:b w:val="false"/>
          <w:bCs w:val="false"/>
          <w:i w:val="false"/>
          <w:iCs w:val="false"/>
          <w:color w:val="000000"/>
          <w:sz w:val="21"/>
          <w:szCs w:val="21"/>
        </w:rPr>
        <w:t xml:space="preserve">テクノプロ・コンストラクションは、テクノプロHDが施工管理アウトソーシング事業を切り出す形で運営する建設専業の事業会社。テクノプロHD自体は2006年Goldman Sachs PEがJALグループから技術者派遣事業を買収して再編、2014年12月東証一部上場、2025年9月Blackstone TOBで非公開化（2025年12月上場廃止予定）。</w:t>
      </w:r>
    </w:p>
    <w:p>
      <w:pPr>
        <w:spacing w:after="80" w:before="0" w:line="280"/>
        <w:jc w:val="left"/>
      </w:pPr>
      <w:r>
        <w:rPr>
          <w:rFonts w:ascii="Arial" w:cs="Arial" w:eastAsia="Arial" w:hAnsi="Arial"/>
          <w:b w:val="false"/>
          <w:bCs w:val="false"/>
          <w:i w:val="false"/>
          <w:iCs w:val="false"/>
          <w:color w:val="000000"/>
          <w:sz w:val="21"/>
          <w:szCs w:val="21"/>
        </w:rPr>
        <w:t xml:space="preserve">資本構成は </w:t>
      </w:r>
      <w:r>
        <w:rPr>
          <w:rFonts w:ascii="Arial" w:cs="Arial" w:eastAsia="Arial" w:hAnsi="Arial"/>
          <w:b/>
          <w:bCs/>
          <w:i w:val="false"/>
          <w:iCs w:val="false"/>
          <w:color w:val="000000"/>
          <w:sz w:val="21"/>
          <w:szCs w:val="21"/>
        </w:rPr>
        <w:t xml:space="preserve">テクノプロHD 100%出資の完全子会社</w:t>
      </w:r>
      <w:r>
        <w:rPr>
          <w:rFonts w:ascii="Arial" w:cs="Arial" w:eastAsia="Arial" w:hAnsi="Arial"/>
          <w:b w:val="false"/>
          <w:bCs w:val="false"/>
          <w:i w:val="false"/>
          <w:iCs w:val="false"/>
          <w:color w:val="000000"/>
          <w:sz w:val="21"/>
          <w:szCs w:val="21"/>
        </w:rPr>
        <w:t xml:space="preserve">（仮説、有報「関係会社の状況」開示と整合）。したがって、テクノプロ・コンストラクション単体の大株主構成は「テクノプロHD 100%」となる。テクノプロHDの上位はBX-JE2 Holding（Blackstone SPV）100%（TOB完了後）。</w:t>
      </w:r>
    </w:p>
    <w:p>
      <w:pPr>
        <w:spacing w:after="80" w:before="0" w:line="280"/>
        <w:jc w:val="left"/>
      </w:pPr>
      <w:r>
        <w:rPr>
          <w:rFonts w:ascii="Arial" w:cs="Arial" w:eastAsia="Arial" w:hAnsi="Arial"/>
          <w:b w:val="false"/>
          <w:bCs w:val="false"/>
          <w:i w:val="false"/>
          <w:iCs w:val="false"/>
          <w:color w:val="000000"/>
          <w:sz w:val="21"/>
          <w:szCs w:val="21"/>
        </w:rPr>
        <w:t xml:space="preserve">施工管理事業の売上は、FY16時点では明示開示なし（連結のみ）→FY21からセグメント別開示（売上19,670百万円・利益2,791百万円）と、テクノプロHDの中で単独セグメント化されたタイミングが2020-2021年と推測される（仮説）。FY25末で従業員2,973名と、5期で1.85倍に拡大。</w:t>
      </w:r>
    </w:p>
    <w:p>
      <w:pPr>
        <w:spacing w:after="100" w:before="200"/>
      </w:pPr>
      <w:r>
        <w:rPr>
          <w:rFonts w:ascii="Arial" w:cs="Arial" w:eastAsia="Arial" w:hAnsi="Arial"/>
          <w:b/>
          <w:bCs/>
          <w:color w:val="2C4F7A"/>
          <w:sz w:val="25"/>
          <w:szCs w:val="25"/>
        </w:rPr>
        <w:t xml:space="preserve">② 事業の堅牢性</w:t>
      </w:r>
    </w:p>
    <w:p>
      <w:pPr>
        <w:spacing w:after="80" w:before="160"/>
      </w:pPr>
      <w:r>
        <w:rPr>
          <w:rFonts w:ascii="Arial" w:cs="Arial" w:eastAsia="Arial" w:hAnsi="Arial"/>
          <w:b/>
          <w:bCs/>
          <w:color w:val="404040"/>
          <w:sz w:val="23"/>
          <w:szCs w:val="23"/>
        </w:rPr>
        <w:t xml:space="preserve">2-1. 市場性（市場数量・市場規模）</w:t>
      </w:r>
    </w:p>
    <w:p>
      <w:pPr>
        <w:spacing w:after="80" w:before="0" w:line="280"/>
        <w:jc w:val="left"/>
      </w:pPr>
      <w:r>
        <w:rPr>
          <w:rFonts w:ascii="Arial" w:cs="Arial" w:eastAsia="Arial" w:hAnsi="Arial"/>
          <w:b w:val="false"/>
          <w:bCs w:val="false"/>
          <w:i w:val="false"/>
          <w:iCs w:val="false"/>
          <w:color w:val="000000"/>
          <w:sz w:val="21"/>
          <w:szCs w:val="21"/>
        </w:rPr>
        <w:t xml:space="preserve">国内建設技術者派遣市場は、2024年問題（建設業の残業上限規制施行）と都市再開発・半導体投資・データセンター建設ラッシュを背景に、構造的な人手不足が継続する中での高成長市場である（仮説）[出典: 国交省「建設業デジタルハンドブック」、業界紙各種]。</w:t>
      </w:r>
    </w:p>
    <w:p>
      <w:pPr>
        <w:spacing w:after="60" w:before="120"/>
      </w:pPr>
      <w:r>
        <w:rPr>
          <w:rFonts w:ascii="Arial" w:cs="Arial" w:eastAsia="Arial" w:hAnsi="Arial"/>
          <w:b/>
          <w:bCs/>
          <w:color w:val="595959"/>
          <w:sz w:val="21"/>
          <w:szCs w:val="21"/>
        </w:rPr>
        <w:t xml:space="preserve">市場規模・成長率テーブル（時点明示）</w:t>
      </w:r>
    </w:p>
    <w:tbl>
      <w:tblPr>
        <w:tblW w:type="pct" w:w="100%"/>
        <w:tblBorders>
          <w:top w:val="single" w:color="BFBFBF" w:sz="4"/>
          <w:left w:val="single" w:color="BFBFBF" w:sz="4"/>
          <w:bottom w:val="single" w:color="BFBFBF" w:sz="4"/>
          <w:right w:val="single" w:color="BFBFBF" w:sz="4"/>
          <w:insideH w:val="single" w:color="BFBFBF" w:sz="2"/>
          <w:insideV w:val="single" w:color="BFBFBF" w:sz="2"/>
        </w:tblBorders>
      </w:tblPr>
      <w:tblGrid>
        <w:gridCol w:w="100"/>
        <w:gridCol w:w="100"/>
        <w:gridCol w:w="100"/>
        <w:gridCol w:w="100"/>
        <w:gridCol w:w="100"/>
        <w:gridCol w:w="100"/>
      </w:tblGrid>
      <w:tr>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市場</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直近規模</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期間</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実績/予測</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CAGR</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出典</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国内建設投資（公共＋民間）</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76兆円（2024）</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2019→2024</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実績</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+3-4%</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国交省「建設投資見通し」</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国内労働者派遣全体</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8.7兆円（2022）</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実績</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厚労省「労働者派遣事業報告書」</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建設技術者派遣（推計）</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3,000-5,000億円（2024）</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実績（推定）</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+8-12%</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上位5社売上推移からの逆算（仮説）</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建設業就業者数</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477万人（2024）</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2014→2024</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実績</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△0.5%/年</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総務省「労働力調査」</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建設施工管理技士不足</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不足見込み</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2024→2030</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予測</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国交省試算（業界紙）</w:t>
            </w:r>
          </w:p>
        </w:tc>
      </w:tr>
    </w:tbl>
    <w:p>
      <w:pPr>
        <w:spacing w:after="60" w:before="0" w:line="280"/>
        <w:jc w:val="left"/>
      </w:pPr>
      <w:r>
        <w:rPr>
          <w:rFonts w:ascii="Arial" w:cs="Arial" w:eastAsia="Arial" w:hAnsi="Arial"/>
          <w:b w:val="false"/>
          <w:bCs w:val="false"/>
          <w:i w:val="false"/>
          <w:iCs w:val="false"/>
          <w:color w:val="000000"/>
          <w:sz w:val="21"/>
          <w:szCs w:val="21"/>
        </w:rPr>
        <w:t xml:space="preserve"/>
      </w:r>
    </w:p>
    <w:p>
      <w:pPr>
        <w:spacing w:after="80" w:before="0" w:line="280"/>
        <w:jc w:val="left"/>
      </w:pPr>
      <w:r>
        <w:rPr>
          <w:rFonts w:ascii="Arial" w:cs="Arial" w:eastAsia="Arial" w:hAnsi="Arial"/>
          <w:b w:val="false"/>
          <w:bCs w:val="false"/>
          <w:i w:val="false"/>
          <w:iCs w:val="false"/>
          <w:color w:val="000000"/>
          <w:sz w:val="21"/>
          <w:szCs w:val="21"/>
        </w:rPr>
        <w:t xml:space="preserve">注：建設技術者派遣の市場規模は公式統計が存在しないため、上位5社売上合計（約1,490億円）×市場集中度仮置から3,000-5,000億円のレンジとした（仮説）。CAGR8-12%は同5社売上合計の3-5期推移から算出。</w:t>
      </w:r>
    </w:p>
    <w:p>
      <w:pPr>
        <w:spacing w:after="80" w:before="0" w:line="280"/>
        <w:jc w:val="left"/>
      </w:pPr>
      <w:r>
        <w:rPr>
          <w:rFonts w:ascii="Arial" w:cs="Arial" w:eastAsia="Arial" w:hAnsi="Arial"/>
          <w:b/>
          <w:bCs/>
          <w:i w:val="false"/>
          <w:iCs w:val="false"/>
          <w:color w:val="000000"/>
          <w:sz w:val="21"/>
          <w:szCs w:val="21"/>
        </w:rPr>
        <w:t xml:space="preserve">数量ドライバー</w:t>
      </w:r>
      <w:r>
        <w:rPr>
          <w:rFonts w:ascii="Arial" w:cs="Arial" w:eastAsia="Arial" w:hAnsi="Arial"/>
          <w:b w:val="false"/>
          <w:bCs w:val="false"/>
          <w:i w:val="false"/>
          <w:iCs w:val="false"/>
          <w:color w:val="000000"/>
          <w:sz w:val="21"/>
          <w:szCs w:val="21"/>
        </w:rPr>
        <w:t xml:space="preserve">は4軸である。第1に2024年問題（残業上限規制）への対応として、ゼネコン・サブコンが施工管理者の頭数を増やす必要が出ている。第2に半導体工場（TSMC熊本第2工場・ラピダス千歳）・データセンター・都市再開発（リニア・万博関連・大丸有再開発）等のメガプロジェクト連発による施工管理需要の拡大。第3に建設業就業者の高齢化（55歳以上が約36%、29歳以下が約12%）に伴う構造的な技術者枯渇。第4にゼネコンの正社員雇用抑制傾向と外注比率の上昇。</w:t>
      </w:r>
    </w:p>
    <w:p>
      <w:pPr>
        <w:spacing w:after="80" w:before="0" w:line="280"/>
        <w:jc w:val="left"/>
      </w:pPr>
      <w:r>
        <w:rPr>
          <w:rFonts w:ascii="Arial" w:cs="Arial" w:eastAsia="Arial" w:hAnsi="Arial"/>
          <w:b/>
          <w:bCs/>
          <w:i w:val="false"/>
          <w:iCs w:val="false"/>
          <w:color w:val="000000"/>
          <w:sz w:val="21"/>
          <w:szCs w:val="21"/>
        </w:rPr>
        <w:t xml:space="preserve">価格ドライバー</w:t>
      </w:r>
      <w:r>
        <w:rPr>
          <w:rFonts w:ascii="Arial" w:cs="Arial" w:eastAsia="Arial" w:hAnsi="Arial"/>
          <w:b w:val="false"/>
          <w:bCs w:val="false"/>
          <w:i w:val="false"/>
          <w:iCs w:val="false"/>
          <w:color w:val="000000"/>
          <w:sz w:val="21"/>
          <w:szCs w:val="21"/>
        </w:rPr>
        <w:t xml:space="preserve">は技術者単価の継続上昇である。建設業の労務単価（公共工事設計労務単価）は2024年度に+5.9%上昇し、12年連続のプラス改定。1級建築/土木施工管理技士の市場単価も上昇基調にある（業界類推）。資格別では、1級電気/設備施工管理技士、1級建築施工管理技士、1級土木施工管理技士の順に単価プレミアムが大きい（仮説）。</w:t>
      </w:r>
    </w:p>
    <w:p>
      <w:pPr>
        <w:spacing w:after="80" w:before="0" w:line="280"/>
        <w:jc w:val="left"/>
      </w:pPr>
      <w:r>
        <w:rPr>
          <w:rFonts w:ascii="Arial" w:cs="Arial" w:eastAsia="Arial" w:hAnsi="Arial"/>
          <w:b/>
          <w:bCs/>
          <w:i w:val="false"/>
          <w:iCs w:val="false"/>
          <w:color w:val="000000"/>
          <w:sz w:val="21"/>
          <w:szCs w:val="21"/>
        </w:rPr>
        <w:t xml:space="preserve">将来見通し</w:t>
      </w:r>
      <w:r>
        <w:rPr>
          <w:rFonts w:ascii="Arial" w:cs="Arial" w:eastAsia="Arial" w:hAnsi="Arial"/>
          <w:b w:val="false"/>
          <w:bCs w:val="false"/>
          <w:i w:val="false"/>
          <w:iCs w:val="false"/>
          <w:color w:val="000000"/>
          <w:sz w:val="21"/>
          <w:szCs w:val="21"/>
        </w:rPr>
        <w:t xml:space="preserve">：需給ギャップ継続を前提に、建設技術者派遣市場は </w:t>
      </w:r>
      <w:r>
        <w:rPr>
          <w:rFonts w:ascii="Arial" w:cs="Arial" w:eastAsia="Arial" w:hAnsi="Arial"/>
          <w:b/>
          <w:bCs/>
          <w:i w:val="false"/>
          <w:iCs w:val="false"/>
          <w:color w:val="000000"/>
          <w:sz w:val="21"/>
          <w:szCs w:val="21"/>
        </w:rPr>
        <w:t xml:space="preserve">数量+5〜8%・単価+3〜5%＝合計+8〜13%/年成長</w:t>
      </w:r>
      <w:r>
        <w:rPr>
          <w:rFonts w:ascii="Arial" w:cs="Arial" w:eastAsia="Arial" w:hAnsi="Arial"/>
          <w:b w:val="false"/>
          <w:bCs w:val="false"/>
          <w:i w:val="false"/>
          <w:iCs w:val="false"/>
          <w:color w:val="000000"/>
          <w:sz w:val="21"/>
          <w:szCs w:val="21"/>
        </w:rPr>
        <w:t xml:space="preserve"> がベースシナリオ（仮説）。下振れリスクは、(i) 2025年以降の建設投資調整（住宅着工減・公共投資の財政制約）、(ii) BIM/i-Construction等のDX進展による必要技術者数の効率化、(iii) 現場監督業務の自動化・AI支援による配員効率化。</w:t>
      </w:r>
    </w:p>
    <w:p>
      <w:pPr>
        <w:spacing w:after="80" w:before="160"/>
      </w:pPr>
      <w:r>
        <w:rPr>
          <w:rFonts w:ascii="Arial" w:cs="Arial" w:eastAsia="Arial" w:hAnsi="Arial"/>
          <w:b/>
          <w:bCs/>
          <w:color w:val="404040"/>
          <w:sz w:val="23"/>
          <w:szCs w:val="23"/>
        </w:rPr>
        <w:t xml:space="preserve">2-2. 対象会社シェア</w:t>
      </w:r>
    </w:p>
    <w:p>
      <w:pPr>
        <w:spacing w:after="80" w:before="0" w:line="280"/>
        <w:jc w:val="left"/>
      </w:pPr>
      <w:r>
        <w:rPr>
          <w:rFonts w:ascii="Arial" w:cs="Arial" w:eastAsia="Arial" w:hAnsi="Arial"/>
          <w:b w:val="false"/>
          <w:bCs w:val="false"/>
          <w:i w:val="false"/>
          <w:iCs w:val="false"/>
          <w:color w:val="000000"/>
          <w:sz w:val="21"/>
          <w:szCs w:val="21"/>
        </w:rPr>
        <w:t xml:space="preserve">国内建設技術者派遣市場（推計3,000-5,000億円）におけるテクノプロ・コンストラクションのシェアは </w:t>
      </w:r>
      <w:r>
        <w:rPr>
          <w:rFonts w:ascii="Arial" w:cs="Arial" w:eastAsia="Arial" w:hAnsi="Arial"/>
          <w:b/>
          <w:bCs/>
          <w:i w:val="false"/>
          <w:iCs w:val="false"/>
          <w:color w:val="000000"/>
          <w:sz w:val="21"/>
          <w:szCs w:val="21"/>
        </w:rPr>
        <w:t xml:space="preserve">約5-8%（仮説）</w:t>
      </w:r>
      <w:r>
        <w:rPr>
          <w:rFonts w:ascii="Arial" w:cs="Arial" w:eastAsia="Arial" w:hAnsi="Arial"/>
          <w:b w:val="false"/>
          <w:bCs w:val="false"/>
          <w:i w:val="false"/>
          <w:iCs w:val="false"/>
          <w:color w:val="000000"/>
          <w:sz w:val="21"/>
          <w:szCs w:val="21"/>
        </w:rPr>
        <w:t xml:space="preserve"> で、業界4位前後の位置づけ（仮説）[出典: 上位5社売上推計と業界レンジ仮置からの逆算]。</w:t>
      </w:r>
    </w:p>
    <w:p>
      <w:pPr>
        <w:spacing w:after="60" w:before="120"/>
      </w:pPr>
      <w:r>
        <w:rPr>
          <w:rFonts w:ascii="Arial" w:cs="Arial" w:eastAsia="Arial" w:hAnsi="Arial"/>
          <w:b/>
          <w:bCs/>
          <w:color w:val="595959"/>
          <w:sz w:val="21"/>
          <w:szCs w:val="21"/>
        </w:rPr>
        <w:t xml:space="preserve">主要プレイヤーマッピング（直近期売上ベース）</w:t>
      </w:r>
    </w:p>
    <w:tbl>
      <w:tblPr>
        <w:tblW w:type="pct" w:w="100%"/>
        <w:tblBorders>
          <w:top w:val="single" w:color="BFBFBF" w:sz="4"/>
          <w:left w:val="single" w:color="BFBFBF" w:sz="4"/>
          <w:bottom w:val="single" w:color="BFBFBF" w:sz="4"/>
          <w:right w:val="single" w:color="BFBFBF" w:sz="4"/>
          <w:insideH w:val="single" w:color="BFBFBF" w:sz="2"/>
          <w:insideV w:val="single" w:color="BFBFBF" w:sz="2"/>
        </w:tblBorders>
      </w:tblPr>
      <w:tblGrid>
        <w:gridCol w:w="100"/>
        <w:gridCol w:w="100"/>
        <w:gridCol w:w="100"/>
        <w:gridCol w:w="100"/>
        <w:gridCol w:w="100"/>
      </w:tblGrid>
      <w:tr>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順位</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企業</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建設セグメント売上</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仮置シェア</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特徴</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オープンアップ「建設」</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569億円</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約11-19%</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規模No.1、建築施工管理が主軸</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コプロHD</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267億円</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約5-9%</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単一セグメント、若年・未経験育成</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3</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テクノプロ・コンストラクション</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256億円</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約5-8%</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4領域バランス、テクノプロ基盤</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4</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ナレルG「建設ソリューション」</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216億円</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約4-7%</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建築特化、IPO直後の拡大期</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5</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トライトG（非医療福祉）</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181億円</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約4-6%</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Bain体制、医療福祉と並列</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その他</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中小数百社</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残余</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約60-70%</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個別ゼネコン系列・地域専業派遣多数</w:t>
            </w:r>
          </w:p>
        </w:tc>
      </w:tr>
    </w:tbl>
    <w:p>
      <w:pPr>
        <w:spacing w:after="60" w:before="0" w:line="280"/>
        <w:jc w:val="left"/>
      </w:pPr>
      <w:r>
        <w:rPr>
          <w:rFonts w:ascii="Arial" w:cs="Arial" w:eastAsia="Arial" w:hAnsi="Arial"/>
          <w:b w:val="false"/>
          <w:bCs w:val="false"/>
          <w:i w:val="false"/>
          <w:iCs w:val="false"/>
          <w:color w:val="000000"/>
          <w:sz w:val="21"/>
          <w:szCs w:val="21"/>
        </w:rPr>
        <w:t xml:space="preserve"/>
      </w:r>
    </w:p>
    <w:p>
      <w:pPr>
        <w:spacing w:after="80" w:before="0" w:line="280"/>
        <w:jc w:val="left"/>
      </w:pPr>
      <w:r>
        <w:rPr>
          <w:rFonts w:ascii="Arial" w:cs="Arial" w:eastAsia="Arial" w:hAnsi="Arial"/>
          <w:b w:val="false"/>
          <w:bCs w:val="false"/>
          <w:i w:val="false"/>
          <w:iCs w:val="false"/>
          <w:color w:val="000000"/>
          <w:sz w:val="21"/>
          <w:szCs w:val="21"/>
        </w:rPr>
        <w:t xml:space="preserve">トップ5の合計シェアは30-40%程度（仮説）と分散市場である。一方、上位5社は揃って成長率10%超を維持しており、</w:t>
      </w:r>
      <w:r>
        <w:rPr>
          <w:rFonts w:ascii="Arial" w:cs="Arial" w:eastAsia="Arial" w:hAnsi="Arial"/>
          <w:b/>
          <w:bCs/>
          <w:i w:val="false"/>
          <w:iCs w:val="false"/>
          <w:color w:val="000000"/>
          <w:sz w:val="21"/>
          <w:szCs w:val="21"/>
        </w:rPr>
        <w:t xml:space="preserve">シェア集中フェーズに入りつつある</w:t>
      </w:r>
      <w:r>
        <w:rPr>
          <w:rFonts w:ascii="Arial" w:cs="Arial" w:eastAsia="Arial" w:hAnsi="Arial"/>
          <w:b w:val="false"/>
          <w:bCs w:val="false"/>
          <w:i w:val="false"/>
          <w:iCs w:val="false"/>
          <w:color w:val="000000"/>
          <w:sz w:val="21"/>
          <w:szCs w:val="21"/>
        </w:rPr>
        <w:t xml:space="preserve">（仮説）。</w:t>
      </w:r>
    </w:p>
    <w:p>
      <w:pPr>
        <w:spacing w:after="60" w:before="120"/>
      </w:pPr>
      <w:r>
        <w:rPr>
          <w:rFonts w:ascii="Arial" w:cs="Arial" w:eastAsia="Arial" w:hAnsi="Arial"/>
          <w:b/>
          <w:bCs/>
          <w:color w:val="595959"/>
          <w:sz w:val="21"/>
          <w:szCs w:val="21"/>
        </w:rPr>
        <w:t xml:space="preserve">スイッチングが発生するタイミング・スイッチングコスト・選定方針</w:t>
      </w:r>
    </w:p>
    <w:p>
      <w:pPr>
        <w:spacing w:after="80" w:before="0" w:line="280"/>
        <w:jc w:val="left"/>
      </w:pPr>
      <w:r>
        <w:rPr>
          <w:rFonts w:ascii="Arial" w:cs="Arial" w:eastAsia="Arial" w:hAnsi="Arial"/>
          <w:b w:val="false"/>
          <w:bCs w:val="false"/>
          <w:i w:val="false"/>
          <w:iCs w:val="false"/>
          <w:color w:val="000000"/>
          <w:sz w:val="21"/>
          <w:szCs w:val="21"/>
        </w:rPr>
        <w:t xml:space="preserve">建設技術者派遣におけるスイッチング（顧客＝ゼネコン・サブコン側のベンダー切替）は、</w:t>
      </w:r>
      <w:r>
        <w:rPr>
          <w:rFonts w:ascii="Arial" w:cs="Arial" w:eastAsia="Arial" w:hAnsi="Arial"/>
          <w:b/>
          <w:bCs/>
          <w:i w:val="false"/>
          <w:iCs w:val="false"/>
          <w:color w:val="000000"/>
          <w:sz w:val="21"/>
          <w:szCs w:val="21"/>
        </w:rPr>
        <w:t xml:space="preserve">(i)新規プロジェクト立ち上げ時、(ii)既存技術者の交替時（プロジェクト完了に伴う再配属）、(iii)契約更新時（半年〜1年単位）</w:t>
      </w:r>
      <w:r>
        <w:rPr>
          <w:rFonts w:ascii="Arial" w:cs="Arial" w:eastAsia="Arial" w:hAnsi="Arial"/>
          <w:b w:val="false"/>
          <w:bCs w:val="false"/>
          <w:i w:val="false"/>
          <w:iCs w:val="false"/>
          <w:color w:val="000000"/>
          <w:sz w:val="21"/>
          <w:szCs w:val="21"/>
        </w:rPr>
        <w:t xml:space="preserve"> の3タイミングで発生する。スイッチングコストは中程度。プロジェクト中の現場代理人・職長クラスの差し替えはゼネコン側の業務継続性に大きな影響があるため切替阻害力が強い一方、新規プロジェクト・新規物件の発注時には複数派遣会社の比較選定が常態化している。</w:t>
      </w:r>
    </w:p>
    <w:p>
      <w:pPr>
        <w:spacing w:after="80" w:before="0" w:line="280"/>
        <w:jc w:val="left"/>
      </w:pPr>
      <w:r>
        <w:rPr>
          <w:rFonts w:ascii="Arial" w:cs="Arial" w:eastAsia="Arial" w:hAnsi="Arial"/>
          <w:b w:val="false"/>
          <w:bCs w:val="false"/>
          <w:i w:val="false"/>
          <w:iCs w:val="false"/>
          <w:color w:val="000000"/>
          <w:sz w:val="21"/>
          <w:szCs w:val="21"/>
        </w:rPr>
        <w:t xml:space="preserve">業界実態としては、ゼネコン1社あたり3-5社の派遣会社を </w:t>
      </w:r>
      <w:r>
        <w:rPr>
          <w:rFonts w:ascii="Arial" w:cs="Arial" w:eastAsia="Arial" w:hAnsi="Arial"/>
          <w:b/>
          <w:bCs/>
          <w:i w:val="false"/>
          <w:iCs w:val="false"/>
          <w:color w:val="000000"/>
          <w:sz w:val="21"/>
          <w:szCs w:val="21"/>
        </w:rPr>
        <w:t xml:space="preserve">複数並列発注</w:t>
      </w:r>
      <w:r>
        <w:rPr>
          <w:rFonts w:ascii="Arial" w:cs="Arial" w:eastAsia="Arial" w:hAnsi="Arial"/>
          <w:b w:val="false"/>
          <w:bCs w:val="false"/>
          <w:i w:val="false"/>
          <w:iCs w:val="false"/>
          <w:color w:val="000000"/>
          <w:sz w:val="21"/>
          <w:szCs w:val="21"/>
        </w:rPr>
        <w:t xml:space="preserve"> しているケースが多く（業界類推）、テクノプロのような大手派遣会社でも各ゼネコン内のシェアは段階的に拡大していく性質。スイッチングは </w:t>
      </w:r>
      <w:r>
        <w:rPr>
          <w:rFonts w:ascii="Arial" w:cs="Arial" w:eastAsia="Arial" w:hAnsi="Arial"/>
          <w:b/>
          <w:bCs/>
          <w:i w:val="false"/>
          <w:iCs w:val="false"/>
          <w:color w:val="000000"/>
          <w:sz w:val="21"/>
          <w:szCs w:val="21"/>
        </w:rPr>
        <w:t xml:space="preserve">段階的かつ部分的</w:t>
      </w:r>
      <w:r>
        <w:rPr>
          <w:rFonts w:ascii="Arial" w:cs="Arial" w:eastAsia="Arial" w:hAnsi="Arial"/>
          <w:b w:val="false"/>
          <w:bCs w:val="false"/>
          <w:i w:val="false"/>
          <w:iCs w:val="false"/>
          <w:color w:val="000000"/>
          <w:sz w:val="21"/>
          <w:szCs w:val="21"/>
        </w:rPr>
        <w:t xml:space="preserve"> に発生する。</w:t>
      </w:r>
    </w:p>
    <w:p>
      <w:pPr>
        <w:spacing w:after="60" w:before="120"/>
      </w:pPr>
      <w:r>
        <w:rPr>
          <w:rFonts w:ascii="Arial" w:cs="Arial" w:eastAsia="Arial" w:hAnsi="Arial"/>
          <w:b/>
          <w:bCs/>
          <w:color w:val="595959"/>
          <w:sz w:val="21"/>
          <w:szCs w:val="21"/>
        </w:rPr>
        <w:t xml:space="preserve">KBF（Key Buying Factor）と充足度</w:t>
      </w:r>
    </w:p>
    <w:p>
      <w:pPr>
        <w:spacing w:after="80" w:before="0" w:line="280"/>
        <w:jc w:val="left"/>
      </w:pPr>
      <w:r>
        <w:rPr>
          <w:rFonts w:ascii="Arial" w:cs="Arial" w:eastAsia="Arial" w:hAnsi="Arial"/>
          <w:b w:val="false"/>
          <w:bCs w:val="false"/>
          <w:i w:val="false"/>
          <w:iCs w:val="false"/>
          <w:color w:val="000000"/>
          <w:sz w:val="21"/>
          <w:szCs w:val="21"/>
        </w:rPr>
        <w:t xml:space="preserve">##### (a) 新規採用時のKBF充足度</w:t>
      </w:r>
    </w:p>
    <w:tbl>
      <w:tblPr>
        <w:tblW w:type="pct" w:w="100%"/>
        <w:tblBorders>
          <w:top w:val="single" w:color="BFBFBF" w:sz="4"/>
          <w:left w:val="single" w:color="BFBFBF" w:sz="4"/>
          <w:bottom w:val="single" w:color="BFBFBF" w:sz="4"/>
          <w:right w:val="single" w:color="BFBFBF" w:sz="4"/>
          <w:insideH w:val="single" w:color="BFBFBF" w:sz="2"/>
          <w:insideV w:val="single" w:color="BFBFBF" w:sz="2"/>
        </w:tblBorders>
      </w:tblPr>
      <w:tblGrid>
        <w:gridCol w:w="100"/>
        <w:gridCol w:w="100"/>
        <w:gridCol w:w="100"/>
        <w:gridCol w:w="100"/>
        <w:gridCol w:w="100"/>
        <w:gridCol w:w="100"/>
        <w:gridCol w:w="100"/>
      </w:tblGrid>
      <w:tr>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KBF</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重要度（仮説）</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テクノプロCN</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オープンアップ建設</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コプロHD</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ナレル</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トライト</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即時供給可能数（人月）</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高</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○（2,973名）</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◎（9,687名）</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○（5,154名）</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○（3,778名）</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△（2,310名）</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領域カバレッジ（建築/土木/設備電気/プラント）</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高</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◎（4領域）</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○（建築中心）</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○（建築・土木）</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△（建築特化）</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○（建築・土木）</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1級施工管理技士保有率</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高</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△（若年中心）</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単価水準</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中</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△（プレミア）</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BIM/DX対応力</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高（増加中）</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r>
    </w:tbl>
    <w:p>
      <w:pPr>
        <w:spacing w:after="60" w:before="0" w:line="280"/>
        <w:jc w:val="left"/>
      </w:pPr>
      <w:r>
        <w:rPr>
          <w:rFonts w:ascii="Arial" w:cs="Arial" w:eastAsia="Arial" w:hAnsi="Arial"/>
          <w:b w:val="false"/>
          <w:bCs w:val="false"/>
          <w:i w:val="false"/>
          <w:iCs w:val="false"/>
          <w:color w:val="000000"/>
          <w:sz w:val="21"/>
          <w:szCs w:val="21"/>
        </w:rPr>
        <w:t xml:space="preserve"/>
      </w:r>
    </w:p>
    <w:p>
      <w:pPr>
        <w:spacing w:after="80" w:before="0" w:line="280"/>
        <w:jc w:val="left"/>
      </w:pPr>
      <w:r>
        <w:rPr>
          <w:rFonts w:ascii="Arial" w:cs="Arial" w:eastAsia="Arial" w:hAnsi="Arial"/>
          <w:b w:val="false"/>
          <w:bCs w:val="false"/>
          <w:i w:val="false"/>
          <w:iCs w:val="false"/>
          <w:color w:val="000000"/>
          <w:sz w:val="21"/>
          <w:szCs w:val="21"/>
        </w:rPr>
        <w:t xml:space="preserve">##### (b) 既存契約継続時のKBF充足度</w:t>
      </w:r>
    </w:p>
    <w:tbl>
      <w:tblPr>
        <w:tblW w:type="pct" w:w="100%"/>
        <w:tblBorders>
          <w:top w:val="single" w:color="BFBFBF" w:sz="4"/>
          <w:left w:val="single" w:color="BFBFBF" w:sz="4"/>
          <w:bottom w:val="single" w:color="BFBFBF" w:sz="4"/>
          <w:right w:val="single" w:color="BFBFBF" w:sz="4"/>
          <w:insideH w:val="single" w:color="BFBFBF" w:sz="2"/>
          <w:insideV w:val="single" w:color="BFBFBF" w:sz="2"/>
        </w:tblBorders>
      </w:tblPr>
      <w:tblGrid>
        <w:gridCol w:w="100"/>
        <w:gridCol w:w="100"/>
        <w:gridCol w:w="100"/>
        <w:gridCol w:w="100"/>
        <w:gridCol w:w="100"/>
        <w:gridCol w:w="100"/>
        <w:gridCol w:w="100"/>
      </w:tblGrid>
      <w:tr>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KBF</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重要度（仮説）</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テクノプロCN</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オープンアップ建設</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コプロHD</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ナレル</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トライト</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配属技術者の安定性（退職率の低さ）</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高</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トラブル対応・補充の即時性</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高</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価格改定の柔軟性</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中</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後任技術者のスムーズな提案力</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高</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教育研修・資格取得支援</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高</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r>
    </w:tbl>
    <w:p>
      <w:pPr>
        <w:spacing w:after="60" w:before="0" w:line="280"/>
        <w:jc w:val="left"/>
      </w:pPr>
      <w:r>
        <w:rPr>
          <w:rFonts w:ascii="Arial" w:cs="Arial" w:eastAsia="Arial" w:hAnsi="Arial"/>
          <w:b w:val="false"/>
          <w:bCs w:val="false"/>
          <w:i w:val="false"/>
          <w:iCs w:val="false"/>
          <w:color w:val="000000"/>
          <w:sz w:val="21"/>
          <w:szCs w:val="21"/>
        </w:rPr>
        <w:t xml:space="preserve"/>
      </w:r>
    </w:p>
    <w:p>
      <w:pPr>
        <w:spacing w:after="80" w:before="0" w:line="280"/>
        <w:jc w:val="left"/>
      </w:pPr>
      <w:r>
        <w:rPr>
          <w:rFonts w:ascii="Arial" w:cs="Arial" w:eastAsia="Arial" w:hAnsi="Arial"/>
          <w:b w:val="false"/>
          <w:bCs w:val="false"/>
          <w:i w:val="false"/>
          <w:iCs w:val="false"/>
          <w:color w:val="000000"/>
          <w:sz w:val="21"/>
          <w:szCs w:val="21"/>
        </w:rPr>
        <w:t xml:space="preserve">注：◎=業界トップ水準、○=平均水準、△=やや劣後。表は公開情報＋業界類推による（仮説）。テクノプロは「即時供給数」では3位だが、「領域カバレッジ」と「教育研修」では業界最上位水準と推定される。</w:t>
      </w:r>
    </w:p>
    <w:p>
      <w:pPr>
        <w:spacing w:after="60" w:before="120"/>
      </w:pPr>
      <w:r>
        <w:rPr>
          <w:rFonts w:ascii="Arial" w:cs="Arial" w:eastAsia="Arial" w:hAnsi="Arial"/>
          <w:b/>
          <w:bCs/>
          <w:color w:val="595959"/>
          <w:sz w:val="21"/>
          <w:szCs w:val="21"/>
        </w:rPr>
        <w:t xml:space="preserve">その他のシェア変動要因</w:t>
      </w:r>
    </w:p>
    <w:p>
      <w:pPr>
        <w:spacing w:after="80" w:before="0" w:line="280"/>
        <w:jc w:val="left"/>
      </w:pPr>
      <w:r>
        <w:rPr>
          <w:rFonts w:ascii="Arial" w:cs="Arial" w:eastAsia="Arial" w:hAnsi="Arial"/>
          <w:b w:val="false"/>
          <w:bCs w:val="false"/>
          <w:i w:val="false"/>
          <w:iCs w:val="false"/>
          <w:color w:val="000000"/>
          <w:sz w:val="21"/>
          <w:szCs w:val="21"/>
        </w:rPr>
        <w:t xml:space="preserve">(i) </w:t>
      </w:r>
      <w:r>
        <w:rPr>
          <w:rFonts w:ascii="Arial" w:cs="Arial" w:eastAsia="Arial" w:hAnsi="Arial"/>
          <w:b/>
          <w:bCs/>
          <w:i w:val="false"/>
          <w:iCs w:val="false"/>
          <w:color w:val="000000"/>
          <w:sz w:val="21"/>
          <w:szCs w:val="21"/>
        </w:rPr>
        <w:t xml:space="preserve">2024年問題への対応進度</w:t>
      </w:r>
      <w:r>
        <w:rPr>
          <w:rFonts w:ascii="Arial" w:cs="Arial" w:eastAsia="Arial" w:hAnsi="Arial"/>
          <w:b w:val="false"/>
          <w:bCs w:val="false"/>
          <w:i w:val="false"/>
          <w:iCs w:val="false"/>
          <w:color w:val="000000"/>
          <w:sz w:val="21"/>
          <w:szCs w:val="21"/>
        </w:rPr>
        <w:t xml:space="preserve">：ゼネコン側の対応進度が早い大手ほど派遣ニーズが拡大、地方準大手の対応遅れ次第で2026-2028年に追加需要が発生する可能性。(ii) </w:t>
      </w:r>
      <w:r>
        <w:rPr>
          <w:rFonts w:ascii="Arial" w:cs="Arial" w:eastAsia="Arial" w:hAnsi="Arial"/>
          <w:b/>
          <w:bCs/>
          <w:i w:val="false"/>
          <w:iCs w:val="false"/>
          <w:color w:val="000000"/>
          <w:sz w:val="21"/>
          <w:szCs w:val="21"/>
        </w:rPr>
        <w:t xml:space="preserve">半導体・データセンター案件の集中</w:t>
      </w:r>
      <w:r>
        <w:rPr>
          <w:rFonts w:ascii="Arial" w:cs="Arial" w:eastAsia="Arial" w:hAnsi="Arial"/>
          <w:b w:val="false"/>
          <w:bCs w:val="false"/>
          <w:i w:val="false"/>
          <w:iCs w:val="false"/>
          <w:color w:val="000000"/>
          <w:sz w:val="21"/>
          <w:szCs w:val="21"/>
        </w:rPr>
        <w:t xml:space="preserve">：北海道（ラピダス）・熊本（TSMC）・東北（半導体クラスタ）等への派遣シフトに対応できるかが業績左右。(iii) </w:t>
      </w:r>
      <w:r>
        <w:rPr>
          <w:rFonts w:ascii="Arial" w:cs="Arial" w:eastAsia="Arial" w:hAnsi="Arial"/>
          <w:b/>
          <w:bCs/>
          <w:i w:val="false"/>
          <w:iCs w:val="false"/>
          <w:color w:val="000000"/>
          <w:sz w:val="21"/>
          <w:szCs w:val="21"/>
        </w:rPr>
        <w:t xml:space="preserve">ゼネコン系列派遣会社の動向</w:t>
      </w:r>
      <w:r>
        <w:rPr>
          <w:rFonts w:ascii="Arial" w:cs="Arial" w:eastAsia="Arial" w:hAnsi="Arial"/>
          <w:b w:val="false"/>
          <w:bCs w:val="false"/>
          <w:i w:val="false"/>
          <w:iCs w:val="false"/>
          <w:color w:val="000000"/>
          <w:sz w:val="21"/>
          <w:szCs w:val="21"/>
        </w:rPr>
        <w:t xml:space="preserve">：鹿島・大林・清水等が系列内に技術者派遣会社を持っており、グループ内取引拡大が外部派遣圧迫要因。(iv) </w:t>
      </w:r>
      <w:r>
        <w:rPr>
          <w:rFonts w:ascii="Arial" w:cs="Arial" w:eastAsia="Arial" w:hAnsi="Arial"/>
          <w:b/>
          <w:bCs/>
          <w:i w:val="false"/>
          <w:iCs w:val="false"/>
          <w:color w:val="000000"/>
          <w:sz w:val="21"/>
          <w:szCs w:val="21"/>
        </w:rPr>
        <w:t xml:space="preserve">海外オフショア活用</w:t>
      </w:r>
      <w:r>
        <w:rPr>
          <w:rFonts w:ascii="Arial" w:cs="Arial" w:eastAsia="Arial" w:hAnsi="Arial"/>
          <w:b w:val="false"/>
          <w:bCs w:val="false"/>
          <w:i w:val="false"/>
          <w:iCs w:val="false"/>
          <w:color w:val="000000"/>
          <w:sz w:val="21"/>
          <w:szCs w:val="21"/>
        </w:rPr>
        <w:t xml:space="preserve">：BIMモデリング等のリモート可能業務でベトナム・フィリピン拠点活用の波。</w:t>
      </w:r>
    </w:p>
    <w:p>
      <w:pPr>
        <w:spacing w:after="80" w:before="160"/>
      </w:pPr>
      <w:r>
        <w:rPr>
          <w:rFonts w:ascii="Arial" w:cs="Arial" w:eastAsia="Arial" w:hAnsi="Arial"/>
          <w:b/>
          <w:bCs/>
          <w:color w:val="404040"/>
          <w:sz w:val="23"/>
          <w:szCs w:val="23"/>
        </w:rPr>
        <w:t xml:space="preserve">2-3. 単価・コスト構造</w:t>
      </w:r>
    </w:p>
    <w:p>
      <w:pPr>
        <w:spacing w:after="60" w:before="120"/>
      </w:pPr>
      <w:r>
        <w:rPr>
          <w:rFonts w:ascii="Arial" w:cs="Arial" w:eastAsia="Arial" w:hAnsi="Arial"/>
          <w:b/>
          <w:bCs/>
          <w:color w:val="595959"/>
          <w:sz w:val="21"/>
          <w:szCs w:val="21"/>
        </w:rPr>
        <w:t xml:space="preserve">(a) 単価</w:t>
      </w:r>
    </w:p>
    <w:p>
      <w:pPr>
        <w:spacing w:after="80" w:before="0" w:line="280"/>
        <w:jc w:val="left"/>
      </w:pPr>
      <w:r>
        <w:rPr>
          <w:rFonts w:ascii="Arial" w:cs="Arial" w:eastAsia="Arial" w:hAnsi="Arial"/>
          <w:b w:val="false"/>
          <w:bCs w:val="false"/>
          <w:i w:val="false"/>
          <w:iCs w:val="false"/>
          <w:color w:val="000000"/>
          <w:sz w:val="21"/>
          <w:szCs w:val="21"/>
        </w:rPr>
        <w:t xml:space="preserve">施工管理技術者の1人月単価は、領域別に大きく異なる。建築40-60万円/月、土木45-65万円/月、設備電気・プラント60-100万円/月のレンジが業界相場（仮説、業界類推）。テクノプロは4領域バランス型のため、平均単価は55-70万円/月程度と推定される（仮説）。テクノプロHD連結のR&amp;D事業の702千円/月（FY25）と比較すると、施工管理事業はやや低めだが、利益率は施工管理14.5%＞R&amp;D 12.3%と高い。これは原価構造（人件費比率と先行投資負担）の差異による（仮説）。</w:t>
      </w:r>
    </w:p>
    <w:p>
      <w:pPr>
        <w:spacing w:after="80" w:before="0" w:line="280"/>
        <w:jc w:val="left"/>
      </w:pPr>
      <w:r>
        <w:rPr>
          <w:rFonts w:ascii="Arial" w:cs="Arial" w:eastAsia="Arial" w:hAnsi="Arial"/>
          <w:b/>
          <w:bCs/>
          <w:i w:val="false"/>
          <w:iCs w:val="false"/>
          <w:color w:val="000000"/>
          <w:sz w:val="21"/>
          <w:szCs w:val="21"/>
        </w:rPr>
        <w:t xml:space="preserve">主要コスト構造</w:t>
      </w:r>
      <w:r>
        <w:rPr>
          <w:rFonts w:ascii="Arial" w:cs="Arial" w:eastAsia="Arial" w:hAnsi="Arial"/>
          <w:b w:val="false"/>
          <w:bCs w:val="false"/>
          <w:i w:val="false"/>
          <w:iCs w:val="false"/>
          <w:color w:val="000000"/>
          <w:sz w:val="21"/>
          <w:szCs w:val="21"/>
        </w:rPr>
        <w:t xml:space="preserve">：当事業はアセットライト型で、原価の大半は </w:t>
      </w:r>
      <w:r>
        <w:rPr>
          <w:rFonts w:ascii="Arial" w:cs="Arial" w:eastAsia="Arial" w:hAnsi="Arial"/>
          <w:b/>
          <w:bCs/>
          <w:i w:val="false"/>
          <w:iCs w:val="false"/>
          <w:color w:val="000000"/>
          <w:sz w:val="21"/>
          <w:szCs w:val="21"/>
        </w:rPr>
        <w:t xml:space="preserve">施工管理技術者の人件費（給与・賞与・社会保険料・教育研修費）</w:t>
      </w:r>
      <w:r>
        <w:rPr>
          <w:rFonts w:ascii="Arial" w:cs="Arial" w:eastAsia="Arial" w:hAnsi="Arial"/>
          <w:b w:val="false"/>
          <w:bCs w:val="false"/>
          <w:i w:val="false"/>
          <w:iCs w:val="false"/>
          <w:color w:val="000000"/>
          <w:sz w:val="21"/>
          <w:szCs w:val="21"/>
        </w:rPr>
        <w:t xml:space="preserve"> と </w:t>
      </w:r>
      <w:r>
        <w:rPr>
          <w:rFonts w:ascii="Arial" w:cs="Arial" w:eastAsia="Arial" w:hAnsi="Arial"/>
          <w:b/>
          <w:bCs/>
          <w:i w:val="false"/>
          <w:iCs w:val="false"/>
          <w:color w:val="000000"/>
          <w:sz w:val="21"/>
          <w:szCs w:val="21"/>
        </w:rPr>
        <w:t xml:space="preserve">採用費（求人広告・人材紹介手数料）</w:t>
      </w:r>
      <w:r>
        <w:rPr>
          <w:rFonts w:ascii="Arial" w:cs="Arial" w:eastAsia="Arial" w:hAnsi="Arial"/>
          <w:b w:val="false"/>
          <w:bCs w:val="false"/>
          <w:i w:val="false"/>
          <w:iCs w:val="false"/>
          <w:color w:val="000000"/>
          <w:sz w:val="21"/>
          <w:szCs w:val="21"/>
        </w:rPr>
        <w:t xml:space="preserve"> である。テクノプロHD有報の費用明細はサービス原価として一括計上（IFRS）されているため、施工管理単独の原価明細は外部不可視。</w:t>
      </w:r>
    </w:p>
    <w:p>
      <w:pPr>
        <w:spacing w:after="80" w:before="0" w:line="280"/>
        <w:jc w:val="left"/>
      </w:pPr>
      <w:r>
        <w:rPr>
          <w:rFonts w:ascii="Arial" w:cs="Arial" w:eastAsia="Arial" w:hAnsi="Arial"/>
          <w:b/>
          <w:bCs/>
          <w:i w:val="false"/>
          <w:iCs w:val="false"/>
          <w:color w:val="000000"/>
          <w:sz w:val="21"/>
          <w:szCs w:val="21"/>
        </w:rPr>
        <w:t xml:space="preserve">主要原材料相当（=人件費系）の動向</w:t>
      </w:r>
      <w:r>
        <w:rPr>
          <w:rFonts w:ascii="Arial" w:cs="Arial" w:eastAsia="Arial" w:hAnsi="Arial"/>
          <w:b w:val="false"/>
          <w:bCs w:val="false"/>
          <w:i w:val="false"/>
          <w:iCs w:val="false"/>
          <w:color w:val="000000"/>
          <w:sz w:val="21"/>
          <w:szCs w:val="21"/>
        </w:rPr>
        <w:t xml:space="preserve">：(i) 建設業の公共工事設計労務単価は2024年度+5.9%、2023年度+5.2%、2022年度+2.5%と3年連続で大幅プラス改定。労務単価の継続上昇が原価を押し上げ。(ii) 1級施工管理技士の市場単価も+5%/年程度の上昇（業界類推）。(iii) 採用費は求人広告費・人材紹介手数料ともに増加圧力。(iv) 教育研修費は施工管理技士資格取得支援を含み、中期的に投資拡大方針。これらを単価上昇で吸収しきれない年度が出ると利益率が悪化する構造（FY22で営業利益率14.2%→12.3%に低下した実績がこれに該当する可能性）。</w:t>
      </w:r>
    </w:p>
    <w:p>
      <w:pPr>
        <w:spacing w:after="80" w:before="0" w:line="280"/>
        <w:jc w:val="left"/>
      </w:pPr>
      <w:r>
        <w:rPr>
          <w:rFonts w:ascii="Arial" w:cs="Arial" w:eastAsia="Arial" w:hAnsi="Arial"/>
          <w:b/>
          <w:bCs/>
          <w:i w:val="false"/>
          <w:iCs w:val="false"/>
          <w:color w:val="000000"/>
          <w:sz w:val="21"/>
          <w:szCs w:val="21"/>
        </w:rPr>
        <w:t xml:space="preserve">顧客サイドの圧力</w:t>
      </w:r>
      <w:r>
        <w:rPr>
          <w:rFonts w:ascii="Arial" w:cs="Arial" w:eastAsia="Arial" w:hAnsi="Arial"/>
          <w:b w:val="false"/>
          <w:bCs w:val="false"/>
          <w:i w:val="false"/>
          <w:iCs w:val="false"/>
          <w:color w:val="000000"/>
          <w:sz w:val="21"/>
          <w:szCs w:val="21"/>
        </w:rPr>
        <w:t xml:space="preserve">：顧客（ゼネコン・サブコン）にとって、施工管理派遣費用は工事原価の一部であり、労務単価改定・賃上げ転嫁を施主側に求める仕組みが整いつつある（公共工事は2-3年遅れで反映）。一方、民間工事では発注者側の予算固定が強く、ゼネコン側のマージン圧迫を通じて派遣会社にも価格抵抗が及ぶケースあり（業界類推）。</w:t>
      </w:r>
    </w:p>
    <w:p>
      <w:pPr>
        <w:spacing w:after="80" w:before="0" w:line="280"/>
        <w:jc w:val="left"/>
      </w:pPr>
      <w:r>
        <w:rPr>
          <w:rFonts w:ascii="Arial" w:cs="Arial" w:eastAsia="Arial" w:hAnsi="Arial"/>
          <w:b/>
          <w:bCs/>
          <w:i w:val="false"/>
          <w:iCs w:val="false"/>
          <w:color w:val="000000"/>
          <w:sz w:val="21"/>
          <w:szCs w:val="21"/>
        </w:rPr>
        <w:t xml:space="preserve">競争環境に伴う動向</w:t>
      </w:r>
      <w:r>
        <w:rPr>
          <w:rFonts w:ascii="Arial" w:cs="Arial" w:eastAsia="Arial" w:hAnsi="Arial"/>
          <w:b w:val="false"/>
          <w:bCs w:val="false"/>
          <w:i w:val="false"/>
          <w:iCs w:val="false"/>
          <w:color w:val="000000"/>
          <w:sz w:val="21"/>
          <w:szCs w:val="21"/>
        </w:rPr>
        <w:t xml:space="preserve">：上位5社（テクノプロ、オープンアップ、コプロ、ナレル、トライト）はいずれも単価上昇を業績拡大の柱に据えている。中堅以下の派遣会社は単価劣後で苦戦しているとの観測あり（業界類推）。</w:t>
      </w:r>
    </w:p>
    <w:p>
      <w:pPr>
        <w:spacing w:after="60" w:before="120"/>
      </w:pPr>
      <w:r>
        <w:rPr>
          <w:rFonts w:ascii="Arial" w:cs="Arial" w:eastAsia="Arial" w:hAnsi="Arial"/>
          <w:b/>
          <w:bCs/>
          <w:color w:val="595959"/>
          <w:sz w:val="21"/>
          <w:szCs w:val="21"/>
        </w:rPr>
        <w:t xml:space="preserve">(b) コスト</w:t>
      </w:r>
    </w:p>
    <w:p>
      <w:pPr>
        <w:spacing w:after="80" w:before="0" w:line="280"/>
        <w:jc w:val="left"/>
      </w:pPr>
      <w:r>
        <w:rPr>
          <w:rFonts w:ascii="Arial" w:cs="Arial" w:eastAsia="Arial" w:hAnsi="Arial"/>
          <w:b/>
          <w:bCs/>
          <w:i w:val="false"/>
          <w:iCs w:val="false"/>
          <w:color w:val="000000"/>
          <w:sz w:val="21"/>
          <w:szCs w:val="21"/>
        </w:rPr>
        <w:t xml:space="preserve">営業利益率推移</w:t>
      </w:r>
      <w:r>
        <w:rPr>
          <w:rFonts w:ascii="Arial" w:cs="Arial" w:eastAsia="Arial" w:hAnsi="Arial"/>
          <w:b w:val="false"/>
          <w:bCs w:val="false"/>
          <w:i w:val="false"/>
          <w:iCs w:val="false"/>
          <w:color w:val="000000"/>
          <w:sz w:val="21"/>
          <w:szCs w:val="21"/>
        </w:rPr>
        <w:t xml:space="preserve">：FY21 14.2%→FY22 12.3%（採用先行・育成投資）→FY23 13.5%→FY24 14.7%→FY25 14.5%。</w:t>
      </w:r>
      <w:r>
        <w:rPr>
          <w:rFonts w:ascii="Arial" w:cs="Arial" w:eastAsia="Arial" w:hAnsi="Arial"/>
          <w:b/>
          <w:bCs/>
          <w:i w:val="false"/>
          <w:iCs w:val="false"/>
          <w:color w:val="000000"/>
          <w:sz w:val="21"/>
          <w:szCs w:val="21"/>
        </w:rPr>
        <w:t xml:space="preserve">競合比較（FY25）</w:t>
      </w:r>
      <w:r>
        <w:rPr>
          <w:rFonts w:ascii="Arial" w:cs="Arial" w:eastAsia="Arial" w:hAnsi="Arial"/>
          <w:b w:val="false"/>
          <w:bCs w:val="false"/>
          <w:i w:val="false"/>
          <w:iCs w:val="false"/>
          <w:color w:val="000000"/>
          <w:sz w:val="21"/>
          <w:szCs w:val="21"/>
        </w:rPr>
        <w:t xml:space="preserve">：テクノプロCN 14.5% &gt; オープンアップ建設 13.2% &gt; ナレル建設 10.4% &gt; コプロHD連結 9.2% &gt; トライト連結 9.1%（FY24）の順で、業界最高水準。FY25のテクノプロR&amp;D事業（12.3%）よりも建設の方が利益率が高い構造。</w:t>
      </w:r>
    </w:p>
    <w:p>
      <w:pPr>
        <w:spacing w:after="80" w:before="0" w:line="280"/>
        <w:jc w:val="left"/>
      </w:pPr>
      <w:r>
        <w:rPr>
          <w:rFonts w:ascii="Arial" w:cs="Arial" w:eastAsia="Arial" w:hAnsi="Arial"/>
          <w:b/>
          <w:bCs/>
          <w:i w:val="false"/>
          <w:iCs w:val="false"/>
          <w:color w:val="000000"/>
          <w:sz w:val="21"/>
          <w:szCs w:val="21"/>
        </w:rPr>
        <w:t xml:space="preserve">固定費・変動費の比率</w:t>
      </w:r>
      <w:r>
        <w:rPr>
          <w:rFonts w:ascii="Arial" w:cs="Arial" w:eastAsia="Arial" w:hAnsi="Arial"/>
          <w:b w:val="false"/>
          <w:bCs w:val="false"/>
          <w:i w:val="false"/>
          <w:iCs w:val="false"/>
          <w:color w:val="000000"/>
          <w:sz w:val="21"/>
          <w:szCs w:val="21"/>
        </w:rPr>
        <w:t xml:space="preserve">：施工管理派遣事業は </w:t>
      </w:r>
      <w:r>
        <w:rPr>
          <w:rFonts w:ascii="Arial" w:cs="Arial" w:eastAsia="Arial" w:hAnsi="Arial"/>
          <w:b/>
          <w:bCs/>
          <w:i w:val="false"/>
          <w:iCs w:val="false"/>
          <w:color w:val="000000"/>
          <w:sz w:val="21"/>
          <w:szCs w:val="21"/>
        </w:rPr>
        <w:t xml:space="preserve">「変動費型（=技術者人件費が稼働連動）」</w:t>
      </w:r>
      <w:r>
        <w:rPr>
          <w:rFonts w:ascii="Arial" w:cs="Arial" w:eastAsia="Arial" w:hAnsi="Arial"/>
          <w:b w:val="false"/>
          <w:bCs w:val="false"/>
          <w:i w:val="false"/>
          <w:iCs w:val="false"/>
          <w:color w:val="000000"/>
          <w:sz w:val="21"/>
          <w:szCs w:val="21"/>
        </w:rPr>
        <w:t xml:space="preserve"> が基本構造だが、技術者を </w:t>
      </w:r>
      <w:r>
        <w:rPr>
          <w:rFonts w:ascii="Arial" w:cs="Arial" w:eastAsia="Arial" w:hAnsi="Arial"/>
          <w:b/>
          <w:bCs/>
          <w:i w:val="false"/>
          <w:iCs w:val="false"/>
          <w:color w:val="000000"/>
          <w:sz w:val="21"/>
          <w:szCs w:val="21"/>
        </w:rPr>
        <w:t xml:space="preserve">正社員・無期雇用</w:t>
      </w:r>
      <w:r>
        <w:rPr>
          <w:rFonts w:ascii="Arial" w:cs="Arial" w:eastAsia="Arial" w:hAnsi="Arial"/>
          <w:b w:val="false"/>
          <w:bCs w:val="false"/>
          <w:i w:val="false"/>
          <w:iCs w:val="false"/>
          <w:color w:val="000000"/>
          <w:sz w:val="21"/>
          <w:szCs w:val="21"/>
        </w:rPr>
        <w:t xml:space="preserve"> として抱えるため、稼働率低下時の固定費負担が大きい。建設業界はプロジェクト型のため、プロジェクト切替時の待機期間（3-7日程度）が利益率を圧迫する典型。販管費は本社管理費・採用広告費・教育研修費・ITシステム費が主要項目で、売上比10-12%程度のレベル（公開セグメント情報からの逆算、仮説）。</w:t>
      </w:r>
    </w:p>
    <w:p>
      <w:pPr>
        <w:spacing w:after="100" w:before="200"/>
      </w:pPr>
      <w:r>
        <w:rPr>
          <w:rFonts w:ascii="Arial" w:cs="Arial" w:eastAsia="Arial" w:hAnsi="Arial"/>
          <w:b/>
          <w:bCs/>
          <w:color w:val="2C4F7A"/>
          <w:sz w:val="25"/>
          <w:szCs w:val="25"/>
        </w:rPr>
        <w:t xml:space="preserve">③ バリューアップの方向性</w:t>
      </w:r>
    </w:p>
    <w:p>
      <w:pPr>
        <w:spacing w:after="80" w:before="0" w:line="280"/>
        <w:jc w:val="left"/>
      </w:pPr>
      <w:r>
        <w:rPr>
          <w:rFonts w:ascii="Arial" w:cs="Arial" w:eastAsia="Arial" w:hAnsi="Arial"/>
          <w:b/>
          <w:bCs/>
          <w:i w:val="false"/>
          <w:iCs w:val="false"/>
          <w:color w:val="000000"/>
          <w:sz w:val="21"/>
          <w:szCs w:val="21"/>
        </w:rPr>
        <w:t xml:space="preserve">前提</w:t>
      </w:r>
      <w:r>
        <w:rPr>
          <w:rFonts w:ascii="Arial" w:cs="Arial" w:eastAsia="Arial" w:hAnsi="Arial"/>
          <w:b w:val="false"/>
          <w:bCs w:val="false"/>
          <w:i w:val="false"/>
          <w:iCs w:val="false"/>
          <w:color w:val="000000"/>
          <w:sz w:val="21"/>
          <w:szCs w:val="21"/>
        </w:rPr>
        <w:t xml:space="preserve">：本DDレポートは、テクノプロHDが2025年9月にBlackstone傘下入りし、2025年12月上場廃止した後の文脈での施工管理事業の成長加速余地を整理する性格のもの。Blackstoneが中計でM&amp;A1,000億円・AIインフラ100億円を表明している中で、施工管理事業もその対象（仮説）。Exitとして(i)テクノプロHD全体の再IPO、(ii)テクノプロ・コンストラクション単体のカーブアウト売却（PE/事業会社）の2シナリオを想定する。</w:t>
      </w:r>
    </w:p>
    <w:p>
      <w:pPr>
        <w:spacing w:after="80" w:before="160"/>
      </w:pPr>
      <w:r>
        <w:rPr>
          <w:rFonts w:ascii="Arial" w:cs="Arial" w:eastAsia="Arial" w:hAnsi="Arial"/>
          <w:b/>
          <w:bCs/>
          <w:color w:val="404040"/>
          <w:sz w:val="23"/>
          <w:szCs w:val="23"/>
        </w:rPr>
        <w:t xml:space="preserve">3-1. オーガニック</w:t>
      </w:r>
    </w:p>
    <w:p>
      <w:pPr>
        <w:spacing w:after="60" w:before="120"/>
      </w:pPr>
      <w:r>
        <w:rPr>
          <w:rFonts w:ascii="Arial" w:cs="Arial" w:eastAsia="Arial" w:hAnsi="Arial"/>
          <w:b/>
          <w:bCs/>
          <w:color w:val="595959"/>
          <w:sz w:val="21"/>
          <w:szCs w:val="21"/>
        </w:rPr>
        <w:t xml:space="preserve">(a) 売上</w:t>
      </w:r>
    </w:p>
    <w:p>
      <w:pPr>
        <w:spacing w:after="80" w:before="0" w:line="280"/>
        <w:jc w:val="left"/>
      </w:pPr>
      <w:r>
        <w:rPr>
          <w:rFonts w:ascii="Arial" w:cs="Arial" w:eastAsia="Arial" w:hAnsi="Arial"/>
          <w:b/>
          <w:bCs/>
          <w:i w:val="false"/>
          <w:iCs w:val="false"/>
          <w:color w:val="000000"/>
          <w:sz w:val="21"/>
          <w:szCs w:val="21"/>
        </w:rPr>
        <w:t xml:space="preserve">1. プライシング改善（単純値上げ）</w:t>
      </w:r>
      <w:r>
        <w:rPr>
          <w:rFonts w:ascii="Arial" w:cs="Arial" w:eastAsia="Arial" w:hAnsi="Arial"/>
          <w:b w:val="false"/>
          <w:bCs w:val="false"/>
          <w:i w:val="false"/>
          <w:iCs w:val="false"/>
          <w:color w:val="000000"/>
          <w:sz w:val="21"/>
          <w:szCs w:val="21"/>
        </w:rPr>
        <w:t xml:space="preserve"> 打ち手：労務単価上昇（+5%/年）の確実な単価転嫁、設備電気・プラント等の高単価領域への配属シフト、1級施工管理技士有資格者比率の引き上げによる単価プレミア確保。仮説の根拠：FY25のセグメント営業利益率14.5%は業界トップ水準だが、メイテック相当の17-18%まで引き上げる余地あり。労務単価2024年度+5.9%の確実な転嫁ができれば+3-5pt程度の単価改善が見込める。定量インパクト試算：単価+10-15%（5年累積）で売上+25-40億円、限界利益率40-50%とすればEBITDA寄与+10-20億円（仮置）。実行リスク：ゼネコン側の予算抑制、地方準大手ゼネコン取引での単価抵抗。</w:t>
      </w:r>
    </w:p>
    <w:p>
      <w:pPr>
        <w:spacing w:after="80" w:before="0" w:line="280"/>
        <w:jc w:val="left"/>
      </w:pPr>
      <w:r>
        <w:rPr>
          <w:rFonts w:ascii="Arial" w:cs="Arial" w:eastAsia="Arial" w:hAnsi="Arial"/>
          <w:b/>
          <w:bCs/>
          <w:i w:val="false"/>
          <w:iCs w:val="false"/>
          <w:color w:val="000000"/>
          <w:sz w:val="21"/>
          <w:szCs w:val="21"/>
        </w:rPr>
        <w:t xml:space="preserve">2. 新規顧客拡大</w:t>
      </w:r>
      <w:r>
        <w:rPr>
          <w:rFonts w:ascii="Arial" w:cs="Arial" w:eastAsia="Arial" w:hAnsi="Arial"/>
          <w:b w:val="false"/>
          <w:bCs w:val="false"/>
          <w:i w:val="false"/>
          <w:iCs w:val="false"/>
          <w:color w:val="000000"/>
          <w:sz w:val="21"/>
          <w:szCs w:val="21"/>
        </w:rPr>
        <w:t xml:space="preserve"> 打ち手：(i)半導体・データセンター案件への集中投入（ラピダス千歳・TSMC熊本第2・東北半導体クラスタ）、(ii)大手ゼネコン以外の準大手・サブコン取引の深耕（全国で約3-5万社の建設業者がいる中で、現在の主要顧客は大手数十社規模と推定）、(iii)再生可能エネルギー（洋上風力・太陽光メガソーラー）案件への展開。仮説の根拠：建設投資が地方・専業領域でも拡大中であり、未開拓セグメントが多い。Blackstoneの全国SI/物流ネットワークを通じた客先紹介の余地もあり（仮説）。定量インパクト試算：新規顧客で売上+15-25%/5年（仮置）→売上+40-65億円、EBITDA寄与+5-10億円（仮置）。実行リスク：技術者供給制約により新規受注機会を断る場面の継続。</w:t>
      </w:r>
    </w:p>
    <w:p>
      <w:pPr>
        <w:spacing w:after="80" w:before="0" w:line="280"/>
        <w:jc w:val="left"/>
      </w:pPr>
      <w:r>
        <w:rPr>
          <w:rFonts w:ascii="Arial" w:cs="Arial" w:eastAsia="Arial" w:hAnsi="Arial"/>
          <w:b/>
          <w:bCs/>
          <w:i w:val="false"/>
          <w:iCs w:val="false"/>
          <w:color w:val="000000"/>
          <w:sz w:val="21"/>
          <w:szCs w:val="21"/>
        </w:rPr>
        <w:t xml:space="preserve">3. 新規製品拡充</w:t>
      </w:r>
      <w:r>
        <w:rPr>
          <w:rFonts w:ascii="Arial" w:cs="Arial" w:eastAsia="Arial" w:hAnsi="Arial"/>
          <w:b w:val="false"/>
          <w:bCs w:val="false"/>
          <w:i w:val="false"/>
          <w:iCs w:val="false"/>
          <w:color w:val="000000"/>
          <w:sz w:val="21"/>
          <w:szCs w:val="21"/>
        </w:rPr>
        <w:t xml:space="preserve"> 打ち手：(i)BIM/CIMオペレーション請負の拡大、(ii)i-Construction対応のデジタル工事支援、(iii)安全衛生コンサル（CSO支援）への進出、(iv)建設業界向けデータ分析・AI活用ソリューション（テクノプロR&amp;D事業のIT人材活用シナジー）、(v)建設DX人材育成サービスの外販。仮説の根拠：テクノプロHDがR&amp;D事業でAI実装エンジニアを多数保有しており、建設業界向けのDX支援コンサルへの転用余地が大きい（仮説）。Blackstoneのテック人材ネットワークも追い風。定量インパクト試算：DX/コンサル領域の売上比率を5%→15%（FY30）まで引き上げ、EBITDA寄与+15-25億円（仮置）。実行リスク：建設業界特有の現場慣行に合わせたソリューション開発に時間がかかる。</w:t>
      </w:r>
    </w:p>
    <w:p>
      <w:pPr>
        <w:spacing w:after="80" w:before="0" w:line="280"/>
        <w:jc w:val="left"/>
      </w:pPr>
      <w:r>
        <w:rPr>
          <w:rFonts w:ascii="Arial" w:cs="Arial" w:eastAsia="Arial" w:hAnsi="Arial"/>
          <w:b/>
          <w:bCs/>
          <w:i w:val="false"/>
          <w:iCs w:val="false"/>
          <w:color w:val="000000"/>
          <w:sz w:val="21"/>
          <w:szCs w:val="21"/>
        </w:rPr>
        <w:t xml:space="preserve">4. 新規地域展開</w:t>
      </w:r>
      <w:r>
        <w:rPr>
          <w:rFonts w:ascii="Arial" w:cs="Arial" w:eastAsia="Arial" w:hAnsi="Arial"/>
          <w:b w:val="false"/>
          <w:bCs w:val="false"/>
          <w:i w:val="false"/>
          <w:iCs w:val="false"/>
          <w:color w:val="000000"/>
          <w:sz w:val="21"/>
          <w:szCs w:val="21"/>
        </w:rPr>
        <w:t xml:space="preserve"> 打ち手：(i)地方建設市場への進出加速（北海道・東北・九州での半導体クラスタ）、(ii)海外オフショアによるBIMモデリング受託（ベトナム・フィリピン・インド拠点活用＝テクノプロHDの海外資産流用）、(iii)海外プロジェクト（東南アジアODA、北米半導体工場）への日本人施工管理者派遣。仮説の根拠：日本のゼネコンは海外案件を増やしており、現地での日本人施工管理ニーズあり。Blackstone既存ポートフォリオへの横展開も可能。定量インパクト試算：海外売上を現状ほぼゼロから5-10%（売上+15-30億円）まで引き上げ、EBITDA寄与+3-7億円（仮置）。実行リスク：海外でのカントリーリスク・人事管理コスト、テクノプロHD海外事業の継続赤字リスクへの感応度。</w:t>
      </w:r>
    </w:p>
    <w:p>
      <w:pPr>
        <w:spacing w:after="60" w:before="120"/>
      </w:pPr>
      <w:r>
        <w:rPr>
          <w:rFonts w:ascii="Arial" w:cs="Arial" w:eastAsia="Arial" w:hAnsi="Arial"/>
          <w:b/>
          <w:bCs/>
          <w:color w:val="595959"/>
          <w:sz w:val="21"/>
          <w:szCs w:val="21"/>
        </w:rPr>
        <w:t xml:space="preserve">(b) コスト</w:t>
      </w:r>
    </w:p>
    <w:p>
      <w:pPr>
        <w:spacing w:after="80" w:before="0" w:line="280"/>
        <w:jc w:val="left"/>
      </w:pPr>
      <w:r>
        <w:rPr>
          <w:rFonts w:ascii="Arial" w:cs="Arial" w:eastAsia="Arial" w:hAnsi="Arial"/>
          <w:b/>
          <w:bCs/>
          <w:i w:val="false"/>
          <w:iCs w:val="false"/>
          <w:color w:val="000000"/>
          <w:sz w:val="21"/>
          <w:szCs w:val="21"/>
        </w:rPr>
        <w:t xml:space="preserve">1. 原価改善</w:t>
      </w:r>
      <w:r>
        <w:rPr>
          <w:rFonts w:ascii="Arial" w:cs="Arial" w:eastAsia="Arial" w:hAnsi="Arial"/>
          <w:b w:val="false"/>
          <w:bCs w:val="false"/>
          <w:i w:val="false"/>
          <w:iCs w:val="false"/>
          <w:color w:val="000000"/>
          <w:sz w:val="21"/>
          <w:szCs w:val="21"/>
        </w:rPr>
        <w:t xml:space="preserve"> 打ち手：(i)AIマッチングによる配属効率化（プロジェクト終了時の待機期間短縮、稼働率の数pt改善）、(ii)採用プロセスの自動化（AI面接・スクリーニング）、(iii)教育研修のオンライン化・コンテンツ標準化、(iv)1級施工管理技士の社内取得支援強化による単価プレミア確保。仮説の根拠：テクノプロHD全社で「コアプロセスのIT化・データ分析活用」を中計に明示。BlackstoneのAI実装ノウハウを建設に適用すれば、業界トップの稼働率と単価管理体制を構築可能。定量インパクト試算：原価改善で売上比1-1.5pt改善、EBITDA寄与+3-5億円（仮置）。実行リスク：建設業界特有の現場ベース業務とAIの相性検証期間が必要。</w:t>
      </w:r>
    </w:p>
    <w:p>
      <w:pPr>
        <w:spacing w:after="80" w:before="0" w:line="280"/>
        <w:jc w:val="left"/>
      </w:pPr>
      <w:r>
        <w:rPr>
          <w:rFonts w:ascii="Arial" w:cs="Arial" w:eastAsia="Arial" w:hAnsi="Arial"/>
          <w:b/>
          <w:bCs/>
          <w:i w:val="false"/>
          <w:iCs w:val="false"/>
          <w:color w:val="000000"/>
          <w:sz w:val="21"/>
          <w:szCs w:val="21"/>
        </w:rPr>
        <w:t xml:space="preserve">2. 販管費改善</w:t>
      </w:r>
      <w:r>
        <w:rPr>
          <w:rFonts w:ascii="Arial" w:cs="Arial" w:eastAsia="Arial" w:hAnsi="Arial"/>
          <w:b w:val="false"/>
          <w:bCs w:val="false"/>
          <w:i w:val="false"/>
          <w:iCs w:val="false"/>
          <w:color w:val="000000"/>
          <w:sz w:val="21"/>
          <w:szCs w:val="21"/>
        </w:rPr>
        <w:t xml:space="preserve"> 打ち手：(i)テクノプロHD全社のシェアード機能（人事・経理・法務・IT）統合による販管費削減、(ii)基幹システムワンシステム化（テクノプロHD中計プロジェクトに合流）、(iii)採用広告費の最適化（リファーラル比率向上）、(iv)地域営業拠点の統廃合。仮説の根拠：テクノプロHDは中計で「事務機能のオペレーティングレバレッジ向上」を明示しており、施工管理セグメントもその恩恵を受ける。定量インパクト試算：販管費比率を売上比10-12%→8-10%に削減、EBITDA寄与+3-5億円（仮置）。実行リスク：基幹システム入替の一時投資負担。</w:t>
      </w:r>
    </w:p>
    <w:p>
      <w:pPr>
        <w:spacing w:after="80" w:before="160"/>
      </w:pPr>
      <w:r>
        <w:rPr>
          <w:rFonts w:ascii="Arial" w:cs="Arial" w:eastAsia="Arial" w:hAnsi="Arial"/>
          <w:b/>
          <w:bCs/>
          <w:color w:val="404040"/>
          <w:sz w:val="23"/>
          <w:szCs w:val="23"/>
        </w:rPr>
        <w:t xml:space="preserve">3-2. インオーガニック</w:t>
      </w:r>
    </w:p>
    <w:p>
      <w:pPr>
        <w:spacing w:after="80" w:before="0" w:line="280"/>
        <w:jc w:val="left"/>
      </w:pPr>
      <w:r>
        <w:rPr>
          <w:rFonts w:ascii="Arial" w:cs="Arial" w:eastAsia="Arial" w:hAnsi="Arial"/>
          <w:b w:val="false"/>
          <w:bCs w:val="false"/>
          <w:i w:val="false"/>
          <w:iCs w:val="false"/>
          <w:color w:val="000000"/>
          <w:sz w:val="21"/>
          <w:szCs w:val="21"/>
        </w:rPr>
        <w:t xml:space="preserve">報道ベース（ION Analytics）でBlackstoneのテクノプロHD全体のM&amp;A枠は約1,000億円規模。施工管理事業もその一部として、戦略的M&amp;Aを実行する余地あり（仮説）。</w:t>
      </w:r>
    </w:p>
    <w:p>
      <w:pPr>
        <w:spacing w:after="80" w:before="0" w:line="280"/>
        <w:jc w:val="left"/>
      </w:pPr>
      <w:r>
        <w:rPr>
          <w:rFonts w:ascii="Arial" w:cs="Arial" w:eastAsia="Arial" w:hAnsi="Arial"/>
          <w:b/>
          <w:bCs/>
          <w:i w:val="false"/>
          <w:iCs w:val="false"/>
          <w:color w:val="000000"/>
          <w:sz w:val="21"/>
          <w:szCs w:val="21"/>
        </w:rPr>
        <w:t xml:space="preserve">1. 同業ロールアップ</w:t>
      </w:r>
      <w:r>
        <w:rPr>
          <w:rFonts w:ascii="Arial" w:cs="Arial" w:eastAsia="Arial" w:hAnsi="Arial"/>
          <w:b w:val="false"/>
          <w:bCs w:val="false"/>
          <w:i w:val="false"/>
          <w:iCs w:val="false"/>
          <w:color w:val="000000"/>
          <w:sz w:val="21"/>
          <w:szCs w:val="21"/>
        </w:rPr>
        <w:t xml:space="preserve"> 打ち手：地方の中堅建設技術者派遣会社（500-1,500名規模、年商50-150億円規模）を年1-2社のペースで買収統合。具体候補（仮説）：地方系の建設派遣（北海道・東北・九州拠点を持つ中堅）、専業の設備電気派遣会社（電気工事士派遣特化）、プラント施工管理派遣（千葉・東関東・水島コンビナート系）。シナジー類型：(i)技術者プール拡大による顧客提案力強化、(ii)地域カバレッジの面的拡大、(iii)バックオフィス統合によるコスト削減、(iv)テクノプロHDのR&amp;D事業顧客リスト相互活用。PMI論点：被買収会社の技術者リテンション、給与体系統合、現場慣行の差異の調整。定量インパクト試算：5年累積で技術者数+1,500-3,000名追加→売上+100-200億円、EBITDA寄与+12-25億円（仮置）。</w:t>
      </w:r>
    </w:p>
    <w:p>
      <w:pPr>
        <w:spacing w:after="80" w:before="0" w:line="280"/>
        <w:jc w:val="left"/>
      </w:pPr>
      <w:r>
        <w:rPr>
          <w:rFonts w:ascii="Arial" w:cs="Arial" w:eastAsia="Arial" w:hAnsi="Arial"/>
          <w:b/>
          <w:bCs/>
          <w:i w:val="false"/>
          <w:iCs w:val="false"/>
          <w:color w:val="000000"/>
          <w:sz w:val="21"/>
          <w:szCs w:val="21"/>
        </w:rPr>
        <w:t xml:space="preserve">2. 隣接企業買収による機能強化</w:t>
      </w:r>
      <w:r>
        <w:rPr>
          <w:rFonts w:ascii="Arial" w:cs="Arial" w:eastAsia="Arial" w:hAnsi="Arial"/>
          <w:b w:val="false"/>
          <w:bCs w:val="false"/>
          <w:i w:val="false"/>
          <w:iCs w:val="false"/>
          <w:color w:val="000000"/>
          <w:sz w:val="21"/>
          <w:szCs w:val="21"/>
        </w:rPr>
        <w:t xml:space="preserve"> 打ち手：(i)BIM/CIMコンサル会社（建設DX領域）の買収、(ii)安全衛生・労務管理コンサル会社の買収、(iii)再生エネルギー特化型施工管理会社（洋上風力・太陽光・地熱）、(iv)海外（ベトナム・フィリピン）BIMモデリング会社、(v)建設業界向けSaaS企業（工程管理・原価管理ソフト）。シナジー類型：技術領域・地理・チャネル・サービスラインの補完。PMI論点：海外案件はガバナンス・通貨リスク、SaaS買収はカルチャー差異が大。定量インパクト試算：5年累積で売上+30-60億円、EBITDA寄与+5-10億円（仮置）。</w:t>
      </w:r>
    </w:p>
    <w:p>
      <w:pPr>
        <w:spacing w:after="80" w:before="160"/>
      </w:pPr>
      <w:r>
        <w:rPr>
          <w:rFonts w:ascii="Arial" w:cs="Arial" w:eastAsia="Arial" w:hAnsi="Arial"/>
          <w:b/>
          <w:bCs/>
          <w:color w:val="404040"/>
          <w:sz w:val="23"/>
          <w:szCs w:val="23"/>
        </w:rPr>
        <w:t xml:space="preserve">3-3. Exitの可能性（エクイティストーリー含む）</w:t>
      </w:r>
    </w:p>
    <w:p>
      <w:pPr>
        <w:spacing w:after="80" w:before="0" w:line="280"/>
        <w:jc w:val="left"/>
      </w:pPr>
      <w:r>
        <w:rPr>
          <w:rFonts w:ascii="Arial" w:cs="Arial" w:eastAsia="Arial" w:hAnsi="Arial"/>
          <w:b/>
          <w:bCs/>
          <w:i w:val="false"/>
          <w:iCs w:val="false"/>
          <w:color w:val="000000"/>
          <w:sz w:val="21"/>
          <w:szCs w:val="21"/>
        </w:rPr>
        <w:t xml:space="preserve">想定買い手</w:t>
      </w:r>
      <w:r>
        <w:rPr>
          <w:rFonts w:ascii="Arial" w:cs="Arial" w:eastAsia="Arial" w:hAnsi="Arial"/>
          <w:b w:val="false"/>
          <w:bCs w:val="false"/>
          <w:i w:val="false"/>
          <w:iCs w:val="false"/>
          <w:color w:val="000000"/>
          <w:sz w:val="21"/>
          <w:szCs w:val="21"/>
        </w:rPr>
        <w:t xml:space="preserve">（テクノプロHD全体としてのExit、または施工管理単独カーブアウト）：</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(a) </w:t>
      </w:r>
      <w:r>
        <w:rPr>
          <w:rFonts w:ascii="Arial" w:cs="Arial" w:eastAsia="Arial" w:hAnsi="Arial"/>
          <w:b/>
          <w:bCs/>
          <w:i w:val="false"/>
          <w:iCs w:val="false"/>
          <w:color w:val="000000"/>
          <w:sz w:val="20"/>
          <w:szCs w:val="20"/>
        </w:rPr>
        <w:t xml:space="preserve">テクノプロHD全体での再IPO</w:t>
      </w:r>
      <w:r>
        <w:rPr>
          <w:rFonts w:ascii="Arial" w:cs="Arial" w:eastAsia="Arial" w:hAnsi="Arial"/>
          <w:b w:val="false"/>
          <w:bCs w:val="false"/>
          <w:i w:val="false"/>
          <w:iCs w:val="false"/>
          <w:color w:val="000000"/>
          <w:sz w:val="20"/>
          <w:szCs w:val="20"/>
        </w:rPr>
        <w:t xml:space="preserve">：5-7年後にテクノプロHD全体として東証プライム再上場。施工管理事業は連結内のNo.2セグメントとして存在し続けるシナリオ。</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(b) </w:t>
      </w:r>
      <w:r>
        <w:rPr>
          <w:rFonts w:ascii="Arial" w:cs="Arial" w:eastAsia="Arial" w:hAnsi="Arial"/>
          <w:b/>
          <w:bCs/>
          <w:i w:val="false"/>
          <w:iCs w:val="false"/>
          <w:color w:val="000000"/>
          <w:sz w:val="20"/>
          <w:szCs w:val="20"/>
        </w:rPr>
        <w:t xml:space="preserve">施工管理事業のカーブアウト売却（PE）</w:t>
      </w:r>
      <w:r>
        <w:rPr>
          <w:rFonts w:ascii="Arial" w:cs="Arial" w:eastAsia="Arial" w:hAnsi="Arial"/>
          <w:b w:val="false"/>
          <w:bCs w:val="false"/>
          <w:i w:val="false"/>
          <w:iCs w:val="false"/>
          <w:color w:val="000000"/>
          <w:sz w:val="20"/>
          <w:szCs w:val="20"/>
        </w:rPr>
        <w:t xml:space="preserve">：オープンアップG・コプロHD等の同業大手、KKR・CVC・EQT等のメガファンドへの単独売却。Bain Capital（既にトライトG・BREXA Technologyを保有）への売却は事業統合シナジーが高い。</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(c) </w:t>
      </w:r>
      <w:r>
        <w:rPr>
          <w:rFonts w:ascii="Arial" w:cs="Arial" w:eastAsia="Arial" w:hAnsi="Arial"/>
          <w:b/>
          <w:bCs/>
          <w:i w:val="false"/>
          <w:iCs w:val="false"/>
          <w:color w:val="000000"/>
          <w:sz w:val="20"/>
          <w:szCs w:val="20"/>
        </w:rPr>
        <w:t xml:space="preserve">戦略買収（事業会社）</w:t>
      </w:r>
      <w:r>
        <w:rPr>
          <w:rFonts w:ascii="Arial" w:cs="Arial" w:eastAsia="Arial" w:hAnsi="Arial"/>
          <w:b w:val="false"/>
          <w:bCs w:val="false"/>
          <w:i w:val="false"/>
          <w:iCs w:val="false"/>
          <w:color w:val="000000"/>
          <w:sz w:val="20"/>
          <w:szCs w:val="20"/>
        </w:rPr>
        <w:t xml:space="preserve">：(i)パーソルHD・リクルートHD等の国内大手人材会社による業界統合、(ii)ゼネコン系列派遣会社（鹿島マネジメントエンジニアリング等）の規模拡大、(iii)海外建設サービス企業（豪Worley、米Fluor等）の日本市場参入の足がかり。</w:t>
      </w:r>
    </w:p>
    <w:p>
      <w:pPr>
        <w:spacing w:after="80" w:before="0" w:line="280"/>
        <w:jc w:val="left"/>
      </w:pPr>
      <w:r>
        <w:rPr>
          <w:rFonts w:ascii="Arial" w:cs="Arial" w:eastAsia="Arial" w:hAnsi="Arial"/>
          <w:b/>
          <w:bCs/>
          <w:i w:val="false"/>
          <w:iCs w:val="false"/>
          <w:color w:val="000000"/>
          <w:sz w:val="21"/>
          <w:szCs w:val="21"/>
        </w:rPr>
        <w:t xml:space="preserve">想定マルチプル</w:t>
      </w:r>
      <w:r>
        <w:rPr>
          <w:rFonts w:ascii="Arial" w:cs="Arial" w:eastAsia="Arial" w:hAnsi="Arial"/>
          <w:b w:val="false"/>
          <w:bCs w:val="false"/>
          <w:i w:val="false"/>
          <w:iCs w:val="false"/>
          <w:color w:val="000000"/>
          <w:sz w:val="21"/>
          <w:szCs w:val="21"/>
        </w:rPr>
        <w:t xml:space="preserve">：建設技術者派遣業界の上場ピアEV/EBITDAは、コプロHD 約8-9倍、ナレルG 約9-11倍、オープンアップG 約7-8倍、トライトG TOB時約7倍と、技術者派遣全体（テクノプロHD TOB時11.8倍）よりやや低めのレンジ。一方、利益率の高さ（テクノプロCN 14.5%）と建設市場の成長性をストーリー化できれば、9-12倍のレンジが可能（仮説）。</w:t>
      </w:r>
    </w:p>
    <w:p>
      <w:pPr>
        <w:spacing w:after="80" w:before="0" w:line="280"/>
        <w:jc w:val="left"/>
      </w:pPr>
      <w:r>
        <w:rPr>
          <w:rFonts w:ascii="Arial" w:cs="Arial" w:eastAsia="Arial" w:hAnsi="Arial"/>
          <w:b/>
          <w:bCs/>
          <w:i w:val="false"/>
          <w:iCs w:val="false"/>
          <w:color w:val="000000"/>
          <w:sz w:val="21"/>
          <w:szCs w:val="21"/>
        </w:rPr>
        <w:t xml:space="preserve">5年後Exit想定（施工管理事業単独）</w:t>
      </w:r>
      <w:r>
        <w:rPr>
          <w:rFonts w:ascii="Arial" w:cs="Arial" w:eastAsia="Arial" w:hAnsi="Arial"/>
          <w:b w:val="false"/>
          <w:bCs w:val="false"/>
          <w:i w:val="false"/>
          <w:iCs w:val="false"/>
          <w:color w:val="000000"/>
          <w:sz w:val="21"/>
          <w:szCs w:val="21"/>
        </w:rPr>
        <w:t xml:space="preserve">：</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現状EBITDA（FY25）：3,699 + 239 = 約3,938百万円（≒40億円）</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バリューアップ実行後（5年後）EBITDAレンジ：80-130億円（後述Bridge参照）</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Exit時マルチプル：9-12倍</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想定EV：720-1,560億円</w:t>
      </w:r>
    </w:p>
    <w:p>
      <w:pPr>
        <w:spacing w:after="80" w:before="0" w:line="280"/>
        <w:jc w:val="left"/>
      </w:pPr>
      <w:r>
        <w:rPr>
          <w:rFonts w:ascii="Arial" w:cs="Arial" w:eastAsia="Arial" w:hAnsi="Arial"/>
          <w:b/>
          <w:bCs/>
          <w:i w:val="false"/>
          <w:iCs w:val="false"/>
          <w:color w:val="000000"/>
          <w:sz w:val="21"/>
          <w:szCs w:val="21"/>
        </w:rPr>
        <w:t xml:space="preserve">エクイティストーリー</w:t>
      </w:r>
      <w:r>
        <w:rPr>
          <w:rFonts w:ascii="Arial" w:cs="Arial" w:eastAsia="Arial" w:hAnsi="Arial"/>
          <w:b w:val="false"/>
          <w:bCs w:val="false"/>
          <w:i w:val="false"/>
          <w:iCs w:val="false"/>
          <w:color w:val="000000"/>
          <w:sz w:val="21"/>
          <w:szCs w:val="21"/>
        </w:rPr>
        <w:t xml:space="preserve">：「2024年問題と半導体・データセンター・都市再開発投資ブームを背景に、構造的人手不足が継続する建設施工管理派遣市場で、テクノプロHDの育成・採用基盤＋BlackstoneのAI/DXノウハウを掛け合わせ、業界最高水準の利益率（17%超）を維持しながら、ロールアップで規模No.2-3に到達。建設DXソリューション会社として進化し、単純派遣からコンサル+SaaS+派遣の複合モデルへ移行。」</w:t>
      </w:r>
    </w:p>
    <w:p>
      <w:pPr>
        <w:spacing w:after="80" w:before="160"/>
      </w:pPr>
      <w:r>
        <w:rPr>
          <w:rFonts w:ascii="Arial" w:cs="Arial" w:eastAsia="Arial" w:hAnsi="Arial"/>
          <w:b/>
          <w:bCs/>
          <w:color w:val="404040"/>
          <w:sz w:val="23"/>
          <w:szCs w:val="23"/>
        </w:rPr>
        <w:t xml:space="preserve">Value-up Bridge 数値テーブル（仮置）</w:t>
      </w:r>
    </w:p>
    <w:tbl>
      <w:tblPr>
        <w:tblW w:type="pct" w:w="100%"/>
        <w:tblBorders>
          <w:top w:val="single" w:color="BFBFBF" w:sz="4"/>
          <w:left w:val="single" w:color="BFBFBF" w:sz="4"/>
          <w:bottom w:val="single" w:color="BFBFBF" w:sz="4"/>
          <w:right w:val="single" w:color="BFBFBF" w:sz="4"/>
          <w:insideH w:val="single" w:color="BFBFBF" w:sz="2"/>
          <w:insideV w:val="single" w:color="BFBFBF" w:sz="2"/>
        </w:tblBorders>
      </w:tblPr>
      <w:tblGrid>
        <w:gridCol w:w="100"/>
        <w:gridCol w:w="100"/>
        <w:gridCol w:w="100"/>
        <w:gridCol w:w="100"/>
      </w:tblGrid>
      <w:tr>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項目</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EBITDA（億円）／レンジ</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寄与の論拠</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達成期間</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現状EBITDA</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約40</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FY25営業利益37億円＋減価償却2.4億円</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 オーガニック</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+20〜40</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単価+10-15%／半導体・DC案件集中／DX/コンサル領域拡大／販管費改善の合算</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〜5年</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 インオーガニック</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+20〜50</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中堅同業ロールアップ＋隣接買収による技術者数+1,500-3,000名規模の追加・機能強化</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〜5年</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bCs/>
                <w:i w:val="false"/>
                <w:iCs w:val="false"/>
                <w:color w:val="000000"/>
                <w:sz w:val="18"/>
                <w:szCs w:val="18"/>
              </w:rPr>
              <w:t xml:space="preserve">5年後想定EBITDA</w:t>
            </w:r>
          </w:p>
        </w:tc>
        <w:tc>
          <w:tcPr>
            <w:shd w:fill="F2F4F7" w:color="F2F4F7" w:val="solid"/>
            <w:tcMar>
              <w:top w:type="dxa" w:w="60"/>
              <w:left w:type="dxa" w:w="80"/>
              <w:bottom w:type="dxa" w:w="60"/>
              <w:right w:type="dxa" w:w="80"/>
            </w:tcMar>
          </w:tcPr>
          <w:p>
            <w:pPr>
              <w:spacing w:line="240"/>
              <w:jc w:val="left"/>
            </w:pPr>
            <w:r>
              <w:rPr>
                <w:rFonts w:ascii="Arial" w:cs="Arial" w:eastAsia="Arial" w:hAnsi="Arial"/>
                <w:b/>
                <w:bCs/>
                <w:i w:val="false"/>
                <w:iCs w:val="false"/>
                <w:color w:val="000000"/>
                <w:sz w:val="18"/>
                <w:szCs w:val="18"/>
              </w:rPr>
              <w:t xml:space="preserve">約80〜130</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r>
    </w:tbl>
    <w:p>
      <w:pPr>
        <w:spacing w:after="60" w:before="0" w:line="280"/>
        <w:jc w:val="left"/>
      </w:pPr>
      <w:r>
        <w:rPr>
          <w:rFonts w:ascii="Arial" w:cs="Arial" w:eastAsia="Arial" w:hAnsi="Arial"/>
          <w:b w:val="false"/>
          <w:bCs w:val="false"/>
          <w:i w:val="false"/>
          <w:iCs w:val="false"/>
          <w:color w:val="000000"/>
          <w:sz w:val="21"/>
          <w:szCs w:val="21"/>
        </w:rPr>
        <w:t xml:space="preserve"/>
      </w:r>
    </w:p>
    <w:p>
      <w:pPr>
        <w:spacing w:after="100" w:before="200"/>
      </w:pPr>
      <w:r>
        <w:rPr>
          <w:rFonts w:ascii="Arial" w:cs="Arial" w:eastAsia="Arial" w:hAnsi="Arial"/>
          <w:b/>
          <w:bCs/>
          <w:color w:val="2C4F7A"/>
          <w:sz w:val="25"/>
          <w:szCs w:val="25"/>
        </w:rPr>
        <w:t xml:space="preserve">付録</w:t>
      </w:r>
    </w:p>
    <w:p>
      <w:pPr>
        <w:spacing w:after="80" w:before="160"/>
      </w:pPr>
      <w:r>
        <w:rPr>
          <w:rFonts w:ascii="Arial" w:cs="Arial" w:eastAsia="Arial" w:hAnsi="Arial"/>
          <w:b/>
          <w:bCs/>
          <w:color w:val="404040"/>
          <w:sz w:val="23"/>
          <w:szCs w:val="23"/>
        </w:rPr>
        <w:t xml:space="preserve">出典一覧</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EDINET一次情報</w:t>
      </w:r>
      <w:r>
        <w:rPr>
          <w:rFonts w:ascii="Arial" w:cs="Arial" w:eastAsia="Arial" w:hAnsi="Arial"/>
          <w:b w:val="false"/>
          <w:bCs w:val="false"/>
          <w:i w:val="false"/>
          <w:iCs w:val="false"/>
          <w:color w:val="000000"/>
          <w:sz w:val="20"/>
          <w:szCs w:val="20"/>
        </w:rPr>
        <w:t xml:space="preserve">：第16期〜第20期 有価証券報告書（テクノプロ・ホールディングス、docID: S100MIMZ／S100P9T4／S100RXK0／S100UFXO／S100WRK2）の「施工管理アウトソーシング事業」セグメント情報注記</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テクノプロ・コンストラクション公式サイト</w:t>
      </w:r>
      <w:r>
        <w:rPr>
          <w:rFonts w:ascii="Arial" w:cs="Arial" w:eastAsia="Arial" w:hAnsi="Arial"/>
          <w:b w:val="false"/>
          <w:bCs w:val="false"/>
          <w:i w:val="false"/>
          <w:iCs w:val="false"/>
          <w:color w:val="000000"/>
          <w:sz w:val="20"/>
          <w:szCs w:val="20"/>
        </w:rPr>
        <w:t xml:space="preserve">（事業案内・技術者紹介・採用ページ）</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建設技術者派遣5社比較データ</w:t>
      </w:r>
      <w:r>
        <w:rPr>
          <w:rFonts w:ascii="Arial" w:cs="Arial" w:eastAsia="Arial" w:hAnsi="Arial"/>
          <w:b w:val="false"/>
          <w:bCs w:val="false"/>
          <w:i w:val="false"/>
          <w:iCs w:val="false"/>
          <w:color w:val="000000"/>
          <w:sz w:val="20"/>
          <w:szCs w:val="20"/>
        </w:rPr>
        <w:t xml:space="preserve">：本DDワーク `business-dd/work_overall/segment_data.json`（オープンアップG、コプロHD、ナレルG、トライトG、テクノプロHDのFY16-FY25 セグメント別売上・利益・従業員数を網羅）</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Blackstoneプレスリリース</w:t>
      </w:r>
      <w:r>
        <w:rPr>
          <w:rFonts w:ascii="Arial" w:cs="Arial" w:eastAsia="Arial" w:hAnsi="Arial"/>
          <w:b w:val="false"/>
          <w:bCs w:val="false"/>
          <w:i w:val="false"/>
          <w:iCs w:val="false"/>
          <w:color w:val="000000"/>
          <w:sz w:val="20"/>
          <w:szCs w:val="20"/>
        </w:rPr>
        <w:t xml:space="preserve">：「ブラックストーン、国内最大手の技術系人材サービス企業であるテクノプロに対する公開買付けの意向を発表」（2025年8月6日）</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テクノプロ意見表明書</w:t>
      </w:r>
      <w:r>
        <w:rPr>
          <w:rFonts w:ascii="Arial" w:cs="Arial" w:eastAsia="Arial" w:hAnsi="Arial"/>
          <w:b w:val="false"/>
          <w:bCs w:val="false"/>
          <w:i w:val="false"/>
          <w:iCs w:val="false"/>
          <w:color w:val="000000"/>
          <w:sz w:val="20"/>
          <w:szCs w:val="20"/>
        </w:rPr>
        <w:t xml:space="preserve">：「ビー・エックス・ジェイ・イー・ツー・ホールディング株式会社による当社株券等に対する公開買付けに関する意見表明」（2025年8月6日）</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業界マクロ統計</w:t>
      </w:r>
      <w:r>
        <w:rPr>
          <w:rFonts w:ascii="Arial" w:cs="Arial" w:eastAsia="Arial" w:hAnsi="Arial"/>
          <w:b w:val="false"/>
          <w:bCs w:val="false"/>
          <w:i w:val="false"/>
          <w:iCs w:val="false"/>
          <w:color w:val="000000"/>
          <w:sz w:val="20"/>
          <w:szCs w:val="20"/>
        </w:rPr>
        <w:t xml:space="preserve">：国交省「建設投資見通し」「建設業デジタルハンドブック」、総務省「労働力調査」、厚労省「労働者派遣事業報告書」、経産省「IT人材需給に関する調査」</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業界バリュエーション</w:t>
      </w:r>
      <w:r>
        <w:rPr>
          <w:rFonts w:ascii="Arial" w:cs="Arial" w:eastAsia="Arial" w:hAnsi="Arial"/>
          <w:b w:val="false"/>
          <w:bCs w:val="false"/>
          <w:i w:val="false"/>
          <w:iCs w:val="false"/>
          <w:color w:val="000000"/>
          <w:sz w:val="20"/>
          <w:szCs w:val="20"/>
        </w:rPr>
        <w:t xml:space="preserve">：M&amp;A情報MANDA記事（2025年8月）、Primary M&amp;A 評価コラム</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Blackstone投資戦略</w:t>
      </w:r>
      <w:r>
        <w:rPr>
          <w:rFonts w:ascii="Arial" w:cs="Arial" w:eastAsia="Arial" w:hAnsi="Arial"/>
          <w:b w:val="false"/>
          <w:bCs w:val="false"/>
          <w:i w:val="false"/>
          <w:iCs w:val="false"/>
          <w:color w:val="000000"/>
          <w:sz w:val="20"/>
          <w:szCs w:val="20"/>
        </w:rPr>
        <w:t xml:space="preserve">：ION Analytics「Blackstone steers TechnoPro toward AI-powered staffing business - MD」（2025年）</w:t>
      </w:r>
    </w:p>
    <w:p>
      <w:pPr>
        <w:spacing w:after="80" w:before="160"/>
      </w:pPr>
      <w:r>
        <w:rPr>
          <w:rFonts w:ascii="Arial" w:cs="Arial" w:eastAsia="Arial" w:hAnsi="Arial"/>
          <w:b/>
          <w:bCs/>
          <w:color w:val="404040"/>
          <w:sz w:val="23"/>
          <w:szCs w:val="23"/>
        </w:rPr>
        <w:t xml:space="preserve">略語集</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BIM</w:t>
      </w:r>
      <w:r>
        <w:rPr>
          <w:rFonts w:ascii="Arial" w:cs="Arial" w:eastAsia="Arial" w:hAnsi="Arial"/>
          <w:b w:val="false"/>
          <w:bCs w:val="false"/>
          <w:i w:val="false"/>
          <w:iCs w:val="false"/>
          <w:color w:val="000000"/>
          <w:sz w:val="20"/>
          <w:szCs w:val="20"/>
        </w:rPr>
        <w:t xml:space="preserve">：Building Information Modeling（建築情報モデリング）</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CIM</w:t>
      </w:r>
      <w:r>
        <w:rPr>
          <w:rFonts w:ascii="Arial" w:cs="Arial" w:eastAsia="Arial" w:hAnsi="Arial"/>
          <w:b w:val="false"/>
          <w:bCs w:val="false"/>
          <w:i w:val="false"/>
          <w:iCs w:val="false"/>
          <w:color w:val="000000"/>
          <w:sz w:val="20"/>
          <w:szCs w:val="20"/>
        </w:rPr>
        <w:t xml:space="preserve">：Construction Information Modeling（土木情報モデリング）</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CSO</w:t>
      </w:r>
      <w:r>
        <w:rPr>
          <w:rFonts w:ascii="Arial" w:cs="Arial" w:eastAsia="Arial" w:hAnsi="Arial"/>
          <w:b w:val="false"/>
          <w:bCs w:val="false"/>
          <w:i w:val="false"/>
          <w:iCs w:val="false"/>
          <w:color w:val="000000"/>
          <w:sz w:val="20"/>
          <w:szCs w:val="20"/>
        </w:rPr>
        <w:t xml:space="preserve">：Chief Safety Officer（最高安全責任者）</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DC</w:t>
      </w:r>
      <w:r>
        <w:rPr>
          <w:rFonts w:ascii="Arial" w:cs="Arial" w:eastAsia="Arial" w:hAnsi="Arial"/>
          <w:b w:val="false"/>
          <w:bCs w:val="false"/>
          <w:i w:val="false"/>
          <w:iCs w:val="false"/>
          <w:color w:val="000000"/>
          <w:sz w:val="20"/>
          <w:szCs w:val="20"/>
        </w:rPr>
        <w:t xml:space="preserve">：Data Center（データセンター）</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EPC</w:t>
      </w:r>
      <w:r>
        <w:rPr>
          <w:rFonts w:ascii="Arial" w:cs="Arial" w:eastAsia="Arial" w:hAnsi="Arial"/>
          <w:b w:val="false"/>
          <w:bCs w:val="false"/>
          <w:i w:val="false"/>
          <w:iCs w:val="false"/>
          <w:color w:val="000000"/>
          <w:sz w:val="20"/>
          <w:szCs w:val="20"/>
        </w:rPr>
        <w:t xml:space="preserve">：Engineering, Procurement, Construction（設計・調達・建設）</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ESO</w:t>
      </w:r>
      <w:r>
        <w:rPr>
          <w:rFonts w:ascii="Arial" w:cs="Arial" w:eastAsia="Arial" w:hAnsi="Arial"/>
          <w:b w:val="false"/>
          <w:bCs w:val="false"/>
          <w:i w:val="false"/>
          <w:iCs w:val="false"/>
          <w:color w:val="000000"/>
          <w:sz w:val="20"/>
          <w:szCs w:val="20"/>
        </w:rPr>
        <w:t xml:space="preserve">：Engineering Services Outsourcing</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EV</w:t>
      </w:r>
      <w:r>
        <w:rPr>
          <w:rFonts w:ascii="Arial" w:cs="Arial" w:eastAsia="Arial" w:hAnsi="Arial"/>
          <w:b w:val="false"/>
          <w:bCs w:val="false"/>
          <w:i w:val="false"/>
          <w:iCs w:val="false"/>
          <w:color w:val="000000"/>
          <w:sz w:val="20"/>
          <w:szCs w:val="20"/>
        </w:rPr>
        <w:t xml:space="preserve">：Enterprise Value</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EBITDA</w:t>
      </w:r>
      <w:r>
        <w:rPr>
          <w:rFonts w:ascii="Arial" w:cs="Arial" w:eastAsia="Arial" w:hAnsi="Arial"/>
          <w:b w:val="false"/>
          <w:bCs w:val="false"/>
          <w:i w:val="false"/>
          <w:iCs w:val="false"/>
          <w:color w:val="000000"/>
          <w:sz w:val="20"/>
          <w:szCs w:val="20"/>
        </w:rPr>
        <w:t xml:space="preserve">：Earnings Before Interest, Taxes, Depreciation and Amortization</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i-Construction</w:t>
      </w:r>
      <w:r>
        <w:rPr>
          <w:rFonts w:ascii="Arial" w:cs="Arial" w:eastAsia="Arial" w:hAnsi="Arial"/>
          <w:b w:val="false"/>
          <w:bCs w:val="false"/>
          <w:i w:val="false"/>
          <w:iCs w:val="false"/>
          <w:color w:val="000000"/>
          <w:sz w:val="20"/>
          <w:szCs w:val="20"/>
        </w:rPr>
        <w:t xml:space="preserve">：国交省主導の建設生産性向上施策</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IFRS</w:t>
      </w:r>
      <w:r>
        <w:rPr>
          <w:rFonts w:ascii="Arial" w:cs="Arial" w:eastAsia="Arial" w:hAnsi="Arial"/>
          <w:b w:val="false"/>
          <w:bCs w:val="false"/>
          <w:i w:val="false"/>
          <w:iCs w:val="false"/>
          <w:color w:val="000000"/>
          <w:sz w:val="20"/>
          <w:szCs w:val="20"/>
        </w:rPr>
        <w:t xml:space="preserve">：International Financial Reporting Standards</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KBF</w:t>
      </w:r>
      <w:r>
        <w:rPr>
          <w:rFonts w:ascii="Arial" w:cs="Arial" w:eastAsia="Arial" w:hAnsi="Arial"/>
          <w:b w:val="false"/>
          <w:bCs w:val="false"/>
          <w:i w:val="false"/>
          <w:iCs w:val="false"/>
          <w:color w:val="000000"/>
          <w:sz w:val="20"/>
          <w:szCs w:val="20"/>
        </w:rPr>
        <w:t xml:space="preserve">：Key Buying Factor</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KMP</w:t>
      </w:r>
      <w:r>
        <w:rPr>
          <w:rFonts w:ascii="Arial" w:cs="Arial" w:eastAsia="Arial" w:hAnsi="Arial"/>
          <w:b w:val="false"/>
          <w:bCs w:val="false"/>
          <w:i w:val="false"/>
          <w:iCs w:val="false"/>
          <w:color w:val="000000"/>
          <w:sz w:val="20"/>
          <w:szCs w:val="20"/>
        </w:rPr>
        <w:t xml:space="preserve">：Key Management Personnel</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PMI</w:t>
      </w:r>
      <w:r>
        <w:rPr>
          <w:rFonts w:ascii="Arial" w:cs="Arial" w:eastAsia="Arial" w:hAnsi="Arial"/>
          <w:b w:val="false"/>
          <w:bCs w:val="false"/>
          <w:i w:val="false"/>
          <w:iCs w:val="false"/>
          <w:color w:val="000000"/>
          <w:sz w:val="20"/>
          <w:szCs w:val="20"/>
        </w:rPr>
        <w:t xml:space="preserve">：Post-Merger Integration</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TOB</w:t>
      </w:r>
      <w:r>
        <w:rPr>
          <w:rFonts w:ascii="Arial" w:cs="Arial" w:eastAsia="Arial" w:hAnsi="Arial"/>
          <w:b w:val="false"/>
          <w:bCs w:val="false"/>
          <w:i w:val="false"/>
          <w:iCs w:val="false"/>
          <w:color w:val="000000"/>
          <w:sz w:val="20"/>
          <w:szCs w:val="20"/>
        </w:rPr>
        <w:t xml:space="preserve">：Tender Offer Bid（株式公開買付け）</w:t>
      </w:r>
    </w:p>
    <w:sectPr>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テクノプロ・コンストラクション ビジネスDD</dc:title>
  <dc:creator>Business DD Skill</dc:creator>
  <cp:lastModifiedBy>Un-named</cp:lastModifiedBy>
  <cp:revision>1</cp:revision>
  <dcterms:created xsi:type="dcterms:W3CDTF">2026-05-10T06:06:13.637Z</dcterms:created>
  <dcterms:modified xsi:type="dcterms:W3CDTF">2026-05-10T06:06:13.639Z</dcterms:modified>
</cp:coreProperties>
</file>

<file path=docProps/custom.xml><?xml version="1.0" encoding="utf-8"?>
<Properties xmlns="http://schemas.openxmlformats.org/officeDocument/2006/custom-properties" xmlns:vt="http://schemas.openxmlformats.org/officeDocument/2006/docPropsVTypes"/>
</file>