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A88C5" w14:textId="77777777" w:rsidR="004E4539" w:rsidRDefault="00446968" w:rsidP="00446968">
      <w:pPr>
        <w:jc w:val="center"/>
      </w:pPr>
      <w:r>
        <w:t>Kickstarter Campaigns</w:t>
      </w:r>
    </w:p>
    <w:p w14:paraId="2F6DE408" w14:textId="77777777" w:rsidR="00305ED7" w:rsidRDefault="00305ED7" w:rsidP="00446968">
      <w:pPr>
        <w:jc w:val="center"/>
      </w:pPr>
    </w:p>
    <w:p w14:paraId="25D1C121" w14:textId="77777777" w:rsidR="00446968" w:rsidRDefault="00305ED7" w:rsidP="00446968">
      <w:r>
        <w:t xml:space="preserve">                   </w:t>
      </w:r>
      <w:r w:rsidR="00DF1B6A">
        <w:rPr>
          <w:noProof/>
          <w:lang w:eastAsia="ko-KR"/>
        </w:rPr>
        <w:drawing>
          <wp:inline distT="0" distB="0" distL="0" distR="0" wp14:anchorId="79CC57E4" wp14:editId="2F54B8D8">
            <wp:extent cx="4559935" cy="2720340"/>
            <wp:effectExtent l="0" t="0" r="12065"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AEAC7A1" w14:textId="77777777" w:rsidR="00305ED7" w:rsidRDefault="006E62D4" w:rsidP="00446968">
      <w:r>
        <w:t xml:space="preserve">                   </w:t>
      </w:r>
      <w:r>
        <w:rPr>
          <w:noProof/>
          <w:lang w:eastAsia="ko-KR"/>
        </w:rPr>
        <w:drawing>
          <wp:inline distT="0" distB="0" distL="0" distR="0" wp14:anchorId="6044096A" wp14:editId="2D2A0445">
            <wp:extent cx="4534535" cy="2948940"/>
            <wp:effectExtent l="0" t="0" r="12065" b="228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BF977FB" w14:textId="77777777" w:rsidR="00305ED7" w:rsidRDefault="00305ED7" w:rsidP="00446968">
      <w:r>
        <w:lastRenderedPageBreak/>
        <w:t xml:space="preserve">                   </w:t>
      </w:r>
      <w:r>
        <w:rPr>
          <w:noProof/>
          <w:lang w:eastAsia="ko-KR"/>
        </w:rPr>
        <w:drawing>
          <wp:inline distT="0" distB="0" distL="0" distR="0" wp14:anchorId="3FF29FF6" wp14:editId="59EF727D">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C7CA1D6" w14:textId="77777777" w:rsidR="00DF1B6A" w:rsidRDefault="00DF1B6A" w:rsidP="00446968"/>
    <w:p w14:paraId="64597DC9" w14:textId="77777777" w:rsidR="00DF1B6A" w:rsidRDefault="00766E4E" w:rsidP="00DF1B6A">
      <w:pPr>
        <w:pStyle w:val="ListParagraph"/>
        <w:numPr>
          <w:ilvl w:val="0"/>
          <w:numId w:val="1"/>
        </w:numPr>
      </w:pPr>
      <w:r>
        <w:t xml:space="preserve">Given the provided data we can concluded that Kickstarter campaign success is </w:t>
      </w:r>
      <w:r w:rsidR="00305ED7">
        <w:t>heavily dependent on category of campaign and mildly dependent on time of year that a campaign is started. From the data given, it appears that Kickstarter campaigns are primarily used, and most successful, in creative arts ventures and have a slightly higher chance of success if started in the months following up to and through the summer months versus the Fall-Winter holiday season.</w:t>
      </w:r>
    </w:p>
    <w:p w14:paraId="583B6933" w14:textId="77777777" w:rsidR="00305ED7" w:rsidRDefault="00305ED7" w:rsidP="00DF1B6A">
      <w:pPr>
        <w:pStyle w:val="ListParagraph"/>
        <w:numPr>
          <w:ilvl w:val="0"/>
          <w:numId w:val="1"/>
        </w:numPr>
      </w:pPr>
      <w:r>
        <w:t>Some of the limitations of this dataset are that it seems creative arts campaigns make up the majority of the sample group. It is suspicious that the group with the greatest apparent rate of success happens to be the group with the largest sample size. It is possible that it is a more common practice to use Kickstarter campaigns in these fields, therefore there is likely an established audience to appeal to.</w:t>
      </w:r>
    </w:p>
    <w:p w14:paraId="7A3FB9EB" w14:textId="77777777" w:rsidR="006E62D4" w:rsidRDefault="00827C80" w:rsidP="00DF1B6A">
      <w:pPr>
        <w:pStyle w:val="ListParagraph"/>
        <w:numPr>
          <w:ilvl w:val="0"/>
          <w:numId w:val="1"/>
        </w:numPr>
      </w:pPr>
      <w:r>
        <w:t xml:space="preserve">A graph that compared average donations per donor or count of donors for successful campaigns by category might shed some light on the kind of activity that each category of campaign attracts. It would speak to the amount of traffic that each campaign attracted and the degree of interest of each donor. </w:t>
      </w:r>
      <w:bookmarkStart w:id="0" w:name="_GoBack"/>
      <w:bookmarkEnd w:id="0"/>
    </w:p>
    <w:sectPr w:rsidR="006E62D4" w:rsidSect="00394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4943BA"/>
    <w:multiLevelType w:val="hybridMultilevel"/>
    <w:tmpl w:val="8D94F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968"/>
    <w:rsid w:val="00305ED7"/>
    <w:rsid w:val="0039492B"/>
    <w:rsid w:val="00446968"/>
    <w:rsid w:val="006E62D4"/>
    <w:rsid w:val="00766E4E"/>
    <w:rsid w:val="00827C80"/>
    <w:rsid w:val="00834867"/>
    <w:rsid w:val="00DF1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7CC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averykim/Desktop/Ken's%20Class/StarterBook_Ken.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averykim/Desktop/Ken's%20Class/StarterBook_Ken.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averykim/Desktop/Ken's%20Class/StarterBook_Ke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a:t>
            </a:r>
            <a:r>
              <a:rPr lang="en-US" baseline="0"/>
              <a:t> of Results by Category</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Category!$B$4</c:f>
              <c:strCache>
                <c:ptCount val="1"/>
                <c:pt idx="0">
                  <c:v>canceled</c:v>
                </c:pt>
              </c:strCache>
            </c:strRef>
          </c:tx>
          <c:spPr>
            <a:solidFill>
              <a:schemeClr val="accent1"/>
            </a:solidFill>
            <a:ln>
              <a:noFill/>
            </a:ln>
            <a:effectLst/>
          </c:spPr>
          <c:invertIfNegative val="0"/>
          <c:cat>
            <c:strRef>
              <c:f>Category!$A$5:$A$13</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Category!$B$5:$B$13</c:f>
              <c:numCache>
                <c:formatCode>General</c:formatCode>
                <c:ptCount val="9"/>
                <c:pt idx="0">
                  <c:v>40.0</c:v>
                </c:pt>
                <c:pt idx="1">
                  <c:v>20.0</c:v>
                </c:pt>
                <c:pt idx="3">
                  <c:v>24.0</c:v>
                </c:pt>
                <c:pt idx="4">
                  <c:v>20.0</c:v>
                </c:pt>
                <c:pt idx="6">
                  <c:v>30.0</c:v>
                </c:pt>
                <c:pt idx="7">
                  <c:v>178.0</c:v>
                </c:pt>
                <c:pt idx="8">
                  <c:v>37.0</c:v>
                </c:pt>
              </c:numCache>
            </c:numRef>
          </c:val>
        </c:ser>
        <c:ser>
          <c:idx val="1"/>
          <c:order val="1"/>
          <c:tx>
            <c:strRef>
              <c:f>Category!$C$4</c:f>
              <c:strCache>
                <c:ptCount val="1"/>
                <c:pt idx="0">
                  <c:v>failed</c:v>
                </c:pt>
              </c:strCache>
            </c:strRef>
          </c:tx>
          <c:spPr>
            <a:solidFill>
              <a:schemeClr val="accent2"/>
            </a:solidFill>
            <a:ln>
              <a:noFill/>
            </a:ln>
            <a:effectLst/>
          </c:spPr>
          <c:invertIfNegative val="0"/>
          <c:cat>
            <c:strRef>
              <c:f>Category!$A$5:$A$13</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Category!$C$5:$C$13</c:f>
              <c:numCache>
                <c:formatCode>General</c:formatCode>
                <c:ptCount val="9"/>
                <c:pt idx="0">
                  <c:v>180.0</c:v>
                </c:pt>
                <c:pt idx="1">
                  <c:v>140.0</c:v>
                </c:pt>
                <c:pt idx="2">
                  <c:v>140.0</c:v>
                </c:pt>
                <c:pt idx="4">
                  <c:v>120.0</c:v>
                </c:pt>
                <c:pt idx="5">
                  <c:v>117.0</c:v>
                </c:pt>
                <c:pt idx="6">
                  <c:v>127.0</c:v>
                </c:pt>
                <c:pt idx="7">
                  <c:v>213.0</c:v>
                </c:pt>
                <c:pt idx="8">
                  <c:v>493.0</c:v>
                </c:pt>
              </c:numCache>
            </c:numRef>
          </c:val>
        </c:ser>
        <c:ser>
          <c:idx val="2"/>
          <c:order val="2"/>
          <c:tx>
            <c:strRef>
              <c:f>Category!$D$4</c:f>
              <c:strCache>
                <c:ptCount val="1"/>
                <c:pt idx="0">
                  <c:v>live</c:v>
                </c:pt>
              </c:strCache>
            </c:strRef>
          </c:tx>
          <c:spPr>
            <a:solidFill>
              <a:schemeClr val="accent3"/>
            </a:solidFill>
            <a:ln>
              <a:noFill/>
            </a:ln>
            <a:effectLst/>
          </c:spPr>
          <c:invertIfNegative val="0"/>
          <c:cat>
            <c:strRef>
              <c:f>Category!$A$5:$A$13</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Category!$D$5:$D$13</c:f>
              <c:numCache>
                <c:formatCode>General</c:formatCode>
                <c:ptCount val="9"/>
                <c:pt idx="1">
                  <c:v>6.0</c:v>
                </c:pt>
                <c:pt idx="4">
                  <c:v>20.0</c:v>
                </c:pt>
                <c:pt idx="8">
                  <c:v>24.0</c:v>
                </c:pt>
              </c:numCache>
            </c:numRef>
          </c:val>
        </c:ser>
        <c:ser>
          <c:idx val="3"/>
          <c:order val="3"/>
          <c:tx>
            <c:strRef>
              <c:f>Category!$E$4</c:f>
              <c:strCache>
                <c:ptCount val="1"/>
                <c:pt idx="0">
                  <c:v>successful</c:v>
                </c:pt>
              </c:strCache>
            </c:strRef>
          </c:tx>
          <c:spPr>
            <a:solidFill>
              <a:schemeClr val="accent4"/>
            </a:solidFill>
            <a:ln>
              <a:noFill/>
            </a:ln>
            <a:effectLst/>
          </c:spPr>
          <c:invertIfNegative val="0"/>
          <c:cat>
            <c:strRef>
              <c:f>Category!$A$5:$A$13</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Category!$E$5:$E$13</c:f>
              <c:numCache>
                <c:formatCode>General</c:formatCode>
                <c:ptCount val="9"/>
                <c:pt idx="0">
                  <c:v>300.0</c:v>
                </c:pt>
                <c:pt idx="1">
                  <c:v>34.0</c:v>
                </c:pt>
                <c:pt idx="2">
                  <c:v>80.0</c:v>
                </c:pt>
                <c:pt idx="4">
                  <c:v>540.0</c:v>
                </c:pt>
                <c:pt idx="5">
                  <c:v>103.0</c:v>
                </c:pt>
                <c:pt idx="6">
                  <c:v>80.0</c:v>
                </c:pt>
                <c:pt idx="7">
                  <c:v>209.0</c:v>
                </c:pt>
                <c:pt idx="8">
                  <c:v>839.0</c:v>
                </c:pt>
              </c:numCache>
            </c:numRef>
          </c:val>
        </c:ser>
        <c:dLbls>
          <c:showLegendKey val="0"/>
          <c:showVal val="0"/>
          <c:showCatName val="0"/>
          <c:showSerName val="0"/>
          <c:showPercent val="0"/>
          <c:showBubbleSize val="0"/>
        </c:dLbls>
        <c:gapWidth val="150"/>
        <c:overlap val="100"/>
        <c:axId val="-895884848"/>
        <c:axId val="-393421888"/>
      </c:barChart>
      <c:catAx>
        <c:axId val="-895884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421888"/>
        <c:crosses val="autoZero"/>
        <c:auto val="1"/>
        <c:lblAlgn val="ctr"/>
        <c:lblOffset val="100"/>
        <c:noMultiLvlLbl val="0"/>
      </c:catAx>
      <c:valAx>
        <c:axId val="-393421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88484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a:t>
            </a:r>
            <a:r>
              <a:rPr lang="en-US" baseline="0"/>
              <a:t> of Success by Subcategory</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SubCategory!$B$5</c:f>
              <c:strCache>
                <c:ptCount val="1"/>
                <c:pt idx="0">
                  <c:v>canceled</c:v>
                </c:pt>
              </c:strCache>
            </c:strRef>
          </c:tx>
          <c:spPr>
            <a:solidFill>
              <a:schemeClr val="accent1"/>
            </a:solidFill>
            <a:ln>
              <a:noFill/>
            </a:ln>
            <a:effectLst/>
          </c:spPr>
          <c:invertIfNegative val="0"/>
          <c:cat>
            <c:strRef>
              <c:f>SubCategory!$A$6:$A$46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SubCategory!$B$6:$B$46</c:f>
              <c:numCache>
                <c:formatCode>General</c:formatCode>
                <c:ptCount val="41"/>
                <c:pt idx="1">
                  <c:v>20.0</c:v>
                </c:pt>
                <c:pt idx="2">
                  <c:v>24.0</c:v>
                </c:pt>
                <c:pt idx="10">
                  <c:v>20.0</c:v>
                </c:pt>
                <c:pt idx="18">
                  <c:v>20.0</c:v>
                </c:pt>
                <c:pt idx="29">
                  <c:v>40.0</c:v>
                </c:pt>
                <c:pt idx="32">
                  <c:v>18.0</c:v>
                </c:pt>
                <c:pt idx="33">
                  <c:v>17.0</c:v>
                </c:pt>
                <c:pt idx="36">
                  <c:v>10.0</c:v>
                </c:pt>
                <c:pt idx="38">
                  <c:v>60.0</c:v>
                </c:pt>
                <c:pt idx="39">
                  <c:v>100.0</c:v>
                </c:pt>
                <c:pt idx="40">
                  <c:v>20.0</c:v>
                </c:pt>
              </c:numCache>
            </c:numRef>
          </c:val>
        </c:ser>
        <c:ser>
          <c:idx val="1"/>
          <c:order val="1"/>
          <c:tx>
            <c:strRef>
              <c:f>SubCategory!$C$5</c:f>
              <c:strCache>
                <c:ptCount val="1"/>
                <c:pt idx="0">
                  <c:v>failed</c:v>
                </c:pt>
              </c:strCache>
            </c:strRef>
          </c:tx>
          <c:spPr>
            <a:solidFill>
              <a:schemeClr val="accent2"/>
            </a:solidFill>
            <a:ln>
              <a:noFill/>
            </a:ln>
            <a:effectLst/>
          </c:spPr>
          <c:invertIfNegative val="0"/>
          <c:cat>
            <c:strRef>
              <c:f>SubCategory!$A$6:$A$46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SubCategory!$C$6:$C$46</c:f>
              <c:numCache>
                <c:formatCode>General</c:formatCode>
                <c:ptCount val="41"/>
                <c:pt idx="0">
                  <c:v>100.0</c:v>
                </c:pt>
                <c:pt idx="3">
                  <c:v>40.0</c:v>
                </c:pt>
                <c:pt idx="6">
                  <c:v>80.0</c:v>
                </c:pt>
                <c:pt idx="8">
                  <c:v>40.0</c:v>
                </c:pt>
                <c:pt idx="9">
                  <c:v>40.0</c:v>
                </c:pt>
                <c:pt idx="10">
                  <c:v>120.0</c:v>
                </c:pt>
                <c:pt idx="11">
                  <c:v>20.0</c:v>
                </c:pt>
                <c:pt idx="13">
                  <c:v>20.0</c:v>
                </c:pt>
                <c:pt idx="14">
                  <c:v>60.0</c:v>
                </c:pt>
                <c:pt idx="15">
                  <c:v>11.0</c:v>
                </c:pt>
                <c:pt idx="17">
                  <c:v>40.0</c:v>
                </c:pt>
                <c:pt idx="18">
                  <c:v>60.0</c:v>
                </c:pt>
                <c:pt idx="19">
                  <c:v>20.0</c:v>
                </c:pt>
                <c:pt idx="21">
                  <c:v>20.0</c:v>
                </c:pt>
                <c:pt idx="22">
                  <c:v>57.0</c:v>
                </c:pt>
                <c:pt idx="23">
                  <c:v>20.0</c:v>
                </c:pt>
                <c:pt idx="24">
                  <c:v>353.0</c:v>
                </c:pt>
                <c:pt idx="27">
                  <c:v>20.0</c:v>
                </c:pt>
                <c:pt idx="32">
                  <c:v>2.0</c:v>
                </c:pt>
                <c:pt idx="33">
                  <c:v>80.0</c:v>
                </c:pt>
                <c:pt idx="36">
                  <c:v>47.0</c:v>
                </c:pt>
                <c:pt idx="37">
                  <c:v>100.0</c:v>
                </c:pt>
                <c:pt idx="38">
                  <c:v>120.0</c:v>
                </c:pt>
                <c:pt idx="39">
                  <c:v>60.0</c:v>
                </c:pt>
              </c:numCache>
            </c:numRef>
          </c:val>
        </c:ser>
        <c:ser>
          <c:idx val="2"/>
          <c:order val="2"/>
          <c:tx>
            <c:strRef>
              <c:f>SubCategory!$D$5</c:f>
              <c:strCache>
                <c:ptCount val="1"/>
                <c:pt idx="0">
                  <c:v>live</c:v>
                </c:pt>
              </c:strCache>
            </c:strRef>
          </c:tx>
          <c:spPr>
            <a:solidFill>
              <a:schemeClr val="accent3"/>
            </a:solidFill>
            <a:ln>
              <a:noFill/>
            </a:ln>
            <a:effectLst/>
          </c:spPr>
          <c:invertIfNegative val="0"/>
          <c:cat>
            <c:strRef>
              <c:f>SubCategory!$A$6:$A$46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SubCategory!$D$6:$D$46</c:f>
              <c:numCache>
                <c:formatCode>General</c:formatCode>
                <c:ptCount val="41"/>
                <c:pt idx="8">
                  <c:v>20.0</c:v>
                </c:pt>
                <c:pt idx="24">
                  <c:v>19.0</c:v>
                </c:pt>
                <c:pt idx="31">
                  <c:v>6.0</c:v>
                </c:pt>
                <c:pt idx="33">
                  <c:v>5.0</c:v>
                </c:pt>
              </c:numCache>
            </c:numRef>
          </c:val>
        </c:ser>
        <c:ser>
          <c:idx val="3"/>
          <c:order val="3"/>
          <c:tx>
            <c:strRef>
              <c:f>SubCategory!$E$5</c:f>
              <c:strCache>
                <c:ptCount val="1"/>
                <c:pt idx="0">
                  <c:v>successful</c:v>
                </c:pt>
              </c:strCache>
            </c:strRef>
          </c:tx>
          <c:spPr>
            <a:solidFill>
              <a:schemeClr val="accent4"/>
            </a:solidFill>
            <a:ln>
              <a:noFill/>
            </a:ln>
            <a:effectLst/>
          </c:spPr>
          <c:invertIfNegative val="0"/>
          <c:cat>
            <c:strRef>
              <c:f>SubCategory!$A$6:$A$46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SubCategory!$E$6:$E$46</c:f>
              <c:numCache>
                <c:formatCode>General</c:formatCode>
                <c:ptCount val="41"/>
                <c:pt idx="4">
                  <c:v>40.0</c:v>
                </c:pt>
                <c:pt idx="5">
                  <c:v>180.0</c:v>
                </c:pt>
                <c:pt idx="7">
                  <c:v>40.0</c:v>
                </c:pt>
                <c:pt idx="12">
                  <c:v>140.0</c:v>
                </c:pt>
                <c:pt idx="13">
                  <c:v>140.0</c:v>
                </c:pt>
                <c:pt idx="15">
                  <c:v>9.0</c:v>
                </c:pt>
                <c:pt idx="16">
                  <c:v>20.0</c:v>
                </c:pt>
                <c:pt idx="18">
                  <c:v>60.0</c:v>
                </c:pt>
                <c:pt idx="20">
                  <c:v>60.0</c:v>
                </c:pt>
                <c:pt idx="22">
                  <c:v>103.0</c:v>
                </c:pt>
                <c:pt idx="24">
                  <c:v>694.0</c:v>
                </c:pt>
                <c:pt idx="25">
                  <c:v>40.0</c:v>
                </c:pt>
                <c:pt idx="26">
                  <c:v>20.0</c:v>
                </c:pt>
                <c:pt idx="28">
                  <c:v>260.0</c:v>
                </c:pt>
                <c:pt idx="30">
                  <c:v>60.0</c:v>
                </c:pt>
                <c:pt idx="31">
                  <c:v>34.0</c:v>
                </c:pt>
                <c:pt idx="32">
                  <c:v>40.0</c:v>
                </c:pt>
                <c:pt idx="33">
                  <c:v>85.0</c:v>
                </c:pt>
                <c:pt idx="34">
                  <c:v>80.0</c:v>
                </c:pt>
                <c:pt idx="35">
                  <c:v>60.0</c:v>
                </c:pt>
                <c:pt idx="38">
                  <c:v>20.0</c:v>
                </c:pt>
              </c:numCache>
            </c:numRef>
          </c:val>
        </c:ser>
        <c:dLbls>
          <c:showLegendKey val="0"/>
          <c:showVal val="0"/>
          <c:showCatName val="0"/>
          <c:showSerName val="0"/>
          <c:showPercent val="0"/>
          <c:showBubbleSize val="0"/>
        </c:dLbls>
        <c:gapWidth val="150"/>
        <c:overlap val="100"/>
        <c:axId val="-893470160"/>
        <c:axId val="-893467600"/>
      </c:barChart>
      <c:catAx>
        <c:axId val="-893470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467600"/>
        <c:crosses val="autoZero"/>
        <c:auto val="1"/>
        <c:lblAlgn val="ctr"/>
        <c:lblOffset val="100"/>
        <c:noMultiLvlLbl val="0"/>
      </c:catAx>
      <c:valAx>
        <c:axId val="-89346760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47016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a:t>
            </a:r>
            <a:r>
              <a:rPr lang="en-US" baseline="0"/>
              <a:t> by Month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'Date Created'!$B$5</c:f>
              <c:strCache>
                <c:ptCount val="1"/>
                <c:pt idx="0">
                  <c:v>canceled</c:v>
                </c:pt>
              </c:strCache>
            </c:strRef>
          </c:tx>
          <c:spPr>
            <a:ln w="28575" cap="rnd">
              <a:solidFill>
                <a:schemeClr val="accent1"/>
              </a:solidFill>
              <a:round/>
            </a:ln>
            <a:effectLst/>
          </c:spPr>
          <c:marker>
            <c:symbol val="none"/>
          </c:marker>
          <c:cat>
            <c:strRef>
              <c:f>'Date Created'!$A$6:$A$17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Created'!$B$6:$B$17</c:f>
              <c:numCache>
                <c:formatCode>General</c:formatCode>
                <c:ptCount val="12"/>
                <c:pt idx="0">
                  <c:v>26.0</c:v>
                </c:pt>
                <c:pt idx="1">
                  <c:v>29.0</c:v>
                </c:pt>
                <c:pt idx="2">
                  <c:v>28.0</c:v>
                </c:pt>
                <c:pt idx="3">
                  <c:v>29.0</c:v>
                </c:pt>
                <c:pt idx="4">
                  <c:v>28.0</c:v>
                </c:pt>
                <c:pt idx="5">
                  <c:v>23.0</c:v>
                </c:pt>
                <c:pt idx="6">
                  <c:v>33.0</c:v>
                </c:pt>
                <c:pt idx="7">
                  <c:v>39.0</c:v>
                </c:pt>
                <c:pt idx="8">
                  <c:v>24.0</c:v>
                </c:pt>
                <c:pt idx="9">
                  <c:v>34.0</c:v>
                </c:pt>
                <c:pt idx="10">
                  <c:v>21.0</c:v>
                </c:pt>
                <c:pt idx="11">
                  <c:v>35.0</c:v>
                </c:pt>
              </c:numCache>
            </c:numRef>
          </c:val>
          <c:smooth val="0"/>
        </c:ser>
        <c:ser>
          <c:idx val="1"/>
          <c:order val="1"/>
          <c:tx>
            <c:strRef>
              <c:f>'Date Created'!$C$5</c:f>
              <c:strCache>
                <c:ptCount val="1"/>
                <c:pt idx="0">
                  <c:v>failed</c:v>
                </c:pt>
              </c:strCache>
            </c:strRef>
          </c:tx>
          <c:spPr>
            <a:ln w="28575" cap="rnd">
              <a:solidFill>
                <a:schemeClr val="accent2"/>
              </a:solidFill>
              <a:round/>
            </a:ln>
            <a:effectLst/>
          </c:spPr>
          <c:marker>
            <c:symbol val="none"/>
          </c:marker>
          <c:cat>
            <c:strRef>
              <c:f>'Date Created'!$A$6:$A$17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Created'!$C$6:$C$17</c:f>
              <c:numCache>
                <c:formatCode>General</c:formatCode>
                <c:ptCount val="12"/>
                <c:pt idx="0">
                  <c:v>127.0</c:v>
                </c:pt>
                <c:pt idx="1">
                  <c:v>124.0</c:v>
                </c:pt>
                <c:pt idx="2">
                  <c:v>124.0</c:v>
                </c:pt>
                <c:pt idx="3">
                  <c:v>100.0</c:v>
                </c:pt>
                <c:pt idx="4">
                  <c:v>120.0</c:v>
                </c:pt>
                <c:pt idx="5">
                  <c:v>120.0</c:v>
                </c:pt>
                <c:pt idx="6">
                  <c:v>134.0</c:v>
                </c:pt>
                <c:pt idx="7">
                  <c:v>155.0</c:v>
                </c:pt>
                <c:pt idx="8">
                  <c:v>136.0</c:v>
                </c:pt>
                <c:pt idx="9">
                  <c:v>145.0</c:v>
                </c:pt>
                <c:pt idx="10">
                  <c:v>133.0</c:v>
                </c:pt>
                <c:pt idx="11">
                  <c:v>112.0</c:v>
                </c:pt>
              </c:numCache>
            </c:numRef>
          </c:val>
          <c:smooth val="0"/>
        </c:ser>
        <c:ser>
          <c:idx val="2"/>
          <c:order val="2"/>
          <c:tx>
            <c:strRef>
              <c:f>'Date Created'!$D$5</c:f>
              <c:strCache>
                <c:ptCount val="1"/>
                <c:pt idx="0">
                  <c:v>successful</c:v>
                </c:pt>
              </c:strCache>
            </c:strRef>
          </c:tx>
          <c:spPr>
            <a:ln w="28575" cap="rnd">
              <a:solidFill>
                <a:schemeClr val="accent3"/>
              </a:solidFill>
              <a:round/>
            </a:ln>
            <a:effectLst/>
          </c:spPr>
          <c:marker>
            <c:symbol val="none"/>
          </c:marker>
          <c:cat>
            <c:strRef>
              <c:f>'Date Created'!$A$6:$A$17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Created'!$D$6:$D$17</c:f>
              <c:numCache>
                <c:formatCode>General</c:formatCode>
                <c:ptCount val="12"/>
                <c:pt idx="0">
                  <c:v>133.0</c:v>
                </c:pt>
                <c:pt idx="1">
                  <c:v>150.0</c:v>
                </c:pt>
                <c:pt idx="2">
                  <c:v>207.0</c:v>
                </c:pt>
                <c:pt idx="3">
                  <c:v>187.0</c:v>
                </c:pt>
                <c:pt idx="4">
                  <c:v>204.0</c:v>
                </c:pt>
                <c:pt idx="5">
                  <c:v>222.0</c:v>
                </c:pt>
                <c:pt idx="6">
                  <c:v>222.0</c:v>
                </c:pt>
                <c:pt idx="7">
                  <c:v>196.0</c:v>
                </c:pt>
                <c:pt idx="8">
                  <c:v>156.0</c:v>
                </c:pt>
                <c:pt idx="9">
                  <c:v>160.0</c:v>
                </c:pt>
                <c:pt idx="10">
                  <c:v>161.0</c:v>
                </c:pt>
                <c:pt idx="11">
                  <c:v>187.0</c:v>
                </c:pt>
              </c:numCache>
            </c:numRef>
          </c:val>
          <c:smooth val="0"/>
        </c:ser>
        <c:ser>
          <c:idx val="3"/>
          <c:order val="3"/>
          <c:tx>
            <c:strRef>
              <c:f>'Date Created'!$E$5</c:f>
              <c:strCache>
                <c:ptCount val="1"/>
              </c:strCache>
            </c:strRef>
          </c:tx>
          <c:spPr>
            <a:ln w="28575" cap="rnd">
              <a:solidFill>
                <a:schemeClr val="accent4"/>
              </a:solidFill>
              <a:round/>
            </a:ln>
            <a:effectLst/>
          </c:spPr>
          <c:marker>
            <c:symbol val="none"/>
          </c:marker>
          <c:cat>
            <c:strRef>
              <c:f>'Date Created'!$A$6:$A$17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Created'!$E$6:$E$17</c:f>
              <c:numCache>
                <c:formatCode>General</c:formatCode>
                <c:ptCount val="12"/>
              </c:numCache>
            </c:numRef>
          </c:val>
          <c:smooth val="0"/>
        </c:ser>
        <c:dLbls>
          <c:showLegendKey val="0"/>
          <c:showVal val="0"/>
          <c:showCatName val="0"/>
          <c:showSerName val="0"/>
          <c:showPercent val="0"/>
          <c:showBubbleSize val="0"/>
        </c:dLbls>
        <c:smooth val="0"/>
        <c:axId val="-893443920"/>
        <c:axId val="-893441088"/>
      </c:lineChart>
      <c:catAx>
        <c:axId val="-893443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441088"/>
        <c:crosses val="autoZero"/>
        <c:auto val="1"/>
        <c:lblAlgn val="ctr"/>
        <c:lblOffset val="100"/>
        <c:noMultiLvlLbl val="0"/>
      </c:catAx>
      <c:valAx>
        <c:axId val="-893441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443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189</Words>
  <Characters>1081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Kim</dc:creator>
  <cp:keywords/>
  <dc:description/>
  <cp:lastModifiedBy>Kenneth Kim</cp:lastModifiedBy>
  <cp:revision>1</cp:revision>
  <dcterms:created xsi:type="dcterms:W3CDTF">2018-01-23T04:49:00Z</dcterms:created>
  <dcterms:modified xsi:type="dcterms:W3CDTF">2018-01-23T05:09:00Z</dcterms:modified>
</cp:coreProperties>
</file>