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September 18, 2026</w:t>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Editor-in-Chief</w:t>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Magnetic Resonance in Medicine</w:t>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Dear Editor-in-Chief,</w:t>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We are pleased to submit our Research Article entitled "Physics-informed deep learning for noise-robust intravoxel incoherent motion estimation in breast MRI" for consideration in Magnetic Resonance in Medicine.</w:t>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Intravoxel incoherent motion (IVIM) imaging offers contrast-agent-free quantification of tissue diffusion and microvascular perfusion in breast MRI, but conventional nonlinear least-squares (NLLS) fitting is unstable at finite SNR, particularly for the pseudo-diffusion coefficient D*. One reason for this is that NLLS maximizes the likelihood only for zero mean Gaussian noise, where diffusion MRI is Rician. We present a two-stage physics-informed deep learning pipeline and demonstrate its efficiency on VICTRE digital breast phantom cases across various SNR levels from 5 to 50. Stage 1 is a self-supervised physics-informed autoencoder with an embedded biexponential decoder and does not use ground-truth parameter labels. Stage 2 uses a tumor-weighted residual U-Net for supervised spatial refinement.</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At the SNR 20 benchmark, the full pipeline yielded 10.2-fold lower composite total rRMSE than NLLS (0.087 vs 0.892; paired Wilcoxon </w:t>
      </w:r>
      <w:r w:rsidDel="00000000" w:rsidR="00000000" w:rsidRPr="00000000">
        <w:rPr>
          <w:rtl w:val="0"/>
        </w:rPr>
        <w:t xml:space="preserve">P &lt; 0.001</w:t>
      </w:r>
      <w:r w:rsidDel="00000000" w:rsidR="00000000" w:rsidRPr="00000000">
        <w:rPr>
          <w:rtl w:val="0"/>
        </w:rPr>
        <w:t xml:space="preserve">; n = 200), with the largest advantage for D* (0.094 vs 1.359). Full-pipeline inference runs 2,500-fold faster than NLLS on the same CPU. When our model is run on GPU, the speed improvement reaches 31,888-fold relative to CPU-based NLLS, which was not GPU-enabled in this evaluation.</w:t>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The principal contributions are: (1)</w:t>
      </w:r>
      <w:r w:rsidDel="00000000" w:rsidR="00000000" w:rsidRPr="00000000">
        <w:rPr>
          <w:rtl w:val="0"/>
        </w:rPr>
        <w:t xml:space="preserve"> an extension of prior self-supervised physics-informed IVIM approaches (Barbieri et al., 2020; Kaandorp et al., 2021), using a fixed analytical biexponential decoder; </w:t>
      </w:r>
      <w:r w:rsidDel="00000000" w:rsidR="00000000" w:rsidRPr="00000000">
        <w:rPr>
          <w:rtl w:val="0"/>
        </w:rPr>
        <w:t xml:space="preserve">(2) a two-stage design that separates physics-constrained inversion from supervised spatial refinement; (3) paired benchmarking across four prespecified finite-SNR levels in 200 test cases; and (4) an operating-envelope analysis that identifies marked degradation below SNR 10.</w:t>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The work is directly relevant to the MRM readership in quantitative diffusion MRI, model-based reconstruction, and physics-informed learning. </w:t>
      </w:r>
      <w:r w:rsidDel="00000000" w:rsidR="00000000" w:rsidRPr="00000000">
        <w:rPr>
          <w:rtl w:val="0"/>
        </w:rPr>
        <w:t xml:space="preserve">The finite-SNR and operating-envelope analyses also position the method alongside community IVIM challenge entries and address noise robustness, a clinically important consideration.</w:t>
      </w:r>
      <w:r w:rsidDel="00000000" w:rsidR="00000000" w:rsidRPr="00000000">
        <w:rPr>
          <w:rtl w:val="0"/>
        </w:rPr>
        <w:t xml:space="preserve"> </w:t>
      </w:r>
      <w:r w:rsidDel="00000000" w:rsidR="00000000" w:rsidRPr="00000000">
        <w:rPr>
          <w:rtl w:val="0"/>
        </w:rPr>
        <w:t xml:space="preserve">Its paired evaluation distinguishes gains from label-free physics-informed inversion from the additional gains supplied by supervised spatial refinement.</w:t>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This manuscript has not been published previously, is not under consideration elsewhere, and has not been posted as a preprint. All authors have approved the submitted version and declare no conflicts of interest. The study used publicly available simulated data and did not require institutional review board approval.</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We believe this work will be of interest to the MRM readership and look forward to your consideration. We request the optional Code Review by the ISMRM Reproducible Research Study Group. The source code is publicly available at https://github.com/kenlew27/Lew_Gundogdu_MRM (commit c8842e95).</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Sincerely,</w:t>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Ken Lew (on behalf of all authors)</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Data Science Institute (DSI)</w:t>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University of Chicago</w:t>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Chicago, IL, USA</w:t>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76" w:lineRule="auto"/>
        <w:ind w:left="0" w:right="0" w:firstLine="0"/>
        <w:jc w:val="left"/>
        <w:rPr/>
      </w:pPr>
      <w:r w:rsidDel="00000000" w:rsidR="00000000" w:rsidRPr="00000000">
        <w:rPr>
          <w:rtl w:val="0"/>
        </w:rPr>
        <w:t xml:space="preserve">Email: kenlew@uchicago.edu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CommentReference">
    <w:name w:val="annotation reference"/>
    <w:basedOn w:val="DefaultParagraphFont"/>
    <w:uiPriority w:val="99"/>
    <w:semiHidden w:val="1"/>
    <w:unhideWhenUsed w:val="1"/>
    <w:rPr>
      <w:sz w:val="16"/>
      <w:szCs w:val="16"/>
    </w:rPr>
  </w:style>
  <w:style w:type="paragraph" w:styleId="CommentText">
    <w:name w:val="annotation text"/>
    <w:basedOn w:val="Normal"/>
    <w:link w:val="CommentTextChar"/>
    <w:uiPriority w:val="99"/>
    <w:unhideWhenUsed w:val="1"/>
    <w:rPr>
      <w:sz w:val="20"/>
      <w:szCs w:val="20"/>
    </w:rPr>
  </w:style>
  <w:style w:type="character" w:styleId="CommentTextChar" w:customStyle="1">
    <w:name w:val="Comment Text Char"/>
    <w:basedOn w:val="DefaultParagraphFont"/>
    <w:link w:val="CommentText"/>
    <w:uiPriority w:val="99"/>
    <w:rPr>
      <w:sz w:val="20"/>
      <w:szCs w:val="20"/>
    </w:rPr>
  </w:style>
  <w:style w:type="paragraph" w:styleId="Revision">
    <w:name w:val="Revision"/>
    <w:hidden w:val="1"/>
    <w:uiPriority w:val="99"/>
    <w:semiHidden w:val="1"/>
    <w:rsid w:val="00984D55"/>
    <w:pPr>
      <w:spacing w:after="0" w:line="240" w:lineRule="auto"/>
    </w:pPr>
    <w:rPr>
      <w:rFonts w:ascii="Times New Roman" w:hAnsi="Times New Roman"/>
      <w:sz w:val="24"/>
    </w:rPr>
  </w:style>
  <w:style w:type="paragraph" w:styleId="CommentSubject">
    <w:name w:val="annotation subject"/>
    <w:basedOn w:val="CommentText"/>
    <w:next w:val="CommentText"/>
    <w:link w:val="CommentSubjectChar"/>
    <w:uiPriority w:val="99"/>
    <w:semiHidden w:val="1"/>
    <w:unhideWhenUsed w:val="1"/>
    <w:rsid w:val="00984D55"/>
    <w:rPr>
      <w:b w:val="1"/>
      <w:bCs w:val="1"/>
    </w:rPr>
  </w:style>
  <w:style w:type="character" w:styleId="CommentSubjectChar" w:customStyle="1">
    <w:name w:val="Comment Subject Char"/>
    <w:basedOn w:val="CommentTextChar"/>
    <w:link w:val="CommentSubject"/>
    <w:uiPriority w:val="99"/>
    <w:semiHidden w:val="1"/>
    <w:rsid w:val="00984D55"/>
    <w:rPr>
      <w:rFonts w:ascii="Times New Roman" w:hAnsi="Times New Roman"/>
      <w:b w:val="1"/>
      <w:bCs w:val="1"/>
      <w:sz w:val="20"/>
      <w:szCs w:val="20"/>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ngKNmBlv8RvVN6T00uJf1KdN3Q==">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Ken Lew; Batu Gundogdu</dc:creator>
</cp:coreProperties>
</file>