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rPr>
          <w:rFonts w:ascii="Times New Roman" w:eastAsia="宋体"/>
          <w:sz w:val="21"/>
        </w:rPr>
        <w:t xml:space="preserve">上海财经大学中山北一路校区大数据研究中心</w:t>
      </w:r>
    </w:p>
    <w:p>
      <w:pPr>
        <w:pStyle w:val="Heading2"/>
      </w:pPr>
      <w:r>
        <w:rPr>
          <w:rFonts w:ascii="Times New Roman" w:eastAsia="宋体"/>
          <w:sz w:val="21"/>
        </w:rPr>
        <w:t xml:space="preserve">可行性研究报告</w:t>
      </w:r>
    </w:p>
    <w:p>
      <w:pPr/>
      <w:r>
        <w:rPr>
          <w:b/>
          <w:rFonts w:ascii="Times New Roman" w:eastAsia="宋体"/>
          <w:sz w:val="21"/>
        </w:rPr>
        <w:t xml:space="preserve">（还原稿）</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项目</w:t>
            </w:r>
          </w:p>
        </w:tc>
        <w:tc>
          <w:tcPr>
            <w:tcW w:w="0" w:type="auto"/>
          </w:tcPr>
          <w:p>
            <w:pPr/>
            <w:r>
              <w:rPr>
                <w:b/>
                <w:rFonts w:ascii="Times New Roman" w:eastAsia="宋体"/>
                <w:sz w:val="21"/>
              </w:rPr>
              <w:t xml:space="preserve">内容</w:t>
            </w:r>
          </w:p>
        </w:tc>
      </w:tr>
      <w:tr>
        <w:tc>
          <w:tcPr>
            <w:tcW w:w="0" w:type="auto"/>
          </w:tcPr>
          <w:p>
            <w:pPr/>
            <w:r>
              <w:rPr>
                <w:rFonts w:ascii="Times New Roman" w:eastAsia="宋体"/>
                <w:sz w:val="21"/>
              </w:rPr>
              <w:t xml:space="preserve">报告编号</w:t>
            </w:r>
          </w:p>
        </w:tc>
        <w:tc>
          <w:tcPr>
            <w:tcW w:w="0" w:type="auto"/>
          </w:tcPr>
          <w:p>
            <w:pPr/>
            <w:r>
              <w:rPr>
                <w:rFonts w:ascii="Times New Roman" w:eastAsia="宋体"/>
                <w:sz w:val="21"/>
              </w:rPr>
              <w:t xml:space="preserve">2019ZX054</w:t>
            </w:r>
          </w:p>
        </w:tc>
      </w:tr>
      <w:tr>
        <w:tc>
          <w:tcPr>
            <w:tcW w:w="0" w:type="auto"/>
          </w:tcPr>
          <w:p>
            <w:pPr/>
            <w:r>
              <w:rPr>
                <w:rFonts w:ascii="Times New Roman" w:eastAsia="宋体"/>
                <w:sz w:val="21"/>
              </w:rPr>
              <w:t xml:space="preserve">文件全称</w:t>
            </w:r>
          </w:p>
        </w:tc>
        <w:tc>
          <w:tcPr>
            <w:tcW w:w="0" w:type="auto"/>
          </w:tcPr>
          <w:p>
            <w:pPr/>
            <w:r>
              <w:rPr>
                <w:rFonts w:ascii="Times New Roman" w:eastAsia="宋体"/>
                <w:sz w:val="21"/>
              </w:rPr>
              <w:t xml:space="preserve">上海财经大学中山北一路校区大数据研究中心可行性研究报告（修订版）</w:t>
            </w:r>
          </w:p>
        </w:tc>
      </w:tr>
      <w:tr>
        <w:tc>
          <w:tcPr>
            <w:tcW w:w="0" w:type="auto"/>
          </w:tcPr>
          <w:p>
            <w:pPr/>
            <w:r>
              <w:rPr>
                <w:rFonts w:ascii="Times New Roman" w:eastAsia="宋体"/>
                <w:sz w:val="21"/>
              </w:rPr>
              <w:t xml:space="preserve">建设单位</w:t>
            </w:r>
          </w:p>
        </w:tc>
        <w:tc>
          <w:tcPr>
            <w:tcW w:w="0" w:type="auto"/>
          </w:tcPr>
          <w:p>
            <w:pPr/>
            <w:r>
              <w:rPr>
                <w:rFonts w:ascii="Times New Roman" w:eastAsia="宋体"/>
                <w:sz w:val="21"/>
              </w:rPr>
              <w:t xml:space="preserve">上海财经大学</w:t>
            </w:r>
          </w:p>
        </w:tc>
      </w:tr>
      <w:tr>
        <w:tc>
          <w:tcPr>
            <w:tcW w:w="0" w:type="auto"/>
          </w:tcPr>
          <w:p>
            <w:pPr/>
            <w:r>
              <w:rPr>
                <w:rFonts w:ascii="Times New Roman" w:eastAsia="宋体"/>
                <w:sz w:val="21"/>
              </w:rPr>
              <w:t xml:space="preserve">编制单位</w:t>
            </w:r>
          </w:p>
        </w:tc>
        <w:tc>
          <w:tcPr>
            <w:tcW w:w="0" w:type="auto"/>
          </w:tcPr>
          <w:p>
            <w:pPr/>
            <w:r>
              <w:rPr>
                <w:rFonts w:ascii="Times New Roman" w:eastAsia="宋体"/>
                <w:sz w:val="21"/>
              </w:rPr>
              <w:t xml:space="preserve">上海同济工程咨询有限公司</w:t>
            </w:r>
          </w:p>
        </w:tc>
      </w:tr>
      <w:tr>
        <w:tc>
          <w:tcPr>
            <w:tcW w:w="0" w:type="auto"/>
          </w:tcPr>
          <w:p>
            <w:pPr/>
            <w:r>
              <w:rPr>
                <w:rFonts w:ascii="Times New Roman" w:eastAsia="宋体"/>
                <w:sz w:val="21"/>
              </w:rPr>
              <w:t xml:space="preserve">项目负责人</w:t>
            </w:r>
          </w:p>
        </w:tc>
        <w:tc>
          <w:tcPr>
            <w:tcW w:w="0" w:type="auto"/>
          </w:tcPr>
          <w:p>
            <w:pPr/>
            <w:r>
              <w:rPr>
                <w:rFonts w:ascii="Times New Roman" w:eastAsia="宋体"/>
                <w:sz w:val="21"/>
              </w:rPr>
              <w:t xml:space="preserve">王玉萍（高级工程师、注册造价工程师、注册咨询工程师）</w:t>
            </w:r>
          </w:p>
        </w:tc>
      </w:tr>
      <w:tr>
        <w:tc>
          <w:tcPr>
            <w:tcW w:w="0" w:type="auto"/>
          </w:tcPr>
          <w:p>
            <w:pPr/>
            <w:r>
              <w:rPr>
                <w:rFonts w:ascii="Times New Roman" w:eastAsia="宋体"/>
                <w:sz w:val="21"/>
              </w:rPr>
              <w:t xml:space="preserve">项目审核人</w:t>
            </w:r>
          </w:p>
        </w:tc>
        <w:tc>
          <w:tcPr>
            <w:tcW w:w="0" w:type="auto"/>
          </w:tcPr>
          <w:p>
            <w:pPr/>
            <w:r>
              <w:rPr>
                <w:rFonts w:ascii="Times New Roman" w:eastAsia="宋体"/>
                <w:sz w:val="21"/>
              </w:rPr>
              <w:t xml:space="preserve">程愚（高级工程师）</w:t>
            </w:r>
          </w:p>
        </w:tc>
      </w:tr>
      <w:tr>
        <w:tc>
          <w:tcPr>
            <w:tcW w:w="0" w:type="auto"/>
          </w:tcPr>
          <w:p>
            <w:pPr/>
            <w:r>
              <w:rPr>
                <w:rFonts w:ascii="Times New Roman" w:eastAsia="宋体"/>
                <w:sz w:val="21"/>
              </w:rPr>
              <w:t xml:space="preserve">主要编制人</w:t>
            </w:r>
          </w:p>
        </w:tc>
        <w:tc>
          <w:tcPr>
            <w:tcW w:w="0" w:type="auto"/>
          </w:tcPr>
          <w:p>
            <w:pPr/>
            <w:r>
              <w:rPr>
                <w:rFonts w:ascii="Times New Roman" w:eastAsia="宋体"/>
                <w:sz w:val="21"/>
              </w:rPr>
              <w:t xml:space="preserve">谭念莹、李燕、陈超、周致芬、王飞、郭咏婷</w:t>
            </w:r>
          </w:p>
        </w:tc>
      </w:tr>
      <w:tr>
        <w:tc>
          <w:tcPr>
            <w:tcW w:w="0" w:type="auto"/>
          </w:tcPr>
          <w:p>
            <w:pPr/>
            <w:r>
              <w:rPr>
                <w:rFonts w:ascii="Times New Roman" w:eastAsia="宋体"/>
                <w:sz w:val="21"/>
              </w:rPr>
              <w:t xml:space="preserve">编制日期</w:t>
            </w:r>
          </w:p>
        </w:tc>
        <w:tc>
          <w:tcPr>
            <w:tcW w:w="0" w:type="auto"/>
          </w:tcPr>
          <w:p>
            <w:pPr/>
            <w:r>
              <w:rPr>
                <w:rFonts w:ascii="Times New Roman" w:eastAsia="宋体"/>
                <w:sz w:val="21"/>
              </w:rPr>
              <w:t xml:space="preserve">二〇一九年八月</w:t>
            </w:r>
          </w:p>
        </w:tc>
      </w:tr>
    </w:tbl>
    <w:p>
      <w:pPr>
        <w:ind w:left="420"/>
      </w:pPr>
      <w:r>
        <w:rPr>
          <w:b/>
          <w:rFonts w:ascii="Times New Roman" w:eastAsia="宋体"/>
          <w:sz w:val="21"/>
        </w:rPr>
        <w:t xml:space="preserve">本稿的产生方式</w:t>
      </w:r>
      <w:r>
        <w:rPr>
          <w:rFonts w:ascii="Times New Roman" w:eastAsia="宋体"/>
          <w:sz w:val="21"/>
        </w:rPr>
        <w:t xml:space="preserve">：以本项目可行性研究报告的</w:t>
      </w:r>
      <w:r>
        <w:rPr>
          <w:b/>
          <w:rFonts w:ascii="Times New Roman" w:eastAsia="宋体"/>
          <w:sz w:val="21"/>
        </w:rPr>
        <w:t xml:space="preserve">事实图谱</w:t>
      </w:r>
      <w:r>
        <w:rPr>
          <w:rFonts w:ascii="Times New Roman" w:eastAsia="宋体"/>
          <w:sz w:val="21"/>
        </w:rPr>
        <w:t xml:space="preserve">为唯一数据源，沿章节骨架装配而成。</w:t>
      </w:r>
    </w:p>
    <w:p>
      <w:pPr>
        <w:ind w:left="420"/>
      </w:pPr>
      <w:r>
        <w:rPr>
          <w:rFonts w:ascii="Times New Roman" w:eastAsia="宋体"/>
          <w:sz w:val="21"/>
        </w:rPr>
        <w:t xml:space="preserve">正文中的每一个数值都来自图谱节点（单一事实源），派生量由规则算出而非手填；</w:t>
      </w:r>
    </w:p>
    <w:p>
      <w:pPr>
        <w:ind w:left="420"/>
      </w:pPr>
      <w:r>
        <w:rPr>
          <w:rFonts w:ascii="Times New Roman" w:eastAsia="宋体"/>
          <w:sz w:val="21"/>
        </w:rPr>
        <w:t xml:space="preserve">存在的数值冲突以「⚠ 待审」并列呈现、不裁决；原文未给出的口径显式留白、不估算；</w:t>
      </w:r>
    </w:p>
    <w:p>
      <w:pPr>
        <w:ind w:left="420"/>
      </w:pPr>
      <w:r>
        <w:rPr>
          <w:rFonts w:ascii="Times New Roman" w:eastAsia="宋体"/>
          <w:sz w:val="21"/>
        </w:rPr>
        <w:t xml:space="preserve">技术函数的取值依据</w:t>
      </w:r>
      <w:r>
        <w:rPr>
          <w:b/>
          <w:rFonts w:ascii="Times New Roman" w:eastAsia="宋体"/>
          <w:sz w:val="21"/>
        </w:rPr>
        <w:t xml:space="preserve">引用到外部规范条款</w:t>
      </w:r>
      <w:r>
        <w:rPr>
          <w:rFonts w:ascii="Times New Roman" w:eastAsia="宋体"/>
          <w:sz w:val="21"/>
        </w:rPr>
        <w:t xml:space="preserve">。装配说明与数据来源见文末「附录一」。</w:t>
      </w:r>
    </w:p>
    <w:p>
      <w:pPr>
        <w:pStyle w:val="Heading1"/>
      </w:pPr>
      <w:r>
        <w:rPr>
          <w:rFonts w:ascii="Times New Roman" w:eastAsia="宋体"/>
          <w:sz w:val="21"/>
        </w:rPr>
        <w:t xml:space="preserve">第一章　总论</w:t>
      </w:r>
    </w:p>
    <w:p>
      <w:pPr>
        <w:pStyle w:val="Heading2"/>
      </w:pPr>
      <w:r>
        <w:rPr>
          <w:rFonts w:ascii="Times New Roman" w:eastAsia="宋体"/>
          <w:sz w:val="21"/>
        </w:rPr>
        <w:t xml:space="preserve">1.1　项目概况</w:t>
      </w:r>
    </w:p>
    <w:p>
      <w:pPr/>
      <w:r>
        <w:rPr>
          <w:b/>
          <w:rFonts w:ascii="Times New Roman" w:eastAsia="宋体"/>
          <w:sz w:val="21"/>
        </w:rPr>
        <w:t xml:space="preserve">（1）项目名称</w:t>
      </w:r>
      <w:r>
        <w:rPr>
          <w:rFonts w:ascii="Times New Roman" w:eastAsia="宋体"/>
          <w:sz w:val="21"/>
        </w:rPr>
        <w:t xml:space="preserve">：上海财经大学中山北一路校区大数据研究中心。</w:t>
      </w:r>
    </w:p>
    <w:p>
      <w:pPr/>
      <w:r>
        <w:rPr>
          <w:b/>
          <w:rFonts w:ascii="Times New Roman" w:eastAsia="宋体"/>
          <w:sz w:val="21"/>
        </w:rPr>
        <w:t xml:space="preserve">（2）建设单位</w:t>
      </w:r>
      <w:r>
        <w:rPr>
          <w:rFonts w:ascii="Times New Roman" w:eastAsia="宋体"/>
          <w:sz w:val="21"/>
        </w:rPr>
        <w:t xml:space="preserve">：上海财经大学。</w:t>
      </w:r>
    </w:p>
    <w:p>
      <w:pPr/>
      <w:r>
        <w:rPr>
          <w:b/>
          <w:rFonts w:ascii="Times New Roman" w:eastAsia="宋体"/>
          <w:sz w:val="21"/>
        </w:rPr>
        <w:t xml:space="preserve">（3）建设性质</w:t>
      </w:r>
      <w:r>
        <w:rPr>
          <w:rFonts w:ascii="Times New Roman" w:eastAsia="宋体"/>
          <w:sz w:val="21"/>
        </w:rPr>
        <w:t xml:space="preserve">：拆除重建。本项目对中山北一路校区原有第五教学楼实施拆除，在相应地块重新建设大数据研究中心大楼，用于管理科学与量化信息研究中心、理论计算机研究中心、应用统计研究中心、数据科研与统计研究院等科研单位的科研工作。</w:t>
      </w:r>
    </w:p>
    <w:p>
      <w:pPr/>
      <w:r>
        <w:rPr>
          <w:b/>
          <w:rFonts w:ascii="Times New Roman" w:eastAsia="宋体"/>
          <w:sz w:val="21"/>
        </w:rPr>
        <w:t xml:space="preserve">（4）建设地点及建设条件</w:t>
      </w:r>
      <w:r>
        <w:rPr>
          <w:rFonts w:ascii="Times New Roman" w:eastAsia="宋体"/>
          <w:sz w:val="21"/>
        </w:rPr>
        <w:t xml:space="preserve">：本项目位于上海财经大学中山北一路校区东部，西侧为校园绿地，东侧临近现有建筑教育中心，北侧靠近校内便利店，南侧为学校下沉式广场及图书馆。校区东面毗邻赤峰路、南近广秀路、西近广灵一路、北至广灵二路，周边交通条件成熟。周边供水、供电配套设施齐全，场地平坦，建设条件良好。</w:t>
      </w:r>
    </w:p>
    <w:p>
      <w:pPr/>
      <w:r>
        <w:rPr>
          <w:b/>
          <w:rFonts w:ascii="Times New Roman" w:eastAsia="宋体"/>
          <w:sz w:val="21"/>
        </w:rPr>
        <w:t xml:space="preserve">（5）建设内容及规模</w:t>
      </w:r>
      <w:r>
        <w:rPr>
          <w:rFonts w:ascii="Times New Roman" w:eastAsia="宋体"/>
          <w:sz w:val="21"/>
        </w:rPr>
        <w:t xml:space="preserve">：本项目拆除原第五教学楼，拆除面积 2758 ㎡；新建科研用房及部分交流讨论等公共服务配套用房，总建筑面积 18319 ㎡ / 18219 ㎡，其中地上建筑面积 18000 ㎡，地下建筑面积 319 ㎡（设备用房）。建筑层数为 12 层，其中地下设备 1 层。</w:t>
      </w:r>
    </w:p>
    <w:p>
      <w:pPr/>
      <w:r>
        <w:rPr>
          <w:b/>
          <w:rFonts w:ascii="Times New Roman" w:eastAsia="宋体"/>
          <w:sz w:val="21"/>
        </w:rPr>
        <w:t xml:space="preserve">（6）投资估算及资金筹措</w:t>
      </w:r>
      <w:r>
        <w:rPr>
          <w:rFonts w:ascii="Times New Roman" w:eastAsia="宋体"/>
          <w:sz w:val="21"/>
        </w:rPr>
        <w:t xml:space="preserve">：经测算，项目总投资 13032 万元，其中：建安工程费用 11188 万元，工程建设其他费用 1171 万元，预备费 618 万元，原建筑拆除费用 55 万元。建设资金由国拨资金及学校自筹解决，其中申请国拨资金 6000 万元（占总投资 46.04%），学校自筹资金 7032 万元。</w:t>
      </w:r>
    </w:p>
    <w:p>
      <w:pPr>
        <w:ind w:left="420"/>
      </w:pPr>
      <w:r>
        <w:rPr>
          <w:b/>
          <w:rFonts w:ascii="Times New Roman" w:eastAsia="宋体"/>
          <w:sz w:val="21"/>
        </w:rPr>
        <w:t xml:space="preserve">⚠ 待审</w:t>
      </w:r>
      <w:r>
        <w:rPr>
          <w:rFonts w:ascii="Times New Roman" w:eastAsia="宋体"/>
          <w:sz w:val="21"/>
        </w:rPr>
        <w:t xml:space="preserve">：本项目 · 总建筑面积 在报告不同章节取值不一致，现并列呈现为 </w:t>
      </w:r>
      <w:r>
        <w:rPr>
          <w:b/>
          <w:rFonts w:ascii="Times New Roman" w:eastAsia="宋体"/>
          <w:sz w:val="21"/>
        </w:rPr>
        <w:t xml:space="preserve">18219 / 18319</w:t>
      </w:r>
      <w:r>
        <w:rPr>
          <w:rFonts w:ascii="Times New Roman" w:eastAsia="宋体"/>
          <w:sz w:val="21"/>
        </w:rPr>
        <w:t xml:space="preserve">。本稿不判断哪一个正确，也不取其一；须由建设单位与编制单位核实后统一口径。</w:t>
      </w:r>
    </w:p>
    <w:p>
      <w:pPr/>
      <w:r>
        <w:rPr>
          <w:b/>
          <w:rFonts w:ascii="Times New Roman" w:eastAsia="宋体"/>
          <w:sz w:val="21"/>
        </w:rPr>
        <w:t xml:space="preserve">（7）实施进度</w:t>
      </w:r>
      <w:r>
        <w:rPr>
          <w:rFonts w:ascii="Times New Roman" w:eastAsia="宋体"/>
          <w:sz w:val="21"/>
        </w:rPr>
        <w:t xml:space="preserve">：本项目预计于 2020年7月初 开工建设，2022年06月底 竣工，建设工期约为 24 月。</w:t>
      </w:r>
    </w:p>
    <w:p>
      <w:pPr>
        <w:pStyle w:val="Heading2"/>
      </w:pPr>
      <w:r>
        <w:rPr>
          <w:rFonts w:ascii="Times New Roman" w:eastAsia="宋体"/>
          <w:sz w:val="21"/>
        </w:rPr>
        <w:t xml:space="preserve">1.2　研究内容和编制依据</w:t>
      </w:r>
    </w:p>
    <w:p>
      <w:pPr/>
      <w:r>
        <w:rPr>
          <w:rFonts w:ascii="Times New Roman" w:eastAsia="宋体"/>
          <w:sz w:val="21"/>
        </w:rPr>
        <w:t xml:space="preserve">本报告研究内容包括：项目建设背景及必要性分析、项目选址及建设条件、项目建设内容及规模、项目规划设计方案、节能设计、环境影响评价、卫生防疫与劳动安全、社会稳定风险分析、项目管理及实施进度、项目招投标方案、投资估算及资金筹措、社会效益分析等。</w:t>
      </w:r>
    </w:p>
    <w:p>
      <w:pPr/>
      <w:r>
        <w:rPr>
          <w:rFonts w:ascii="Times New Roman" w:eastAsia="宋体"/>
          <w:sz w:val="21"/>
        </w:rPr>
        <w:t xml:space="preserve">报告编制的主要依据包括：国家及上海市有关政策、法规、定额、税费等文件；《普通高等学校建筑面积指标》（建标﹝2018﹞32 号）等建设标准；以及建设单位提供的校内规划、会议纪要与项目规划设计方案等资料。</w:t>
      </w:r>
    </w:p>
    <w:p>
      <w:pPr/>
      <w:r>
        <w:rPr>
          <w:rFonts w:ascii="Times New Roman" w:eastAsia="宋体"/>
          <w:sz w:val="21"/>
        </w:rPr>
        <w:t xml:space="preserve">需要指出的是，原报告在编制依据的表述上存在一处需要更正的引用，现按依据复核结论说明如下。</w:t>
      </w:r>
    </w:p>
    <w:p>
      <w:pPr>
        <w:ind w:left="420"/>
      </w:pPr>
      <w:r>
        <w:rPr>
          <w:b/>
          <w:rFonts w:ascii="Times New Roman" w:eastAsia="宋体"/>
          <w:sz w:val="21"/>
        </w:rPr>
        <w:t xml:space="preserve">❌ 依据复核（B-12）</w:t>
      </w:r>
      <w:r>
        <w:rPr>
          <w:rFonts w:ascii="Times New Roman" w:eastAsia="宋体"/>
          <w:sz w:val="21"/>
        </w:rPr>
        <w:t xml:space="preserve">：报告 1.2 编制依据写作《普通高等学校</w:t>
      </w:r>
      <w:r>
        <w:rPr>
          <w:b/>
          <w:rFonts w:ascii="Times New Roman" w:eastAsia="宋体"/>
          <w:sz w:val="21"/>
        </w:rPr>
        <w:t xml:space="preserve">建筑规划</w:t>
      </w:r>
      <w:r>
        <w:rPr>
          <w:rFonts w:ascii="Times New Roman" w:eastAsia="宋体"/>
          <w:sz w:val="21"/>
        </w:rPr>
        <w:t xml:space="preserve">面积指标》（建标191-2018）。建标﹝2018﹞32号通知：正式名称为《普通高等学校</w:t>
      </w:r>
      <w:r>
        <w:rPr>
          <w:b/>
          <w:rFonts w:ascii="Times New Roman" w:eastAsia="宋体"/>
          <w:sz w:val="21"/>
        </w:rPr>
        <w:t xml:space="preserve">建筑</w:t>
      </w:r>
      <w:r>
        <w:rPr>
          <w:rFonts w:ascii="Times New Roman" w:eastAsia="宋体"/>
          <w:sz w:val="21"/>
        </w:rPr>
        <w:t xml:space="preserve">面积指标》，自 2018-09-01 施行，</w:t>
      </w:r>
      <w:r>
        <w:rPr>
          <w:b/>
          <w:rFonts w:ascii="Times New Roman" w:eastAsia="宋体"/>
          <w:sz w:val="21"/>
        </w:rPr>
        <w:t xml:space="preserve">原《普通高等学校建筑规划面积指标》同时废止</w:t>
      </w:r>
      <w:r>
        <w:rPr>
          <w:rFonts w:ascii="Times New Roman" w:eastAsia="宋体"/>
          <w:sz w:val="21"/>
        </w:rPr>
        <w:t xml:space="preserve">。报告编制于 2019 年 8 月，仍沿用已废止的旧文件名称；且同一报告 5.6 节又写作《普通高等学校建筑面积指标》，</w:t>
      </w:r>
      <w:r>
        <w:rPr>
          <w:b/>
          <w:rFonts w:ascii="Times New Roman" w:eastAsia="宋体"/>
          <w:sz w:val="21"/>
        </w:rPr>
        <w:t xml:space="preserve">同一编号两种名称并存</w:t>
      </w:r>
      <w:r>
        <w:rPr>
          <w:rFonts w:ascii="Times New Roman" w:eastAsia="宋体"/>
          <w:sz w:val="21"/>
        </w:rPr>
        <w:t xml:space="preserve">，其中一个是已废止名称。</w:t>
      </w:r>
    </w:p>
    <w:p>
      <w:pPr>
        <w:ind w:left="420"/>
      </w:pPr>
      <w:r>
        <w:rPr>
          <w:rFonts w:ascii="Times New Roman" w:eastAsia="宋体"/>
          <w:sz w:val="21"/>
        </w:rPr>
        <w:t xml:space="preserve">- 须核对：统一按现名《普通高等学校建筑面积指标》引用</w:t>
      </w:r>
    </w:p>
    <w:p>
      <w:pPr/>
      <w:r>
        <w:rPr>
          <w:rFonts w:ascii="Times New Roman" w:eastAsia="宋体"/>
          <w:sz w:val="21"/>
        </w:rPr>
        <w:t xml:space="preserve">本项目技术方案的取值并非自证，其取值域约束与推理保证来自国家标准与地方标准。本稿在涉及技术判定的各章，均给出所依据的规范条款，并标明条款的效力状态；依据未取到或不适用者，一律不作判定。</w:t>
      </w:r>
    </w:p>
    <w:p>
      <w:pPr>
        <w:pStyle w:val="Heading2"/>
      </w:pPr>
      <w:r>
        <w:rPr>
          <w:rFonts w:ascii="Times New Roman" w:eastAsia="宋体"/>
          <w:sz w:val="21"/>
        </w:rPr>
        <w:t xml:space="preserve">1.3　技术经济指标</w:t>
      </w:r>
    </w:p>
    <w:p>
      <w:pPr/>
      <w:r>
        <w:rPr>
          <w:b/>
          <w:rFonts w:ascii="Times New Roman" w:eastAsia="宋体"/>
          <w:sz w:val="21"/>
        </w:rPr>
        <w:t xml:space="preserve">表1-2 项目主要技术指标表</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指标名称</w:t>
            </w:r>
          </w:p>
        </w:tc>
        <w:tc>
          <w:tcPr>
            <w:tcW w:w="0" w:type="auto"/>
          </w:tcPr>
          <w:p>
            <w:pPr/>
            <w:r>
              <w:rPr>
                <w:b/>
                <w:rFonts w:ascii="Times New Roman" w:eastAsia="宋体"/>
                <w:sz w:val="21"/>
              </w:rPr>
              <w:t xml:space="preserve">数量</w:t>
            </w:r>
          </w:p>
        </w:tc>
        <w:tc>
          <w:tcPr>
            <w:tcW w:w="0" w:type="auto"/>
          </w:tcPr>
          <w:p>
            <w:pPr/>
            <w:r>
              <w:rPr>
                <w:b/>
                <w:rFonts w:ascii="Times New Roman" w:eastAsia="宋体"/>
                <w:sz w:val="21"/>
              </w:rPr>
              <w:t xml:space="preserve">单位</w:t>
            </w:r>
          </w:p>
        </w:tc>
      </w:tr>
      <w:tr>
        <w:tc>
          <w:tcPr>
            <w:tcW w:w="0" w:type="auto"/>
          </w:tcPr>
          <w:p>
            <w:pPr/>
            <w:r>
              <w:rPr>
                <w:rFonts w:ascii="Times New Roman" w:eastAsia="宋体"/>
                <w:sz w:val="21"/>
              </w:rPr>
              <w:t xml:space="preserve">总建筑面积</w:t>
            </w:r>
          </w:p>
        </w:tc>
        <w:tc>
          <w:tcPr>
            <w:tcW w:w="0" w:type="auto"/>
          </w:tcPr>
          <w:p>
            <w:pPr/>
            <w:r>
              <w:rPr>
                <w:rFonts w:ascii="Times New Roman" w:eastAsia="宋体"/>
                <w:sz w:val="21"/>
              </w:rPr>
              <w:t xml:space="preserve">18319</w:t>
            </w:r>
          </w:p>
        </w:tc>
        <w:tc>
          <w:tcPr>
            <w:tcW w:w="0" w:type="auto"/>
          </w:tcPr>
          <w:p>
            <w:pPr/>
            <w:r>
              <w:rPr>
                <w:rFonts w:ascii="Times New Roman" w:eastAsia="宋体"/>
                <w:sz w:val="21"/>
              </w:rPr>
              <w:t xml:space="preserve">㎡</w:t>
            </w:r>
          </w:p>
        </w:tc>
      </w:tr>
      <w:tr>
        <w:tc>
          <w:tcPr>
            <w:tcW w:w="0" w:type="auto"/>
          </w:tcPr>
          <w:p>
            <w:pPr/>
            <w:r>
              <w:rPr>
                <w:rFonts w:ascii="Times New Roman" w:eastAsia="宋体"/>
                <w:sz w:val="21"/>
              </w:rPr>
              <w:t xml:space="preserve">地上建筑面积</w:t>
            </w:r>
          </w:p>
        </w:tc>
        <w:tc>
          <w:tcPr>
            <w:tcW w:w="0" w:type="auto"/>
          </w:tcPr>
          <w:p>
            <w:pPr/>
            <w:r>
              <w:rPr>
                <w:rFonts w:ascii="Times New Roman" w:eastAsia="宋体"/>
                <w:sz w:val="21"/>
              </w:rPr>
              <w:t xml:space="preserve">18000</w:t>
            </w:r>
          </w:p>
        </w:tc>
        <w:tc>
          <w:tcPr>
            <w:tcW w:w="0" w:type="auto"/>
          </w:tcPr>
          <w:p>
            <w:pPr/>
            <w:r>
              <w:rPr>
                <w:rFonts w:ascii="Times New Roman" w:eastAsia="宋体"/>
                <w:sz w:val="21"/>
              </w:rPr>
              <w:t xml:space="preserve">㎡</w:t>
            </w:r>
          </w:p>
        </w:tc>
      </w:tr>
      <w:tr>
        <w:tc>
          <w:tcPr>
            <w:tcW w:w="0" w:type="auto"/>
          </w:tcPr>
          <w:p>
            <w:pPr/>
            <w:r>
              <w:rPr>
                <w:rFonts w:ascii="Times New Roman" w:eastAsia="宋体"/>
                <w:sz w:val="21"/>
              </w:rPr>
              <w:t xml:space="preserve">地下建筑面积</w:t>
            </w:r>
          </w:p>
        </w:tc>
        <w:tc>
          <w:tcPr>
            <w:tcW w:w="0" w:type="auto"/>
          </w:tcPr>
          <w:p>
            <w:pPr/>
            <w:r>
              <w:rPr>
                <w:rFonts w:ascii="Times New Roman" w:eastAsia="宋体"/>
                <w:sz w:val="21"/>
              </w:rPr>
              <w:t xml:space="preserve">319</w:t>
            </w:r>
          </w:p>
        </w:tc>
        <w:tc>
          <w:tcPr>
            <w:tcW w:w="0" w:type="auto"/>
          </w:tcPr>
          <w:p>
            <w:pPr/>
            <w:r>
              <w:rPr>
                <w:rFonts w:ascii="Times New Roman" w:eastAsia="宋体"/>
                <w:sz w:val="21"/>
              </w:rPr>
              <w:t xml:space="preserve">㎡</w:t>
            </w:r>
          </w:p>
        </w:tc>
      </w:tr>
    </w:tbl>
    <w:p>
      <w:pPr/>
      <w:r>
        <w:rPr>
          <w:b/>
          <w:rFonts w:ascii="Times New Roman" w:eastAsia="宋体"/>
          <w:sz w:val="21"/>
        </w:rPr>
        <w:t xml:space="preserve">表 1-1　项目主要技术经济指标</w:t>
      </w:r>
      <w:r>
        <w:rPr>
          <w:rFonts w:ascii="Times New Roman" w:eastAsia="宋体"/>
          <w:sz w:val="21"/>
        </w:rPr>
        <w:t xml:space="preserve">（上表）（注：容积率、绿地率等指标全校统筹，本项目无独立取值。）　</w:t>
      </w:r>
      <w:r>
        <w:rPr>
          <w:b/>
          <w:rFonts w:ascii="Times New Roman" w:eastAsia="宋体"/>
          <w:sz w:val="21"/>
        </w:rPr>
        <w:t xml:space="preserve">（容积率、绿地率：待补充——原文：容积率、绿地率等指标全校统筹（表1-2 注），本项目无独立取值，保持未知。）</w:t>
      </w:r>
    </w:p>
    <w:p>
      <w:pPr>
        <w:pStyle w:val="Heading2"/>
      </w:pPr>
      <w:r>
        <w:rPr>
          <w:rFonts w:ascii="Times New Roman" w:eastAsia="宋体"/>
          <w:sz w:val="21"/>
        </w:rPr>
        <w:t xml:space="preserve">1.4　结论及建议</w:t>
      </w:r>
    </w:p>
    <w:p>
      <w:pPr/>
      <w:r>
        <w:rPr>
          <w:b/>
          <w:rFonts w:ascii="Times New Roman" w:eastAsia="宋体"/>
          <w:sz w:val="21"/>
        </w:rPr>
        <w:t xml:space="preserve">（1）建设必要性充分</w:t>
      </w:r>
      <w:r>
        <w:rPr>
          <w:rFonts w:ascii="Times New Roman" w:eastAsia="宋体"/>
          <w:sz w:val="21"/>
        </w:rPr>
        <w:t xml:space="preserve">。项目的建设是提升我国新兴领域科研水平、加速向创新型经济转型发展的需要；是推进上海大数据研究与发展、加快建设数字中国的需要；是改善中山北一路校区设施条件、建立良好科研环境的需要；是响应「双一流」高校建设、实现高水平研究型大学战略目标的需要。</w:t>
      </w:r>
    </w:p>
    <w:p>
      <w:pPr/>
      <w:r>
        <w:rPr>
          <w:b/>
          <w:rFonts w:ascii="Times New Roman" w:eastAsia="宋体"/>
          <w:sz w:val="21"/>
        </w:rPr>
        <w:t xml:space="preserve">（2）建设条件具备</w:t>
      </w:r>
      <w:r>
        <w:rPr>
          <w:rFonts w:ascii="Times New Roman" w:eastAsia="宋体"/>
          <w:sz w:val="21"/>
        </w:rPr>
        <w:t xml:space="preserve">。项目位于成熟校区内，选址地质条件良好，各项市政配套齐全，供水、排水、供电等市政配套设施有保证；施工场地平整、开阔，四周道路通畅，建设条件具备。</w:t>
      </w:r>
    </w:p>
    <w:p>
      <w:pPr/>
      <w:r>
        <w:rPr>
          <w:b/>
          <w:rFonts w:ascii="Times New Roman" w:eastAsia="宋体"/>
          <w:sz w:val="21"/>
        </w:rPr>
        <w:t xml:space="preserve">（3）建设规模总体合理，但测算值与设计值之间存在缺口</w:t>
      </w:r>
      <w:r>
        <w:rPr>
          <w:rFonts w:ascii="Times New Roman" w:eastAsia="宋体"/>
          <w:sz w:val="21"/>
        </w:rPr>
        <w:t xml:space="preserve">。按人均建筑面积指标法测算，本项目地上总建筑面积需求为 18040 ㎡；设计地上建筑面积为 18000 ㎡。二者相差 40 ㎡，设计值小于测算需求。</w:t>
      </w:r>
      <w:r>
        <w:rPr>
          <w:b/>
          <w:rFonts w:ascii="Times New Roman" w:eastAsia="宋体"/>
          <w:sz w:val="21"/>
        </w:rPr>
        <w:t xml:space="preserve">判定结论：不满足</w:t>
      </w:r>
      <w:r>
        <w:rPr>
          <w:rFonts w:ascii="Times New Roman" w:eastAsia="宋体"/>
          <w:sz w:val="21"/>
        </w:rPr>
        <w:t xml:space="preserve">。前提 {"地上总建筑面积需求": 18040.0, "设计地上建筑面积": 18000.0}；需求 18040 ㎡ &gt; 设计 18000 ㎡，差 40 ㎡；原文结论为「设计规模在各类用房面积需求范围内，规模设置合理」，该结论与自身测算不符</w:t>
      </w:r>
    </w:p>
    <w:p>
      <w:pPr/>
      <w:r>
        <w:rPr>
          <w:b/>
          <w:rFonts w:ascii="Times New Roman" w:eastAsia="宋体"/>
          <w:sz w:val="21"/>
        </w:rPr>
        <w:t xml:space="preserve">（4）项目资金来源有保障</w:t>
      </w:r>
      <w:r>
        <w:rPr>
          <w:rFonts w:ascii="Times New Roman" w:eastAsia="宋体"/>
          <w:sz w:val="21"/>
        </w:rPr>
        <w:t xml:space="preserve">。项目建设资金由国拨资金及学校自筹解决，国拨资金 6000 万元、学校自筹 7032 万元；学校近三年收入持续增长、资产负债率处于较低水平，具备相应的资金筹措能力。</w:t>
      </w:r>
    </w:p>
    <w:p>
      <w:pPr/>
      <w:r>
        <w:rPr>
          <w:b/>
          <w:rFonts w:ascii="Times New Roman" w:eastAsia="宋体"/>
          <w:sz w:val="21"/>
        </w:rPr>
        <w:t xml:space="preserve">（5）项目建成后效益显著</w:t>
      </w:r>
      <w:r>
        <w:rPr>
          <w:rFonts w:ascii="Times New Roman" w:eastAsia="宋体"/>
          <w:sz w:val="21"/>
        </w:rPr>
        <w:t xml:space="preserve">。项目建成后将为上海财经大学建设成为一流的研究型大学做好基建保障，有利于提升学科的科研水平、促进相关学科的快速发展，有利于优化校园环境、提升学校形象。</w:t>
      </w:r>
    </w:p>
    <w:p>
      <w:pPr/>
      <w:r>
        <w:rPr>
          <w:b/>
          <w:rFonts w:ascii="Times New Roman" w:eastAsia="宋体"/>
          <w:sz w:val="21"/>
        </w:rPr>
        <w:t xml:space="preserve">（6）建议</w:t>
      </w:r>
      <w:r>
        <w:rPr>
          <w:rFonts w:ascii="Times New Roman" w:eastAsia="宋体"/>
          <w:sz w:val="21"/>
        </w:rPr>
        <w:t xml:space="preserve">。建议有关部门尽早批复本报告，尽早发挥本项目效益。同时建议：①在初步设计阶段前，先行核实并统一本报告中已登记的待审事项与缺口事项；②按现行有效版本核对全部引用标准；③补齐拆除手续等前置条件。</w:t>
      </w:r>
    </w:p>
    <w:p>
      <w:pPr>
        <w:pStyle w:val="Heading1"/>
      </w:pPr>
      <w:r>
        <w:rPr>
          <w:rFonts w:ascii="Times New Roman" w:eastAsia="宋体"/>
          <w:sz w:val="21"/>
        </w:rPr>
        <w:t xml:space="preserve">第二章　学校简介</w:t>
      </w:r>
    </w:p>
    <w:p>
      <w:pPr>
        <w:pStyle w:val="Heading2"/>
      </w:pPr>
      <w:r>
        <w:rPr>
          <w:rFonts w:ascii="Times New Roman" w:eastAsia="宋体"/>
          <w:sz w:val="21"/>
        </w:rPr>
        <w:t xml:space="preserve">2.1　历史沿革</w:t>
      </w:r>
    </w:p>
    <w:p>
      <w:pPr/>
      <w:r>
        <w:rPr>
          <w:rFonts w:ascii="Times New Roman" w:eastAsia="宋体"/>
          <w:sz w:val="21"/>
        </w:rPr>
        <w:t xml:space="preserve">上海财经大学是我国历史最悠久的高等财经学府，学校源于 1917 年南京高等师范学校创办的商科。1921 年学校东迁上海，创建上海商科大学，成为中国教育史上最早的商科大学。新中国成立后，学校更名为上海财政经济学院；1985 年，学校更名为上海财经大学；2000 年 2 月，学校由财政部划归教育部领导。学校为国家首批「211 工程」重点建设高校和「985 工程优势学科创新平台」项目建设高校。</w:t>
      </w:r>
    </w:p>
    <w:p>
      <w:pPr>
        <w:pStyle w:val="Heading2"/>
      </w:pPr>
      <w:r>
        <w:rPr>
          <w:rFonts w:ascii="Times New Roman" w:eastAsia="宋体"/>
          <w:sz w:val="21"/>
        </w:rPr>
        <w:t xml:space="preserve">2.2　学科体系</w:t>
      </w:r>
    </w:p>
    <w:p>
      <w:pPr/>
      <w:r>
        <w:rPr>
          <w:rFonts w:ascii="Times New Roman" w:eastAsia="宋体"/>
          <w:sz w:val="21"/>
        </w:rPr>
        <w:t xml:space="preserve">上海财经大学现已成为一所以经济管理学科为主，经、管、法、文、理协调发展的多科性重点大学。在全国财经院校中，学校最早获得博士学位授予权，也是首批设立社会科学（经济学）博士后流动站的高校之一。</w:t>
      </w:r>
    </w:p>
    <w:p>
      <w:pPr/>
      <w:r>
        <w:rPr>
          <w:rFonts w:ascii="Times New Roman" w:eastAsia="宋体"/>
          <w:sz w:val="21"/>
        </w:rPr>
        <w:t xml:space="preserve">根据学校学科建设规划，学科建设目标为：按照建设国际知名具有鲜明财经特色的高水平研究型大学的总体要求，推进实施「学科竞争力提升战略 2.0」；到 2020 年基本形成「主干、一流的经管学科，精干、先进的法文理工学科」格局；到 2025 年，「经济学与商学」力争整体进入世界一流学科前列。</w:t>
      </w:r>
    </w:p>
    <w:p>
      <w:pPr/>
      <w:r>
        <w:rPr>
          <w:rFonts w:ascii="Times New Roman" w:eastAsia="宋体"/>
          <w:sz w:val="21"/>
        </w:rPr>
        <w:t xml:space="preserve">学校现已基本形成财经特色鲜明的多科性学科体系。相关学科基本情况如下表。</w:t>
      </w:r>
    </w:p>
    <w:p>
      <w:pPr/>
      <w:r>
        <w:rPr>
          <w:b/>
          <w:rFonts w:ascii="Times New Roman" w:eastAsia="宋体"/>
          <w:sz w:val="21"/>
        </w:rPr>
        <w:t xml:space="preserve">表2-1 学科基本情况表</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项目</w:t>
            </w:r>
          </w:p>
        </w:tc>
        <w:tc>
          <w:tcPr>
            <w:tcW w:w="0" w:type="auto"/>
          </w:tcPr>
          <w:p>
            <w:pPr/>
            <w:r>
              <w:rPr>
                <w:b/>
                <w:rFonts w:ascii="Times New Roman" w:eastAsia="宋体"/>
                <w:sz w:val="21"/>
              </w:rPr>
              <w:t xml:space="preserve">数量/内容</w:t>
            </w:r>
          </w:p>
        </w:tc>
      </w:tr>
      <w:tr>
        <w:tc>
          <w:tcPr>
            <w:tcW w:w="0" w:type="auto"/>
          </w:tcPr>
          <w:p>
            <w:pPr/>
            <w:r>
              <w:rPr>
                <w:rFonts w:ascii="Times New Roman" w:eastAsia="宋体"/>
                <w:sz w:val="21"/>
              </w:rPr>
              <w:t xml:space="preserve">一级学科</w:t>
            </w:r>
          </w:p>
        </w:tc>
        <w:tc>
          <w:tcPr>
            <w:tcW w:w="0" w:type="auto"/>
          </w:tcPr>
          <w:p>
            <w:pPr/>
            <w:r>
              <w:rPr>
                <w:rFonts w:ascii="Times New Roman" w:eastAsia="宋体"/>
                <w:sz w:val="21"/>
              </w:rPr>
              <w:t xml:space="preserve">17 个</w:t>
            </w:r>
          </w:p>
        </w:tc>
      </w:tr>
      <w:tr>
        <w:tc>
          <w:tcPr>
            <w:tcW w:w="0" w:type="auto"/>
          </w:tcPr>
          <w:p>
            <w:pPr/>
            <w:r>
              <w:rPr>
                <w:rFonts w:ascii="Times New Roman" w:eastAsia="宋体"/>
                <w:sz w:val="21"/>
              </w:rPr>
              <w:t xml:space="preserve">学科门类</w:t>
            </w:r>
          </w:p>
        </w:tc>
        <w:tc>
          <w:tcPr>
            <w:tcW w:w="0" w:type="auto"/>
          </w:tcPr>
          <w:p>
            <w:pPr/>
            <w:r>
              <w:rPr>
                <w:rFonts w:ascii="Times New Roman" w:eastAsia="宋体"/>
                <w:sz w:val="21"/>
              </w:rPr>
              <w:t xml:space="preserve">8 个</w:t>
            </w:r>
          </w:p>
        </w:tc>
      </w:tr>
      <w:tr>
        <w:tc>
          <w:tcPr>
            <w:tcW w:w="0" w:type="auto"/>
          </w:tcPr>
          <w:p>
            <w:pPr/>
            <w:r>
              <w:rPr>
                <w:rFonts w:ascii="Times New Roman" w:eastAsia="宋体"/>
                <w:sz w:val="21"/>
              </w:rPr>
              <w:t xml:space="preserve">一级学科博士学位授权点</w:t>
            </w:r>
          </w:p>
        </w:tc>
        <w:tc>
          <w:tcPr>
            <w:tcW w:w="0" w:type="auto"/>
          </w:tcPr>
          <w:p>
            <w:pPr/>
            <w:r>
              <w:rPr>
                <w:rFonts w:ascii="Times New Roman" w:eastAsia="宋体"/>
                <w:sz w:val="21"/>
              </w:rPr>
              <w:t xml:space="preserve">9 个</w:t>
            </w:r>
          </w:p>
        </w:tc>
      </w:tr>
      <w:tr>
        <w:tc>
          <w:tcPr>
            <w:tcW w:w="0" w:type="auto"/>
          </w:tcPr>
          <w:p>
            <w:pPr/>
            <w:r>
              <w:rPr>
                <w:rFonts w:ascii="Times New Roman" w:eastAsia="宋体"/>
                <w:sz w:val="21"/>
              </w:rPr>
              <w:t xml:space="preserve">一级学科硕士学位授权点</w:t>
            </w:r>
          </w:p>
        </w:tc>
        <w:tc>
          <w:tcPr>
            <w:tcW w:w="0" w:type="auto"/>
          </w:tcPr>
          <w:p>
            <w:pPr/>
            <w:r>
              <w:rPr>
                <w:rFonts w:ascii="Times New Roman" w:eastAsia="宋体"/>
                <w:sz w:val="21"/>
              </w:rPr>
              <w:t xml:space="preserve">15 个</w:t>
            </w:r>
          </w:p>
        </w:tc>
      </w:tr>
      <w:tr>
        <w:tc>
          <w:tcPr>
            <w:tcW w:w="0" w:type="auto"/>
          </w:tcPr>
          <w:p>
            <w:pPr/>
            <w:r>
              <w:rPr>
                <w:rFonts w:ascii="Times New Roman" w:eastAsia="宋体"/>
                <w:sz w:val="21"/>
              </w:rPr>
              <w:t xml:space="preserve">硕士专业学位授权点</w:t>
            </w:r>
          </w:p>
        </w:tc>
        <w:tc>
          <w:tcPr>
            <w:tcW w:w="0" w:type="auto"/>
          </w:tcPr>
          <w:p>
            <w:pPr/>
            <w:r>
              <w:rPr>
                <w:rFonts w:ascii="Times New Roman" w:eastAsia="宋体"/>
                <w:sz w:val="21"/>
              </w:rPr>
              <w:t xml:space="preserve">13 个</w:t>
            </w:r>
          </w:p>
        </w:tc>
      </w:tr>
      <w:tr>
        <w:tc>
          <w:tcPr>
            <w:tcW w:w="0" w:type="auto"/>
          </w:tcPr>
          <w:p>
            <w:pPr/>
            <w:r>
              <w:rPr>
                <w:rFonts w:ascii="Times New Roman" w:eastAsia="宋体"/>
                <w:sz w:val="21"/>
              </w:rPr>
              <w:t xml:space="preserve">博士后科研流动站</w:t>
            </w:r>
          </w:p>
        </w:tc>
        <w:tc>
          <w:tcPr>
            <w:tcW w:w="0" w:type="auto"/>
          </w:tcPr>
          <w:p>
            <w:pPr/>
            <w:r>
              <w:rPr>
                <w:rFonts w:ascii="Times New Roman" w:eastAsia="宋体"/>
                <w:sz w:val="21"/>
              </w:rPr>
              <w:t xml:space="preserve">7 个</w:t>
            </w:r>
          </w:p>
        </w:tc>
      </w:tr>
      <w:tr>
        <w:tc>
          <w:tcPr>
            <w:tcW w:w="0" w:type="auto"/>
          </w:tcPr>
          <w:p>
            <w:pPr/>
            <w:r>
              <w:rPr>
                <w:rFonts w:ascii="Times New Roman" w:eastAsia="宋体"/>
                <w:sz w:val="21"/>
              </w:rPr>
              <w:t xml:space="preserve">国家“双一流”建设学科</w:t>
            </w:r>
          </w:p>
        </w:tc>
        <w:tc>
          <w:tcPr>
            <w:tcW w:w="0" w:type="auto"/>
          </w:tcPr>
          <w:p>
            <w:pPr/>
            <w:r>
              <w:rPr>
                <w:rFonts w:ascii="Times New Roman" w:eastAsia="宋体"/>
                <w:sz w:val="21"/>
              </w:rPr>
              <w:t xml:space="preserve">1 个</w:t>
            </w:r>
          </w:p>
        </w:tc>
      </w:tr>
      <w:tr>
        <w:tc>
          <w:tcPr>
            <w:tcW w:w="0" w:type="auto"/>
          </w:tcPr>
          <w:p>
            <w:pPr/>
            <w:r>
              <w:rPr>
                <w:rFonts w:ascii="Times New Roman" w:eastAsia="宋体"/>
                <w:sz w:val="21"/>
              </w:rPr>
              <w:t xml:space="preserve">国家重点学科</w:t>
            </w:r>
          </w:p>
        </w:tc>
        <w:tc>
          <w:tcPr>
            <w:tcW w:w="0" w:type="auto"/>
          </w:tcPr>
          <w:p>
            <w:pPr/>
            <w:r>
              <w:rPr>
                <w:rFonts w:ascii="Times New Roman" w:eastAsia="宋体"/>
                <w:sz w:val="21"/>
              </w:rPr>
              <w:t xml:space="preserve">4 个</w:t>
            </w:r>
          </w:p>
        </w:tc>
      </w:tr>
    </w:tbl>
    <w:p>
      <w:pPr>
        <w:pStyle w:val="Heading2"/>
      </w:pPr>
      <w:r>
        <w:rPr>
          <w:rFonts w:ascii="Times New Roman" w:eastAsia="宋体"/>
          <w:sz w:val="21"/>
        </w:rPr>
        <w:t xml:space="preserve">2.3　办学特色</w:t>
      </w:r>
    </w:p>
    <w:p>
      <w:pPr/>
      <w:r>
        <w:rPr>
          <w:b/>
          <w:rFonts w:ascii="Times New Roman" w:eastAsia="宋体"/>
          <w:sz w:val="21"/>
        </w:rPr>
        <w:t xml:space="preserve">（1）财经特色鲜明，学科优势明显</w:t>
      </w:r>
      <w:r>
        <w:rPr>
          <w:rFonts w:ascii="Times New Roman" w:eastAsia="宋体"/>
          <w:sz w:val="21"/>
        </w:rPr>
        <w:t xml:space="preserve">。学校拥有会计学、财政学、经济思想史等国家级重点学科，以及财政部重点学科、上海市重点学科和上海市一流学科；经济学和商学学科在国际学术界已具显著影响力。</w:t>
      </w:r>
    </w:p>
    <w:p>
      <w:pPr/>
      <w:r>
        <w:rPr>
          <w:b/>
          <w:rFonts w:ascii="Times New Roman" w:eastAsia="宋体"/>
          <w:sz w:val="21"/>
        </w:rPr>
        <w:t xml:space="preserve">（2）国际人才集聚，师资结构优化</w:t>
      </w:r>
      <w:r>
        <w:rPr>
          <w:rFonts w:ascii="Times New Roman" w:eastAsia="宋体"/>
          <w:sz w:val="21"/>
        </w:rPr>
        <w:t xml:space="preserve">。学校以引进海外优秀人才并切实发挥作用为突破口，开创性实施「海外院长实聘」制、「常任轨」制、海外特聘教授制等系列举措，建设高水平国际化师资队伍。</w:t>
      </w:r>
    </w:p>
    <w:p>
      <w:pPr/>
      <w:r>
        <w:rPr>
          <w:b/>
          <w:rFonts w:ascii="Times New Roman" w:eastAsia="宋体"/>
          <w:sz w:val="21"/>
        </w:rPr>
        <w:t xml:space="preserve">（3）坚持精英教育，追求卓越教学</w:t>
      </w:r>
      <w:r>
        <w:rPr>
          <w:rFonts w:ascii="Times New Roman" w:eastAsia="宋体"/>
          <w:sz w:val="21"/>
        </w:rPr>
        <w:t xml:space="preserve">。学校实施国际质量标准衡量的教育教学改革，形成人才培养模式的上财特色；毕业生就业竞争力不断提升，并入选教育部全国毕业生就业典型经验高校。</w:t>
      </w:r>
    </w:p>
    <w:p>
      <w:pPr/>
      <w:r>
        <w:rPr>
          <w:b/>
          <w:rFonts w:ascii="Times New Roman" w:eastAsia="宋体"/>
          <w:sz w:val="21"/>
        </w:rPr>
        <w:t xml:space="preserve">（4）坚持顶天立地，追求卓越科研</w:t>
      </w:r>
      <w:r>
        <w:rPr>
          <w:rFonts w:ascii="Times New Roman" w:eastAsia="宋体"/>
          <w:sz w:val="21"/>
        </w:rPr>
        <w:t xml:space="preserve">。学校致力于打造有国际影响力的财经学术重镇和国家智库，初步形成了多层次、多类型的科研平台建设体系，服务国家和地方重大战略。</w:t>
      </w:r>
    </w:p>
    <w:p>
      <w:pPr>
        <w:pStyle w:val="Heading2"/>
      </w:pPr>
      <w:r>
        <w:rPr>
          <w:rFonts w:ascii="Times New Roman" w:eastAsia="宋体"/>
          <w:sz w:val="21"/>
        </w:rPr>
        <w:t xml:space="preserve">2.4　办学规模与教职工情况</w:t>
      </w:r>
    </w:p>
    <w:p>
      <w:pPr/>
      <w:r>
        <w:rPr>
          <w:rFonts w:ascii="Times New Roman" w:eastAsia="宋体"/>
          <w:sz w:val="21"/>
        </w:rPr>
        <w:t xml:space="preserve">根据学校高等教育基层统计报表（2018/2019 学年初），截至 2018 年 12 月，学校各类在校生与教职工规模如下表。该组数据是后续建设规模论证中「分类人数」口径的重要参照。</w:t>
      </w:r>
    </w:p>
    <w:p>
      <w:pPr/>
      <w:r>
        <w:rPr>
          <w:b/>
          <w:rFonts w:ascii="Times New Roman" w:eastAsia="宋体"/>
          <w:sz w:val="21"/>
        </w:rPr>
        <w:t xml:space="preserve">表2-2 办学规模与教职工情况（本稿新增，原稿为正文叙述）</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项目</w:t>
            </w:r>
          </w:p>
        </w:tc>
        <w:tc>
          <w:tcPr>
            <w:tcW w:w="0" w:type="auto"/>
          </w:tcPr>
          <w:p>
            <w:pPr/>
            <w:r>
              <w:rPr>
                <w:b/>
                <w:rFonts w:ascii="Times New Roman" w:eastAsia="宋体"/>
                <w:sz w:val="21"/>
              </w:rPr>
              <w:t xml:space="preserve">数值</w:t>
            </w:r>
          </w:p>
        </w:tc>
      </w:tr>
      <w:tr>
        <w:tc>
          <w:tcPr>
            <w:tcW w:w="0" w:type="auto"/>
          </w:tcPr>
          <w:p>
            <w:pPr/>
            <w:r>
              <w:rPr>
                <w:rFonts w:ascii="Times New Roman" w:eastAsia="宋体"/>
                <w:sz w:val="21"/>
              </w:rPr>
              <w:t xml:space="preserve">各类在校生</w:t>
            </w:r>
          </w:p>
        </w:tc>
        <w:tc>
          <w:tcPr>
            <w:tcW w:w="0" w:type="auto"/>
          </w:tcPr>
          <w:p>
            <w:pPr/>
            <w:r>
              <w:rPr>
                <w:rFonts w:ascii="Times New Roman" w:eastAsia="宋体"/>
                <w:sz w:val="21"/>
              </w:rPr>
              <w:t xml:space="preserve">20576 人</w:t>
            </w:r>
          </w:p>
        </w:tc>
      </w:tr>
      <w:tr>
        <w:tc>
          <w:tcPr>
            <w:tcW w:w="0" w:type="auto"/>
          </w:tcPr>
          <w:p>
            <w:pPr/>
            <w:r>
              <w:rPr>
                <w:rFonts w:ascii="Times New Roman" w:eastAsia="宋体"/>
                <w:sz w:val="21"/>
              </w:rPr>
              <w:t xml:space="preserve">全日制在校生</w:t>
            </w:r>
          </w:p>
        </w:tc>
        <w:tc>
          <w:tcPr>
            <w:tcW w:w="0" w:type="auto"/>
          </w:tcPr>
          <w:p>
            <w:pPr/>
            <w:r>
              <w:rPr>
                <w:rFonts w:ascii="Times New Roman" w:eastAsia="宋体"/>
                <w:sz w:val="21"/>
              </w:rPr>
              <w:t xml:space="preserve">15643 人</w:t>
            </w:r>
          </w:p>
        </w:tc>
      </w:tr>
      <w:tr>
        <w:tc>
          <w:tcPr>
            <w:tcW w:w="0" w:type="auto"/>
          </w:tcPr>
          <w:p>
            <w:pPr/>
            <w:r>
              <w:rPr>
                <w:rFonts w:ascii="Times New Roman" w:eastAsia="宋体"/>
                <w:sz w:val="21"/>
              </w:rPr>
              <w:t xml:space="preserve">本科生</w:t>
            </w:r>
          </w:p>
        </w:tc>
        <w:tc>
          <w:tcPr>
            <w:tcW w:w="0" w:type="auto"/>
          </w:tcPr>
          <w:p>
            <w:pPr/>
            <w:r>
              <w:rPr>
                <w:rFonts w:ascii="Times New Roman" w:eastAsia="宋体"/>
                <w:sz w:val="21"/>
              </w:rPr>
              <w:t xml:space="preserve">8006 人</w:t>
            </w:r>
          </w:p>
        </w:tc>
      </w:tr>
      <w:tr>
        <w:tc>
          <w:tcPr>
            <w:tcW w:w="0" w:type="auto"/>
          </w:tcPr>
          <w:p>
            <w:pPr/>
            <w:r>
              <w:rPr>
                <w:rFonts w:ascii="Times New Roman" w:eastAsia="宋体"/>
                <w:sz w:val="21"/>
              </w:rPr>
              <w:t xml:space="preserve">预科生</w:t>
            </w:r>
          </w:p>
        </w:tc>
        <w:tc>
          <w:tcPr>
            <w:tcW w:w="0" w:type="auto"/>
          </w:tcPr>
          <w:p>
            <w:pPr/>
            <w:r>
              <w:rPr>
                <w:rFonts w:ascii="Times New Roman" w:eastAsia="宋体"/>
                <w:sz w:val="21"/>
              </w:rPr>
              <w:t xml:space="preserve">30 人</w:t>
            </w:r>
          </w:p>
        </w:tc>
      </w:tr>
      <w:tr>
        <w:tc>
          <w:tcPr>
            <w:tcW w:w="0" w:type="auto"/>
          </w:tcPr>
          <w:p>
            <w:pPr/>
            <w:r>
              <w:rPr>
                <w:rFonts w:ascii="Times New Roman" w:eastAsia="宋体"/>
                <w:sz w:val="21"/>
              </w:rPr>
              <w:t xml:space="preserve">研究生在校生</w:t>
            </w:r>
          </w:p>
        </w:tc>
        <w:tc>
          <w:tcPr>
            <w:tcW w:w="0" w:type="auto"/>
          </w:tcPr>
          <w:p>
            <w:pPr/>
            <w:r>
              <w:rPr>
                <w:rFonts w:ascii="Times New Roman" w:eastAsia="宋体"/>
                <w:sz w:val="21"/>
              </w:rPr>
              <w:t xml:space="preserve">8127 人</w:t>
            </w:r>
          </w:p>
        </w:tc>
      </w:tr>
      <w:tr>
        <w:tc>
          <w:tcPr>
            <w:tcW w:w="0" w:type="auto"/>
          </w:tcPr>
          <w:p>
            <w:pPr/>
            <w:r>
              <w:rPr>
                <w:rFonts w:ascii="Times New Roman" w:eastAsia="宋体"/>
                <w:sz w:val="21"/>
              </w:rPr>
              <w:t xml:space="preserve">硕士生</w:t>
            </w:r>
          </w:p>
        </w:tc>
        <w:tc>
          <w:tcPr>
            <w:tcW w:w="0" w:type="auto"/>
          </w:tcPr>
          <w:p>
            <w:pPr/>
            <w:r>
              <w:rPr>
                <w:rFonts w:ascii="Times New Roman" w:eastAsia="宋体"/>
                <w:sz w:val="21"/>
              </w:rPr>
              <w:t xml:space="preserve">6151 人</w:t>
            </w:r>
          </w:p>
        </w:tc>
      </w:tr>
      <w:tr>
        <w:tc>
          <w:tcPr>
            <w:tcW w:w="0" w:type="auto"/>
          </w:tcPr>
          <w:p>
            <w:pPr/>
            <w:r>
              <w:rPr>
                <w:rFonts w:ascii="Times New Roman" w:eastAsia="宋体"/>
                <w:sz w:val="21"/>
              </w:rPr>
              <w:t xml:space="preserve">双证硕士</w:t>
            </w:r>
          </w:p>
        </w:tc>
        <w:tc>
          <w:tcPr>
            <w:tcW w:w="0" w:type="auto"/>
          </w:tcPr>
          <w:p>
            <w:pPr/>
            <w:r>
              <w:rPr>
                <w:rFonts w:ascii="Times New Roman" w:eastAsia="宋体"/>
                <w:sz w:val="21"/>
              </w:rPr>
              <w:t xml:space="preserve">5631 人</w:t>
            </w:r>
          </w:p>
        </w:tc>
      </w:tr>
      <w:tr>
        <w:tc>
          <w:tcPr>
            <w:tcW w:w="0" w:type="auto"/>
          </w:tcPr>
          <w:p>
            <w:pPr/>
            <w:r>
              <w:rPr>
                <w:rFonts w:ascii="Times New Roman" w:eastAsia="宋体"/>
                <w:sz w:val="21"/>
              </w:rPr>
              <w:t xml:space="preserve">博士生</w:t>
            </w:r>
          </w:p>
        </w:tc>
        <w:tc>
          <w:tcPr>
            <w:tcW w:w="0" w:type="auto"/>
          </w:tcPr>
          <w:p>
            <w:pPr/>
            <w:r>
              <w:rPr>
                <w:rFonts w:ascii="Times New Roman" w:eastAsia="宋体"/>
                <w:sz w:val="21"/>
              </w:rPr>
              <w:t xml:space="preserve">1219 人</w:t>
            </w:r>
          </w:p>
        </w:tc>
      </w:tr>
      <w:tr>
        <w:tc>
          <w:tcPr>
            <w:tcW w:w="0" w:type="auto"/>
          </w:tcPr>
          <w:p>
            <w:pPr/>
            <w:r>
              <w:rPr>
                <w:rFonts w:ascii="Times New Roman" w:eastAsia="宋体"/>
                <w:sz w:val="21"/>
              </w:rPr>
              <w:t xml:space="preserve">在校留学生</w:t>
            </w:r>
          </w:p>
        </w:tc>
        <w:tc>
          <w:tcPr>
            <w:tcW w:w="0" w:type="auto"/>
          </w:tcPr>
          <w:p>
            <w:pPr/>
            <w:r>
              <w:rPr>
                <w:rFonts w:ascii="Times New Roman" w:eastAsia="宋体"/>
                <w:sz w:val="21"/>
              </w:rPr>
              <w:t xml:space="preserve">757 人</w:t>
            </w:r>
          </w:p>
        </w:tc>
      </w:tr>
      <w:tr>
        <w:tc>
          <w:tcPr>
            <w:tcW w:w="0" w:type="auto"/>
          </w:tcPr>
          <w:p>
            <w:pPr/>
            <w:r>
              <w:rPr>
                <w:rFonts w:ascii="Times New Roman" w:eastAsia="宋体"/>
                <w:sz w:val="21"/>
              </w:rPr>
              <w:t xml:space="preserve">专职教师</w:t>
            </w:r>
          </w:p>
        </w:tc>
        <w:tc>
          <w:tcPr>
            <w:tcW w:w="0" w:type="auto"/>
          </w:tcPr>
          <w:p>
            <w:pPr/>
            <w:r>
              <w:rPr>
                <w:rFonts w:ascii="Times New Roman" w:eastAsia="宋体"/>
                <w:sz w:val="21"/>
              </w:rPr>
              <w:t xml:space="preserve">1044 人</w:t>
            </w:r>
          </w:p>
        </w:tc>
      </w:tr>
      <w:tr>
        <w:tc>
          <w:tcPr>
            <w:tcW w:w="0" w:type="auto"/>
          </w:tcPr>
          <w:p>
            <w:pPr/>
            <w:r>
              <w:rPr>
                <w:rFonts w:ascii="Times New Roman" w:eastAsia="宋体"/>
                <w:sz w:val="21"/>
              </w:rPr>
              <w:t xml:space="preserve">校园占地</w:t>
            </w:r>
          </w:p>
        </w:tc>
        <w:tc>
          <w:tcPr>
            <w:tcW w:w="0" w:type="auto"/>
          </w:tcPr>
          <w:p>
            <w:pPr/>
            <w:r>
              <w:rPr>
                <w:rFonts w:ascii="Times New Roman" w:eastAsia="宋体"/>
                <w:sz w:val="21"/>
              </w:rPr>
              <w:t xml:space="preserve">826 亩</w:t>
            </w:r>
          </w:p>
        </w:tc>
      </w:tr>
      <w:tr>
        <w:tc>
          <w:tcPr>
            <w:tcW w:w="0" w:type="auto"/>
          </w:tcPr>
          <w:p>
            <w:pPr/>
            <w:r>
              <w:rPr>
                <w:rFonts w:ascii="Times New Roman" w:eastAsia="宋体"/>
                <w:sz w:val="21"/>
              </w:rPr>
              <w:t xml:space="preserve">校区数量</w:t>
            </w:r>
          </w:p>
        </w:tc>
        <w:tc>
          <w:tcPr>
            <w:tcW w:w="0" w:type="auto"/>
          </w:tcPr>
          <w:p>
            <w:pPr/>
            <w:r>
              <w:rPr>
                <w:rFonts w:ascii="Times New Roman" w:eastAsia="宋体"/>
                <w:sz w:val="21"/>
              </w:rPr>
              <w:t xml:space="preserve">3 个</w:t>
            </w:r>
          </w:p>
        </w:tc>
      </w:tr>
      <w:tr>
        <w:tc>
          <w:tcPr>
            <w:tcW w:w="0" w:type="auto"/>
          </w:tcPr>
          <w:p>
            <w:pPr/>
            <w:r>
              <w:rPr>
                <w:rFonts w:ascii="Times New Roman" w:eastAsia="宋体"/>
                <w:sz w:val="21"/>
              </w:rPr>
              <w:t xml:space="preserve">上海财经大学统计与管理学院·2018 年合同经费</w:t>
            </w:r>
          </w:p>
        </w:tc>
        <w:tc>
          <w:tcPr>
            <w:tcW w:w="0" w:type="auto"/>
          </w:tcPr>
          <w:p>
            <w:pPr/>
            <w:r>
              <w:rPr>
                <w:rFonts w:ascii="Times New Roman" w:eastAsia="宋体"/>
                <w:sz w:val="21"/>
              </w:rPr>
              <w:t xml:space="preserve">428 万元</w:t>
            </w:r>
          </w:p>
        </w:tc>
      </w:tr>
    </w:tbl>
    <w:p>
      <w:pPr/>
      <w:r>
        <w:rPr>
          <w:rFonts w:ascii="Times New Roman" w:eastAsia="宋体"/>
          <w:sz w:val="21"/>
        </w:rPr>
        <w:t xml:space="preserve">学校以适应各类研究生培养目标为导向选聘各类导师，继续推进博导岗位制管理和硕导「双师型」队伍建设。</w:t>
      </w:r>
    </w:p>
    <w:p>
      <w:pPr>
        <w:pStyle w:val="Heading2"/>
      </w:pPr>
      <w:r>
        <w:rPr>
          <w:rFonts w:ascii="Times New Roman" w:eastAsia="宋体"/>
          <w:sz w:val="21"/>
        </w:rPr>
        <w:t xml:space="preserve">2.5　校区分划</w:t>
      </w:r>
    </w:p>
    <w:p>
      <w:pPr/>
      <w:r>
        <w:rPr>
          <w:rFonts w:ascii="Times New Roman" w:eastAsia="宋体"/>
          <w:sz w:val="21"/>
        </w:rPr>
        <w:t xml:space="preserve">学校校园占地 826 亩，目前分设 3 个 校区，分别为主校区（国定路 777 号、武川路 111 号、武东路 100 号）、中山北一路校区（中山北一路369号）和昆山路校区（昆山路146号）。</w:t>
      </w:r>
    </w:p>
    <w:p>
      <w:pPr/>
      <w:r>
        <w:rPr>
          <w:rFonts w:ascii="Times New Roman" w:eastAsia="宋体"/>
          <w:sz w:val="21"/>
        </w:rPr>
        <w:t xml:space="preserve">主校区是行政部门和绝大部分学院所在地，主要承担全日制本科生、研究生的教育教学任务；中山北一路校区现有商学院、国际文化交流学院、继续教育学院、国际教育学院以及部分学院的专业硕士办公室、培训办公室，主要承担 MBA 培养、留学生教育、成人本专科教学以及出国留学预科教育任务；昆山路校区主要承担继续教育相关的教学任务。</w:t>
      </w:r>
    </w:p>
    <w:p>
      <w:pPr/>
      <w:r>
        <w:rPr>
          <w:rFonts w:ascii="Times New Roman" w:eastAsia="宋体"/>
          <w:sz w:val="21"/>
        </w:rPr>
        <w:t xml:space="preserve">本项目所在的</w:t>
      </w:r>
      <w:r>
        <w:rPr>
          <w:b/>
          <w:rFonts w:ascii="Times New Roman" w:eastAsia="宋体"/>
          <w:sz w:val="21"/>
        </w:rPr>
        <w:t xml:space="preserve">中山北一路校区</w:t>
      </w:r>
      <w:r>
        <w:rPr>
          <w:rFonts w:ascii="Times New Roman" w:eastAsia="宋体"/>
          <w:sz w:val="21"/>
        </w:rPr>
        <w:t xml:space="preserve">承担着专业学位教育与留学生教育职能，其科研用房条件与学校「双一流」建设对统计学等一流学科的支撑要求之间，存在明显落差，这构成第三章必要性论证的现实基础。</w:t>
      </w:r>
    </w:p>
    <w:p>
      <w:pPr>
        <w:pStyle w:val="Heading1"/>
      </w:pPr>
      <w:r>
        <w:rPr>
          <w:rFonts w:ascii="Times New Roman" w:eastAsia="宋体"/>
          <w:sz w:val="21"/>
        </w:rPr>
        <w:t xml:space="preserve">第三章　项目建设背景及必要性分析</w:t>
      </w:r>
    </w:p>
    <w:p>
      <w:pPr>
        <w:pStyle w:val="Heading2"/>
      </w:pPr>
      <w:r>
        <w:rPr>
          <w:rFonts w:ascii="Times New Roman" w:eastAsia="宋体"/>
          <w:sz w:val="21"/>
        </w:rPr>
        <w:t xml:space="preserve">3.1　项目提出的背景</w:t>
      </w:r>
    </w:p>
    <w:p>
      <w:pPr>
        <w:pStyle w:val="Heading3"/>
      </w:pPr>
      <w:r>
        <w:rPr>
          <w:rFonts w:ascii="Times New Roman" w:eastAsia="宋体"/>
          <w:sz w:val="21"/>
        </w:rPr>
        <w:t xml:space="preserve">3.1.1　大数据研究的战略意义</w:t>
      </w:r>
    </w:p>
    <w:p>
      <w:pPr/>
      <w:r>
        <w:rPr>
          <w:rFonts w:ascii="Times New Roman" w:eastAsia="宋体"/>
          <w:sz w:val="21"/>
        </w:rPr>
        <w:t xml:space="preserve">大数据是以容量大、类型多、存取速度快、应用价值高为主要特征的数据集合，正快速发展为对数量巨大、来源分散、格式多样的数据进行采集、存储和关联分析，从中发现新知识、创造新价值、提升新能力的新一代信息技术和服务业态。数据是国家基础性战略资源。近年来，各主要国家纷纷将大数据作为国家发展战略，将产业发展作为大数据发展的核心。</w:t>
      </w:r>
    </w:p>
    <w:p>
      <w:pPr/>
      <w:r>
        <w:rPr>
          <w:rFonts w:ascii="Times New Roman" w:eastAsia="宋体"/>
          <w:sz w:val="21"/>
        </w:rPr>
        <w:t xml:space="preserve">在全球范围内，大数据技术发展迅猛，数据技术从早期在单机上处理单一类型数据，发展到当前在计算机集群上处理多类型数据。随着数据量发展到 PB、EB 级甚至更大，大数据专用计算机、异地分布式计算机集群、多类型多来源数据的处理和分析等通用技术以及各种面向领域的应用技术，成为大数据技术的发展趋势。</w:t>
      </w:r>
    </w:p>
    <w:p>
      <w:pPr/>
      <w:r>
        <w:rPr>
          <w:rFonts w:ascii="Times New Roman" w:eastAsia="宋体"/>
          <w:sz w:val="21"/>
        </w:rPr>
        <w:t xml:space="preserve">从国家战略层面看，《中共中央关于制定国民经济和社会发展第十三个五年规划的建议》提出实施国家大数据战略，推进数据资源开放共享；《国务院关于印发促进大数据发展行动纲要的通知》（国发〔2015〕50 号）明确了推进基础研究和核心技术攻关、完善大数据产业链、发展新兴产业大数据、加强专业人才培养等主要任务，其中明确提出鼓励高校设立数据科学和数据工程相关专业，鼓励采取跨校联合培养等方式开展跨学科大数据综合型人才培养。</w:t>
      </w:r>
    </w:p>
    <w:p>
      <w:pPr>
        <w:pStyle w:val="Heading3"/>
      </w:pPr>
      <w:r>
        <w:rPr>
          <w:rFonts w:ascii="Times New Roman" w:eastAsia="宋体"/>
          <w:sz w:val="21"/>
        </w:rPr>
        <w:t xml:space="preserve">3.1.2　学校整体发展目标</w:t>
      </w:r>
    </w:p>
    <w:p>
      <w:pPr/>
      <w:r>
        <w:rPr>
          <w:rFonts w:ascii="Times New Roman" w:eastAsia="宋体"/>
          <w:sz w:val="21"/>
        </w:rPr>
        <w:t xml:space="preserve">学校的愿景是：基于卓越的研究和教学，成为国际知名具有鲜明财经特色的高水平研究型大学。使命是：立德树人，培养具有全球视野和民族精神、富有创造力与决断力的卓越财经人才；探索真理，促进知识创造和知识传播。</w:t>
      </w:r>
    </w:p>
    <w:p>
      <w:pPr/>
      <w:r>
        <w:rPr>
          <w:rFonts w:ascii="Times New Roman" w:eastAsia="宋体"/>
          <w:sz w:val="21"/>
        </w:rPr>
        <w:t xml:space="preserve">按学校发展规划，到 2020 年，学校要坚实完成「三步走」战略的第二步，实现「初步建成具有鲜明财经特色的高水平研究型大学」的战略目标：整体上建成以「知识创新」为特征的研究型大学；学科上构建并完善以经济、管理学科为主体，经、管、法、文、理诸学科协调发展的学科平台；师资队伍规模基本稳定、结构优化；并形成一批国内有影响力、国际有竞争力的教学科研创新团队。</w:t>
      </w:r>
    </w:p>
    <w:p>
      <w:pPr/>
      <w:r>
        <w:rPr>
          <w:rFonts w:ascii="Times New Roman" w:eastAsia="宋体"/>
          <w:sz w:val="21"/>
        </w:rPr>
        <w:t xml:space="preserve">在师资队伍规模方面，规划提出教师规模基本稳定在 950 人 左右，并形成 30 人 左右的国际知名学术领军人才。在学科发展方面，规划提出一级学科由 18 个增加至更多，并进一步凝练学科发展方向。</w:t>
      </w:r>
    </w:p>
    <w:p>
      <w:pPr>
        <w:pStyle w:val="Heading3"/>
      </w:pPr>
      <w:r>
        <w:rPr>
          <w:rFonts w:ascii="Times New Roman" w:eastAsia="宋体"/>
          <w:sz w:val="21"/>
        </w:rPr>
        <w:t xml:space="preserve">3.1.3　各校区规划及定位</w:t>
      </w:r>
    </w:p>
    <w:p>
      <w:pPr/>
      <w:r>
        <w:rPr>
          <w:rFonts w:ascii="Times New Roman" w:eastAsia="宋体"/>
          <w:sz w:val="21"/>
        </w:rPr>
        <w:t xml:space="preserve">学校三个校区各有分工。主校区承担全日制本科生、研究生的教育教学任务，其三个区域分别以行政办公与运动区、教学与运动区、教学交流区为主要功能；中山北一路校区承担 MBA 培养、留学生教育、成人本专科教学及出国留学预科教育任务；昆山路校区承担继续教育相关的教学任务。</w:t>
      </w:r>
    </w:p>
    <w:p>
      <w:pPr/>
      <w:r>
        <w:rPr>
          <w:rFonts w:ascii="Times New Roman" w:eastAsia="宋体"/>
          <w:sz w:val="21"/>
        </w:rPr>
        <w:t xml:space="preserve">从功能定位看，中山北一路校区是学校专业学位教育与国际化办学的承载地，其教学科研用房条件的改善，直接关系到学校上述办学职能的实现质量。</w:t>
      </w:r>
    </w:p>
    <w:p>
      <w:pPr>
        <w:pStyle w:val="Heading3"/>
      </w:pPr>
      <w:r>
        <w:rPr>
          <w:rFonts w:ascii="Times New Roman" w:eastAsia="宋体"/>
          <w:sz w:val="21"/>
        </w:rPr>
        <w:t xml:space="preserve">3.1.4　学校「双一流」建设情况</w:t>
      </w:r>
    </w:p>
    <w:p>
      <w:pPr/>
      <w:r>
        <w:rPr>
          <w:rFonts w:ascii="Times New Roman" w:eastAsia="宋体"/>
          <w:sz w:val="21"/>
        </w:rPr>
        <w:t xml:space="preserve">建设世界一流大学和一流学科是国家重大战略决策。学校已入选为一流学科建设高校，其中统计学入选学校的一流学科。按学校学科建设规划，「经济学与商学」（涵盖统计学、理论经济学、应用经济学、工商管理四个一级学科）力争整体进入世界一流学科前列。</w:t>
      </w:r>
    </w:p>
    <w:p>
      <w:pPr/>
      <w:r>
        <w:rPr>
          <w:rFonts w:ascii="Times New Roman" w:eastAsia="宋体"/>
          <w:sz w:val="21"/>
        </w:rPr>
        <w:t xml:space="preserve">国家发展改革委、教育部印发的关于支持中央高校「双一流」建设项目储备申报的通知中提出，支持学科建设所需的基础设施和大型仪器装置装备建设，建设内容包括科学研究和实验用房、科技创新基地、中试基地等工程化和成果转化平台设施。这为本项目提供了明确的上位政策通道。</w:t>
      </w:r>
    </w:p>
    <w:p>
      <w:pPr>
        <w:pStyle w:val="Heading3"/>
      </w:pPr>
      <w:r>
        <w:rPr>
          <w:rFonts w:ascii="Times New Roman" w:eastAsia="宋体"/>
          <w:sz w:val="21"/>
        </w:rPr>
        <w:t xml:space="preserve">3.1.5　统计与管理学院发展概况与本项目的提出</w:t>
      </w:r>
    </w:p>
    <w:p>
      <w:pPr/>
      <w:r>
        <w:rPr>
          <w:rFonts w:ascii="Times New Roman" w:eastAsia="宋体"/>
          <w:sz w:val="21"/>
        </w:rPr>
        <w:t xml:space="preserve">上海财经大学统计与管理学院自 2015 年开始尝试大数据人才培养工作，与国家统计局共建研究机构，并在应用统计系本科专业中增设了大数据技术与数据科学方向。学院申报的「数据科学与大数据技术」本科专业于 2018 年获批设置。在研究生培养层面，学院在应用统计专业硕士原有方向基础上新增了人工智能与金融统计方向，并优化了统计学二级学科方向布局，着力培育「数据科学」方向。</w:t>
      </w:r>
    </w:p>
    <w:p>
      <w:pPr/>
      <w:r>
        <w:rPr>
          <w:rFonts w:ascii="Times New Roman" w:eastAsia="宋体"/>
          <w:sz w:val="21"/>
        </w:rPr>
        <w:t xml:space="preserve">在科研产出方面，学院已形成较为稳定的科研积淀与学术交流机制。相关科研与学术交流情况表明，学院在统计学学科方向的科研任务与人才培养规模均处于增长通道，对专门化科研空间的需求随之上升。</w:t>
      </w:r>
    </w:p>
    <w:p>
      <w:pPr/>
      <w:r>
        <w:rPr>
          <w:b/>
          <w:rFonts w:ascii="Times New Roman" w:eastAsia="宋体"/>
          <w:sz w:val="21"/>
        </w:rPr>
        <w:t xml:space="preserve">本项目的提出</w:t>
      </w:r>
      <w:r>
        <w:rPr>
          <w:rFonts w:ascii="Times New Roman" w:eastAsia="宋体"/>
          <w:sz w:val="21"/>
        </w:rPr>
        <w:t xml:space="preserve">：为实现学校「初步建成具有鲜明财经特色的高水平研究型大学」的战略目标，推进统计学这一世界一流学科的发展，提高相关学科科研水平，本项目提出对中山北一路校区原有第五教学楼进行拆除，重新建设大数据研究中心，整合校内大数据相关学科资源，为管理科学与量化信息研究中心、理论计算机研究中心、应用统计研究中心、数据科研与统计研究院等科研机构提供科研环境和场所空间。</w:t>
      </w:r>
    </w:p>
    <w:p>
      <w:pPr>
        <w:pStyle w:val="Heading2"/>
      </w:pPr>
      <w:r>
        <w:rPr>
          <w:rFonts w:ascii="Times New Roman" w:eastAsia="宋体"/>
          <w:sz w:val="21"/>
        </w:rPr>
        <w:t xml:space="preserve">3.2　项目建设的必要性</w:t>
      </w:r>
    </w:p>
    <w:p>
      <w:pPr/>
      <w:r>
        <w:rPr>
          <w:rFonts w:ascii="Times New Roman" w:eastAsia="宋体"/>
          <w:sz w:val="21"/>
        </w:rPr>
        <w:t xml:space="preserve">本章必要性论证按四个维度展开。需要先说明本类论证的一个通病：从「国家重视某领域」直接跳到「本单位必须建这栋楼」，中间那步推理许可（保证）常被省略。本稿对每一维度均如实标注其推理链是否完整。</w:t>
      </w:r>
    </w:p>
    <w:p>
      <w:pPr>
        <w:pStyle w:val="Heading3"/>
      </w:pPr>
      <w:r>
        <w:rPr>
          <w:rFonts w:ascii="Times New Roman" w:eastAsia="宋体"/>
          <w:sz w:val="21"/>
        </w:rPr>
        <w:t xml:space="preserve">3.2.1　提升我国新兴领域科研水平、加速向创新型经济转型发展的需要</w:t>
      </w:r>
    </w:p>
    <w:p>
      <w:pPr/>
      <w:r>
        <w:rPr>
          <w:rFonts w:ascii="Times New Roman" w:eastAsia="宋体"/>
          <w:sz w:val="21"/>
        </w:rPr>
        <w:t xml:space="preserve">「十三五」期间，战略性新兴产业持续为经济发展提供动力。新一代信息技术与制造、零售、医疗、出行等领域的渗透及应用，催生了一大批新产业、新业态、新模式。在大数据应用的技术需求牵引下，数据科学研究和人才培养引起各国及各大高校重视，国外多所高校纷纷成立数据科学研究机构。相比信息化发展先行的发达国家，我国在信息化、大数据领域的发展应用仍有差距。</w:t>
      </w:r>
    </w:p>
    <w:p>
      <w:pPr/>
      <w:r>
        <w:rPr>
          <w:rFonts w:ascii="Times New Roman" w:eastAsia="宋体"/>
          <w:sz w:val="21"/>
        </w:rPr>
        <w:t xml:space="preserve">国家规划提出深入实施创新驱动发展战略，加强基础研究，强化原始创新，推进有特色高水平大学和科研院所建设，在重大创新领域组建一批国家实验室。本项目作为学校大数据研究领域的重要建设项目，已纳入学校「十三五」基建规划。项目为鼓励科研创新、加强学术交流，设置了能满足不同科学研究需求的大中型科研用房。</w:t>
      </w:r>
    </w:p>
    <w:p>
      <w:pPr/>
      <w:r>
        <w:rPr>
          <w:b/>
          <w:rFonts w:ascii="Times New Roman" w:eastAsia="宋体"/>
          <w:sz w:val="21"/>
        </w:rPr>
        <w:t xml:space="preserve">因此，本项目的建设是提升我国新兴领域科研水平、加速向创新型经济转型发展的需要。</w:t>
      </w:r>
    </w:p>
    <w:p>
      <w:pPr>
        <w:ind w:left="420"/>
      </w:pPr>
      <w:r>
        <w:rPr>
          <w:b/>
          <w:rFonts w:ascii="Times New Roman" w:eastAsia="宋体"/>
          <w:sz w:val="21"/>
        </w:rPr>
        <w:t xml:space="preserve">论证完整性提示</w:t>
      </w:r>
      <w:r>
        <w:rPr>
          <w:rFonts w:ascii="Times New Roman" w:eastAsia="宋体"/>
          <w:sz w:val="21"/>
        </w:rPr>
        <w:t xml:space="preserve">：本维度中，「国家层面要求创新驱动」到「本单位须建设本栋建筑」之间的推理许可（即为什么国家层面的要求必须由本单位、以本规模和本时点来实现）在原报告中未单独写出。本稿如实保留该提示，不代为补写保证；建议在报审前补足这一环节。</w:t>
      </w:r>
    </w:p>
    <w:p>
      <w:pPr>
        <w:pStyle w:val="Heading3"/>
      </w:pPr>
      <w:r>
        <w:rPr>
          <w:rFonts w:ascii="Times New Roman" w:eastAsia="宋体"/>
          <w:sz w:val="21"/>
        </w:rPr>
        <w:t xml:space="preserve">3.2.2　推进上海大数据研究与发展、加快建设数字中国的需要</w:t>
      </w:r>
    </w:p>
    <w:p>
      <w:pPr/>
      <w:r>
        <w:rPr>
          <w:rFonts w:ascii="Times New Roman" w:eastAsia="宋体"/>
          <w:sz w:val="21"/>
        </w:rPr>
        <w:t xml:space="preserve">我国正在推进供给侧结构性改革和服务型政府建设，加快实施「互联网+」行动计划，为大数据产业创造了广阔的市场空间。国家已将大数据上升至国家战略，相关产业规划更指出推动大数据应用、加快传统产业数字化智能化，是支撑国家战略的重要抓手。</w:t>
      </w:r>
    </w:p>
    <w:p>
      <w:pPr/>
      <w:r>
        <w:rPr>
          <w:rFonts w:ascii="Times New Roman" w:eastAsia="宋体"/>
          <w:sz w:val="21"/>
        </w:rPr>
        <w:t xml:space="preserve">随着上海「四个中心」建设的全面推进，上海已经累计并将继续产生庞大的数据资源，大数据在众多领域的重要作用日益突显。目前，上海高校已设有若干大数据研究机构（如复旦大学大数据研究院、上海交通大学大数据工程技术研究中心、华东理工大学金融大数据研究中心等），而上海财经大学作为国家经济学基础人才培养基地，此前尚未建立相应的大数据专业研究平台，亟需配套相关基础设施，建立一套大数据研究体系，为师生提供良好的科研环境。</w:t>
      </w:r>
    </w:p>
    <w:p>
      <w:pPr/>
      <w:r>
        <w:rPr>
          <w:b/>
          <w:rFonts w:ascii="Times New Roman" w:eastAsia="宋体"/>
          <w:sz w:val="21"/>
        </w:rPr>
        <w:t xml:space="preserve">因此，本项目的建设是填补学校大数据研究机构空缺、推进上海大数据研究与发展、加快建设数字中国的必要举措。</w:t>
      </w:r>
    </w:p>
    <w:p>
      <w:pPr>
        <w:ind w:left="420"/>
      </w:pPr>
      <w:r>
        <w:rPr>
          <w:b/>
          <w:rFonts w:ascii="Times New Roman" w:eastAsia="宋体"/>
          <w:sz w:val="21"/>
        </w:rPr>
        <w:t xml:space="preserve">论证完整性提示</w:t>
      </w:r>
      <w:r>
        <w:rPr>
          <w:rFonts w:ascii="Times New Roman" w:eastAsia="宋体"/>
          <w:sz w:val="21"/>
        </w:rPr>
        <w:t xml:space="preserve">：「同类高校已建有类似平台、本校缺失」到「本校必须自建」之间，尚缺「缺失 ⇒ 必须自建」的保证，亦未论证共建、共享、租赁等替代方案是否可行。该提示如实保留。</w:t>
      </w:r>
    </w:p>
    <w:p>
      <w:pPr>
        <w:pStyle w:val="Heading3"/>
      </w:pPr>
      <w:r>
        <w:rPr>
          <w:rFonts w:ascii="Times New Roman" w:eastAsia="宋体"/>
          <w:sz w:val="21"/>
        </w:rPr>
        <w:t xml:space="preserve">3.2.3　改善中山北一路校区设施条件、建立良好科研环境的需要</w:t>
      </w:r>
    </w:p>
    <w:p>
      <w:pPr/>
      <w:r>
        <w:rPr>
          <w:rFonts w:ascii="Times New Roman" w:eastAsia="宋体"/>
          <w:sz w:val="21"/>
        </w:rPr>
        <w:t xml:space="preserve">一流学科的建设依赖于科研能力和科研水平的提升与创新，科研用房的建设则是其基础与支撑。中山北一路校区建成年代较早，校区内部分设备设施已不能满足学校当前发展需求。</w:t>
      </w:r>
    </w:p>
    <w:p>
      <w:pPr/>
      <w:r>
        <w:rPr>
          <w:rFonts w:ascii="Times New Roman" w:eastAsia="宋体"/>
          <w:sz w:val="21"/>
        </w:rPr>
        <w:t xml:space="preserve">原第五教学楼建设年代久远，为四层框架结构，建筑面积 2758 ㎡，为上世纪六十年代建筑上世纪六十年代。目前因经久失修，原教学楼内部设施较为陈旧，功能及布局不能适应教学与科研需求，后勤和使用部门也多次提出修缮改造建议。本项目将拆除该建筑，在相应地块重新建设大数据研究中心大楼，为各科研单位提供优质科研用房。</w:t>
      </w:r>
    </w:p>
    <w:p>
      <w:pPr/>
      <w:r>
        <w:rPr>
          <w:b/>
          <w:rFonts w:ascii="Times New Roman" w:eastAsia="宋体"/>
          <w:sz w:val="21"/>
        </w:rPr>
        <w:t xml:space="preserve">因此，本项目的建设是改善中山北一路校区设施条件、建立良好科研环境的直接需要。</w:t>
      </w:r>
      <w:r>
        <w:rPr>
          <w:rFonts w:ascii="Times New Roman" w:eastAsia="宋体"/>
          <w:sz w:val="21"/>
        </w:rPr>
        <w:t xml:space="preserve">本维度的推理链相对完整：既有建筑的老化与功能不符（论据）→ 简单修缮难以满足使用要求（保证）→ 需要拆除重建。</w:t>
      </w:r>
    </w:p>
    <w:p>
      <w:pPr>
        <w:pStyle w:val="Heading3"/>
      </w:pPr>
      <w:r>
        <w:rPr>
          <w:rFonts w:ascii="Times New Roman" w:eastAsia="宋体"/>
          <w:sz w:val="21"/>
        </w:rPr>
        <w:t xml:space="preserve">3.2.4　响应「双一流」高校建设、实现高水平研究型大学战略目标的需要</w:t>
      </w:r>
    </w:p>
    <w:p>
      <w:pPr/>
      <w:r>
        <w:rPr>
          <w:rFonts w:ascii="Times New Roman" w:eastAsia="宋体"/>
          <w:sz w:val="21"/>
        </w:rPr>
        <w:t xml:space="preserve">建设世界一流大学和一流学科，对于实现我国从高等教育大国到高等教育强国的历史性跨越具有重要意义。《国家中长期教育改革和发展规划纲要（2010—2020 年）》提出加快创建世界一流大学和高水平大学的步伐，形成一批世界一流学科，产生一批国际领先的原创性成果。</w:t>
      </w:r>
    </w:p>
    <w:p>
      <w:pPr/>
      <w:r>
        <w:rPr>
          <w:rFonts w:ascii="Times New Roman" w:eastAsia="宋体"/>
          <w:sz w:val="21"/>
        </w:rPr>
        <w:t xml:space="preserve">学校已将「创建世界一流大学」作为坚定不移的奋斗目标，并入选为一流学科建设高校。围绕「双一流」国家战略，学校正加快实施优势学科攀登战略。本项目结合学校统计学这一世界一流学科的发展情况和需求，建设大数据研究相关学科科研用房，对加快建成一批世界一流学科能够起到支撑作用。</w:t>
      </w:r>
    </w:p>
    <w:p>
      <w:pPr/>
      <w:r>
        <w:rPr>
          <w:b/>
          <w:rFonts w:ascii="Times New Roman" w:eastAsia="宋体"/>
          <w:sz w:val="21"/>
        </w:rPr>
        <w:t xml:space="preserve">因此，本项目的建设是推动学校「双一流」建设的重要基础设施项目，也是实现学校建设目标的重要保障。</w:t>
      </w:r>
    </w:p>
    <w:p>
      <w:pPr>
        <w:pStyle w:val="Heading3"/>
      </w:pPr>
      <w:r>
        <w:rPr>
          <w:rFonts w:ascii="Times New Roman" w:eastAsia="宋体"/>
          <w:sz w:val="21"/>
        </w:rPr>
        <w:t xml:space="preserve">3.2.5　综上所述</w:t>
      </w:r>
    </w:p>
    <w:p>
      <w:pPr/>
      <w:r>
        <w:rPr>
          <w:rFonts w:ascii="Times New Roman" w:eastAsia="宋体"/>
          <w:sz w:val="21"/>
        </w:rPr>
        <w:t xml:space="preserve">综上所述，项目的建设是提升我国新兴领域科研水平、加速向创新型经济转型发展的需要；是推进上海大数据研究与发展、加快建设数字中国的需要；是改善中山北一路校区设施条件、建立良好科研环境的需要；是响应「双一流」高校建设、实现高水平研究型大学战略目标的需要。</w:t>
      </w:r>
      <w:r>
        <w:rPr>
          <w:b/>
          <w:rFonts w:ascii="Times New Roman" w:eastAsia="宋体"/>
          <w:sz w:val="21"/>
        </w:rPr>
        <w:t xml:space="preserve">因此，项目的建设是十分必要的。</w:t>
      </w:r>
    </w:p>
    <w:p>
      <w:pPr/>
      <w:r>
        <w:rPr>
          <w:rFonts w:ascii="Times New Roman" w:eastAsia="宋体"/>
          <w:sz w:val="21"/>
        </w:rPr>
        <w:t xml:space="preserve">依据复核：本项目「建设必要性」维度中，「改善校区设施条件」与「响应双一流建设」两个维度的推理链完整，而「国家与行业背景」「区域发展」两个维度存在上述推理许可缺环。必要性结论整体成立，但建议按提示补足缺环后再行报审。</w:t>
      </w:r>
    </w:p>
    <w:p>
      <w:pPr>
        <w:pStyle w:val="Heading1"/>
      </w:pPr>
      <w:r>
        <w:rPr>
          <w:rFonts w:ascii="Times New Roman" w:eastAsia="宋体"/>
          <w:sz w:val="21"/>
        </w:rPr>
        <w:t xml:space="preserve">第四章　项目选址及建设条件</w:t>
      </w:r>
    </w:p>
    <w:p>
      <w:pPr>
        <w:pStyle w:val="Heading2"/>
      </w:pPr>
      <w:r>
        <w:rPr>
          <w:rFonts w:ascii="Times New Roman" w:eastAsia="宋体"/>
          <w:sz w:val="21"/>
        </w:rPr>
        <w:t xml:space="preserve">4.1　项目选址</w:t>
      </w:r>
    </w:p>
    <w:p>
      <w:pPr/>
      <w:r>
        <w:rPr>
          <w:rFonts w:ascii="Times New Roman" w:eastAsia="宋体"/>
          <w:sz w:val="21"/>
        </w:rPr>
        <w:t xml:space="preserve">本项目位于上海财经大学中山北一路校区东部，校区东面毗邻赤峰路、南近广秀路、西近广灵一路、北至广灵二路。项目地块位于校区东部，西侧为校园绿地，东侧临近现有建筑教育中心，北侧靠近校内便利店，南侧为学校下沉式广场及图书馆。</w:t>
      </w:r>
    </w:p>
    <w:p>
      <w:pPr/>
      <w:r>
        <w:rPr>
          <w:rFonts w:ascii="Times New Roman" w:eastAsia="宋体"/>
          <w:sz w:val="21"/>
        </w:rPr>
        <w:t xml:space="preserve">项目基地为原有建筑第五教学楼。该建筑为上世纪六十年代建造的老建筑，建筑面积 2758 ㎡，虽经过多次改造，建筑结构老化、功能布局不合理等情况难以改善。为充分利用校区有限的土地资源，本项目将对其进行拆除后重建；目前拆除手续正同步进行办理中。</w:t>
      </w:r>
      <w:r>
        <w:rPr>
          <w:b/>
          <w:rFonts w:ascii="Times New Roman" w:eastAsia="宋体"/>
          <w:sz w:val="21"/>
        </w:rPr>
        <w:t xml:space="preserve">（原有第五教学楼拆除手续：待补充——原文：拆除手续正同步进行办理中；附件清单亦标注（待补充）。）</w:t>
      </w:r>
    </w:p>
    <w:p>
      <w:pPr/>
      <w:r>
        <w:rPr>
          <w:rFonts w:ascii="Times New Roman" w:eastAsia="宋体"/>
          <w:sz w:val="21"/>
        </w:rPr>
        <w:t xml:space="preserve">项目位于成熟的校区内，周边供水、供电配套设施齐全，场地平坦，交通便捷，建设条件良好。</w:t>
      </w:r>
    </w:p>
    <w:p>
      <w:pPr>
        <w:pStyle w:val="Heading2"/>
      </w:pPr>
      <w:r>
        <w:rPr>
          <w:rFonts w:ascii="Times New Roman" w:eastAsia="宋体"/>
          <w:sz w:val="21"/>
        </w:rPr>
        <w:t xml:space="preserve">4.2　建设条件分析</w:t>
      </w:r>
    </w:p>
    <w:p>
      <w:pPr>
        <w:pStyle w:val="Heading3"/>
      </w:pPr>
      <w:r>
        <w:rPr>
          <w:rFonts w:ascii="Times New Roman" w:eastAsia="宋体"/>
          <w:sz w:val="21"/>
        </w:rPr>
        <w:t xml:space="preserve">4.2.1　自然条件</w:t>
      </w:r>
    </w:p>
    <w:p>
      <w:pPr/>
      <w:r>
        <w:rPr>
          <w:b/>
          <w:rFonts w:ascii="Times New Roman" w:eastAsia="宋体"/>
          <w:sz w:val="21"/>
        </w:rPr>
        <w:t xml:space="preserve">气候条件</w:t>
      </w:r>
      <w:r>
        <w:rPr>
          <w:rFonts w:ascii="Times New Roman" w:eastAsia="宋体"/>
          <w:sz w:val="21"/>
        </w:rPr>
        <w:t xml:space="preserve">：上海市位于北亚热带南缘，属亚热带季风气候，气候温和、雨水丰沛、光照充足、四季分明。项目所在地虹口区年日照时数及年总辐射量属上海的高值区，其分布规律大致自南而北呈递增趋势；区域年总辐射量为 114~118 千卡/平方厘米·年，年降雨量 1040~1060 毫米，汛期雨量 600~640 毫米。上述气候参数是暖通空调室外计算参数与屋面雨水设计的输入，在第六章相应专业中引用。</w:t>
      </w:r>
    </w:p>
    <w:p>
      <w:pPr/>
      <w:r>
        <w:rPr>
          <w:b/>
          <w:rFonts w:ascii="Times New Roman" w:eastAsia="宋体"/>
          <w:sz w:val="21"/>
        </w:rPr>
        <w:t xml:space="preserve">地形地貌</w:t>
      </w:r>
      <w:r>
        <w:rPr>
          <w:rFonts w:ascii="Times New Roman" w:eastAsia="宋体"/>
          <w:sz w:val="21"/>
        </w:rPr>
        <w:t xml:space="preserve">：项目所在虹口区位于上海市中心城区东北部，为坦荡低平的平原，平均海拔高度 2.6 m，地势趋势由东向西低微倾斜。在江流潮共同作用下泥沙不断堆积，形成典型的河口三角洲冲平原。地质条件比较均匀：地面以下0.5m~1m处为耕土层，1m~5m处为粘土或亚粘土层，5m或更深为亚粘土夹砂或细砂层。</w:t>
      </w:r>
    </w:p>
    <w:p>
      <w:pPr/>
      <w:r>
        <w:rPr>
          <w:b/>
          <w:rFonts w:ascii="Times New Roman" w:eastAsia="宋体"/>
          <w:sz w:val="21"/>
        </w:rPr>
        <w:t xml:space="preserve">水文</w:t>
      </w:r>
      <w:r>
        <w:rPr>
          <w:rFonts w:ascii="Times New Roman" w:eastAsia="宋体"/>
          <w:sz w:val="21"/>
        </w:rPr>
        <w:t xml:space="preserve">：区域潜水位一般埋深 0.5~1.5 米；水化学类型为重碳酸一钙一镁及重碳酸一氯一钙一钠型水，矿化度小于 1.0 克/升。单井出水量（井径 10 英寸、水位降深 5 米时）为 3000~5000 吨/日，水质满足要求。</w:t>
      </w:r>
    </w:p>
    <w:p>
      <w:pPr/>
      <w:r>
        <w:rPr>
          <w:b/>
          <w:rFonts w:ascii="Times New Roman" w:eastAsia="宋体"/>
          <w:sz w:val="21"/>
        </w:rPr>
        <w:t xml:space="preserve">地震</w:t>
      </w:r>
      <w:r>
        <w:rPr>
          <w:rFonts w:ascii="Times New Roman" w:eastAsia="宋体"/>
          <w:sz w:val="21"/>
        </w:rPr>
        <w:t xml:space="preserve">：项目所在地位于华北地震区东南边缘，地震强度中等、频度较低。</w:t>
      </w:r>
    </w:p>
    <w:p>
      <w:pPr/>
      <w:r>
        <w:rPr>
          <w:rFonts w:ascii="Times New Roman" w:eastAsia="宋体"/>
          <w:sz w:val="21"/>
        </w:rPr>
        <w:t xml:space="preserve">需要说明的是，地震相关的设计参数直接决定结构计算输入，必须按项目所在地而非单位注册地取值。本项目的抗震设防参数存在需要裁决的差异，详见第六章 6.3 节。</w:t>
      </w:r>
    </w:p>
    <w:p>
      <w:pPr>
        <w:pStyle w:val="Heading3"/>
      </w:pPr>
      <w:r>
        <w:rPr>
          <w:rFonts w:ascii="Times New Roman" w:eastAsia="宋体"/>
          <w:sz w:val="21"/>
        </w:rPr>
        <w:t xml:space="preserve">4.2.2　外部配套条件</w:t>
      </w:r>
    </w:p>
    <w:p>
      <w:pPr/>
      <w:r>
        <w:rPr>
          <w:rFonts w:ascii="Times New Roman" w:eastAsia="宋体"/>
          <w:sz w:val="21"/>
        </w:rPr>
        <w:t xml:space="preserve">项目所在地的供水、排水、供电、交通条件齐备，有利于项目的建设。其中：</w:t>
      </w:r>
    </w:p>
    <w:p>
      <w:pPr/>
      <w:r>
        <w:rPr>
          <w:b/>
          <w:rFonts w:ascii="Times New Roman" w:eastAsia="宋体"/>
          <w:sz w:val="21"/>
        </w:rPr>
        <w:t xml:space="preserve">供水</w:t>
      </w:r>
      <w:r>
        <w:rPr>
          <w:rFonts w:ascii="Times New Roman" w:eastAsia="宋体"/>
          <w:sz w:val="21"/>
        </w:rPr>
        <w:t xml:space="preserve">：本项目水源为市政供水管网；市政供水管网。室外消防用水采用室外原有的消防管网；室内消防用水采用单独设置消防泵房供水；生活直供用水采用校区原有供水系统。</w:t>
      </w:r>
    </w:p>
    <w:p>
      <w:pPr/>
      <w:r>
        <w:rPr>
          <w:b/>
          <w:rFonts w:ascii="Times New Roman" w:eastAsia="宋体"/>
          <w:sz w:val="21"/>
        </w:rPr>
        <w:t xml:space="preserve">排水</w:t>
      </w:r>
      <w:r>
        <w:rPr>
          <w:rFonts w:ascii="Times New Roman" w:eastAsia="宋体"/>
          <w:sz w:val="21"/>
        </w:rPr>
        <w:t xml:space="preserve">：室内污废合流；室外污废合流、雨污分流。单体建筑生活污水经室外污水管网收集后就近排入校区预留的污水井内。</w:t>
      </w:r>
    </w:p>
    <w:p>
      <w:pPr/>
      <w:r>
        <w:rPr>
          <w:b/>
          <w:rFonts w:ascii="Times New Roman" w:eastAsia="宋体"/>
          <w:sz w:val="21"/>
        </w:rPr>
        <w:t xml:space="preserve">供电</w:t>
      </w:r>
      <w:r>
        <w:rPr>
          <w:rFonts w:ascii="Times New Roman" w:eastAsia="宋体"/>
          <w:sz w:val="21"/>
        </w:rPr>
        <w:t xml:space="preserve">：从学校原变电站引来5回路380V电源，电缆穿管埋地敷设至本工程配电间；二级负荷电源引自不同变压器母线段。原变电站变压器2台1000kVA，现2台2000kVA，并增设低压配电柜。</w:t>
      </w:r>
      <w:r>
        <w:rPr>
          <w:b/>
          <w:rFonts w:ascii="Times New Roman" w:eastAsia="宋体"/>
          <w:sz w:val="21"/>
        </w:rPr>
        <w:t xml:space="preserve">（变压器容量匹配口径：待补充——原文给出总计算负荷 952kW 与增容后 2×2000kVA，未给功率因数与需要系数，无法复算匹配性。）</w:t>
      </w:r>
    </w:p>
    <w:p>
      <w:pPr/>
      <w:r>
        <w:rPr>
          <w:b/>
          <w:rFonts w:ascii="Times New Roman" w:eastAsia="宋体"/>
          <w:sz w:val="21"/>
        </w:rPr>
        <w:t xml:space="preserve">交通</w:t>
      </w:r>
      <w:r>
        <w:rPr>
          <w:rFonts w:ascii="Times New Roman" w:eastAsia="宋体"/>
          <w:sz w:val="21"/>
        </w:rPr>
        <w:t xml:space="preserve">：项目位于校区内，周边交通条件成熟，出入便利。</w:t>
      </w:r>
    </w:p>
    <w:p>
      <w:pPr/>
      <w:r>
        <w:rPr>
          <w:b/>
          <w:rFonts w:ascii="Times New Roman" w:eastAsia="宋体"/>
          <w:sz w:val="21"/>
        </w:rPr>
        <w:t xml:space="preserve">综上，本项目建设条件具备，建设环境良好。</w:t>
      </w:r>
    </w:p>
    <w:p>
      <w:pPr>
        <w:ind w:left="420"/>
      </w:pPr>
      <w:r>
        <w:rPr>
          <w:b/>
          <w:rFonts w:ascii="Times New Roman" w:eastAsia="宋体"/>
          <w:sz w:val="21"/>
        </w:rPr>
        <w:t xml:space="preserve">要素保障说明</w:t>
      </w:r>
      <w:r>
        <w:rPr>
          <w:rFonts w:ascii="Times New Roman" w:eastAsia="宋体"/>
          <w:sz w:val="21"/>
        </w:rPr>
        <w:t xml:space="preserve">：上述为区域供给能力的描述。各要素对本项目的</w:t>
      </w:r>
      <w:r>
        <w:rPr>
          <w:b/>
          <w:rFonts w:ascii="Times New Roman" w:eastAsia="宋体"/>
          <w:sz w:val="21"/>
        </w:rPr>
        <w:t xml:space="preserve">实际接入条件与接入意见</w:t>
      </w:r>
      <w:r>
        <w:rPr>
          <w:rFonts w:ascii="Times New Roman" w:eastAsia="宋体"/>
          <w:sz w:val="21"/>
        </w:rPr>
        <w:t xml:space="preserve">（如供电增容、市政接驳）仍须向建设单位与市政部门确认；两者应分开表述，不应以区域供给能力代替本项目接入条件的落实。原报告已明确「用水、用电增容等大市政配套费在校区内统筹考虑，本项目内未含」，该边界须在第五章投资估算中同步体现。</w:t>
      </w:r>
    </w:p>
    <w:p>
      <w:pPr>
        <w:pStyle w:val="Heading1"/>
      </w:pPr>
      <w:r>
        <w:rPr>
          <w:rFonts w:ascii="Times New Roman" w:eastAsia="宋体"/>
          <w:sz w:val="21"/>
        </w:rPr>
        <w:t xml:space="preserve">第五章　项目建设内容及规模</w:t>
      </w:r>
    </w:p>
    <w:p>
      <w:pPr/>
      <w:r>
        <w:rPr>
          <w:rFonts w:ascii="Times New Roman" w:eastAsia="宋体"/>
          <w:sz w:val="21"/>
        </w:rPr>
        <w:t xml:space="preserve">本项目建设内容主要为科研用房及部分交流讨论等公共服务配套用房，为管理科学与量化信息研究中心、理论计算机研究中心、应用统计研究中心、数据科研与统计研究院等科研单位提供科研场所和空间。</w:t>
      </w:r>
    </w:p>
    <w:p>
      <w:pPr/>
      <w:r>
        <w:rPr>
          <w:rFonts w:ascii="Times New Roman" w:eastAsia="宋体"/>
          <w:sz w:val="21"/>
        </w:rPr>
        <w:t xml:space="preserve">项目规模需求参照《普通高等学校建筑面积指标》（建标﹝2018﹞32 号）中相关用房配置标准进行测算。本章是全篇的数据源头：后续各章的面积、造价、负荷、投资均以本章的规模结论为输入。因此本章按「分步可核」的要求展开，每一步都给出计算依据与算式。</w:t>
      </w:r>
    </w:p>
    <w:p>
      <w:pPr>
        <w:pStyle w:val="Heading2"/>
      </w:pPr>
      <w:r>
        <w:rPr>
          <w:rFonts w:ascii="Times New Roman" w:eastAsia="宋体"/>
          <w:sz w:val="21"/>
        </w:rPr>
        <w:t xml:space="preserve">5.1　管理科学与量化信息研究中心</w:t>
      </w:r>
    </w:p>
    <w:p>
      <w:pPr/>
      <w:r>
        <w:rPr>
          <w:rFonts w:ascii="Times New Roman" w:eastAsia="宋体"/>
          <w:sz w:val="21"/>
        </w:rPr>
        <w:t xml:space="preserve">该中心以管理科学中的量化方法为突破方向，对国际研究潮流中的前沿问题开展工作，同时将方法论研究与学院的信息管理、电子商务等学科开展交叉研究，带动学院多学科发展。中心已形成由多名研究人员与研究生本科生组成的研究队伍，并聘请多所著名高校的特聘教授与访问学者。</w:t>
      </w:r>
    </w:p>
    <w:p>
      <w:pPr/>
      <w:r>
        <w:rPr>
          <w:rFonts w:ascii="Times New Roman" w:eastAsia="宋体"/>
          <w:sz w:val="21"/>
        </w:rPr>
        <w:t xml:space="preserve">根据该中心现有科研团队及未来发展需求，规划在现有科研人员的基础上拟再引进部分人员。规划人数如下表。</w:t>
      </w:r>
    </w:p>
    <w:p>
      <w:pPr/>
      <w:r>
        <w:rPr>
          <w:b/>
          <w:rFonts w:ascii="Times New Roman" w:eastAsia="宋体"/>
          <w:sz w:val="21"/>
        </w:rPr>
        <w:t xml:space="preserve">表5-1、表5-2、表5-3、表5-4 各研究中心规划人数（本稿合并呈现；表5-1 管理科学与量化信息研究中心、表5-2 理论计算机研究中心、表5-3 应用统计研究中心、表5-4 数据科研与统计研究院）</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科研机构</w:t>
            </w:r>
          </w:p>
        </w:tc>
        <w:tc>
          <w:tcPr>
            <w:tcW w:w="0" w:type="auto"/>
          </w:tcPr>
          <w:p>
            <w:pPr/>
            <w:r>
              <w:rPr>
                <w:b/>
                <w:rFonts w:ascii="Times New Roman" w:eastAsia="宋体"/>
                <w:sz w:val="21"/>
              </w:rPr>
              <w:t xml:space="preserve">科研人员（人）</w:t>
            </w:r>
          </w:p>
        </w:tc>
        <w:tc>
          <w:tcPr>
            <w:tcW w:w="0" w:type="auto"/>
          </w:tcPr>
          <w:p>
            <w:pPr/>
            <w:r>
              <w:rPr>
                <w:b/>
                <w:rFonts w:ascii="Times New Roman" w:eastAsia="宋体"/>
                <w:sz w:val="21"/>
              </w:rPr>
              <w:t xml:space="preserve">研究生/博士生/访问学者（人）</w:t>
            </w:r>
          </w:p>
        </w:tc>
        <w:tc>
          <w:tcPr>
            <w:tcW w:w="0" w:type="auto"/>
          </w:tcPr>
          <w:p>
            <w:pPr/>
            <w:r>
              <w:rPr>
                <w:b/>
                <w:rFonts w:ascii="Times New Roman" w:eastAsia="宋体"/>
                <w:sz w:val="21"/>
              </w:rPr>
              <w:t xml:space="preserve">合计（人）</w:t>
            </w:r>
          </w:p>
        </w:tc>
      </w:tr>
      <w:tr>
        <w:tc>
          <w:tcPr>
            <w:tcW w:w="0" w:type="auto"/>
          </w:tcPr>
          <w:p>
            <w:pPr/>
            <w:r>
              <w:rPr>
                <w:rFonts w:ascii="Times New Roman" w:eastAsia="宋体"/>
                <w:sz w:val="21"/>
              </w:rPr>
              <w:t xml:space="preserve">管理科学与量化信息研究中心</w:t>
            </w:r>
          </w:p>
        </w:tc>
        <w:tc>
          <w:tcPr>
            <w:tcW w:w="0" w:type="auto"/>
          </w:tcPr>
          <w:p>
            <w:pPr/>
            <w:r>
              <w:rPr>
                <w:rFonts w:ascii="Times New Roman" w:eastAsia="宋体"/>
                <w:sz w:val="21"/>
              </w:rPr>
              <w:t xml:space="preserve">65</w:t>
            </w:r>
          </w:p>
        </w:tc>
        <w:tc>
          <w:tcPr>
            <w:tcW w:w="0" w:type="auto"/>
          </w:tcPr>
          <w:p>
            <w:pPr/>
            <w:r>
              <w:rPr>
                <w:rFonts w:ascii="Times New Roman" w:eastAsia="宋体"/>
                <w:sz w:val="21"/>
              </w:rPr>
              <w:t xml:space="preserve">300</w:t>
            </w:r>
          </w:p>
        </w:tc>
        <w:tc>
          <w:tcPr>
            <w:tcW w:w="0" w:type="auto"/>
          </w:tcPr>
          <w:p>
            <w:pPr/>
            <w:r>
              <w:rPr>
                <w:rFonts w:ascii="Times New Roman" w:eastAsia="宋体"/>
                <w:sz w:val="21"/>
              </w:rPr>
              <w:t xml:space="preserve">365</w:t>
            </w:r>
          </w:p>
        </w:tc>
      </w:tr>
      <w:tr>
        <w:tc>
          <w:tcPr>
            <w:tcW w:w="0" w:type="auto"/>
          </w:tcPr>
          <w:p>
            <w:pPr/>
            <w:r>
              <w:rPr>
                <w:rFonts w:ascii="Times New Roman" w:eastAsia="宋体"/>
                <w:sz w:val="21"/>
              </w:rPr>
              <w:t xml:space="preserve">理论计算机研究中心</w:t>
            </w:r>
          </w:p>
        </w:tc>
        <w:tc>
          <w:tcPr>
            <w:tcW w:w="0" w:type="auto"/>
          </w:tcPr>
          <w:p>
            <w:pPr/>
            <w:r>
              <w:rPr>
                <w:rFonts w:ascii="Times New Roman" w:eastAsia="宋体"/>
                <w:sz w:val="21"/>
              </w:rPr>
              <w:t xml:space="preserve">60</w:t>
            </w:r>
          </w:p>
        </w:tc>
        <w:tc>
          <w:tcPr>
            <w:tcW w:w="0" w:type="auto"/>
          </w:tcPr>
          <w:p>
            <w:pPr/>
            <w:r>
              <w:rPr>
                <w:rFonts w:ascii="Times New Roman" w:eastAsia="宋体"/>
                <w:sz w:val="21"/>
              </w:rPr>
              <w:t xml:space="preserve">300</w:t>
            </w:r>
          </w:p>
        </w:tc>
        <w:tc>
          <w:tcPr>
            <w:tcW w:w="0" w:type="auto"/>
          </w:tcPr>
          <w:p>
            <w:pPr/>
            <w:r>
              <w:rPr>
                <w:rFonts w:ascii="Times New Roman" w:eastAsia="宋体"/>
                <w:sz w:val="21"/>
              </w:rPr>
              <w:t xml:space="preserve">360</w:t>
            </w:r>
          </w:p>
        </w:tc>
      </w:tr>
      <w:tr>
        <w:tc>
          <w:tcPr>
            <w:tcW w:w="0" w:type="auto"/>
          </w:tcPr>
          <w:p>
            <w:pPr/>
            <w:r>
              <w:rPr>
                <w:rFonts w:ascii="Times New Roman" w:eastAsia="宋体"/>
                <w:sz w:val="21"/>
              </w:rPr>
              <w:t xml:space="preserve">应用统计研究中心</w:t>
            </w:r>
          </w:p>
        </w:tc>
        <w:tc>
          <w:tcPr>
            <w:tcW w:w="0" w:type="auto"/>
          </w:tcPr>
          <w:p>
            <w:pPr/>
            <w:r>
              <w:rPr>
                <w:rFonts w:ascii="Times New Roman" w:eastAsia="宋体"/>
                <w:sz w:val="21"/>
              </w:rPr>
              <w:t xml:space="preserve">120</w:t>
            </w:r>
          </w:p>
        </w:tc>
        <w:tc>
          <w:tcPr>
            <w:tcW w:w="0" w:type="auto"/>
          </w:tcPr>
          <w:p>
            <w:pPr/>
            <w:r>
              <w:rPr>
                <w:rFonts w:ascii="Times New Roman" w:eastAsia="宋体"/>
                <w:sz w:val="21"/>
              </w:rPr>
              <w:t xml:space="preserve">400</w:t>
            </w:r>
          </w:p>
        </w:tc>
        <w:tc>
          <w:tcPr>
            <w:tcW w:w="0" w:type="auto"/>
          </w:tcPr>
          <w:p>
            <w:pPr/>
            <w:r>
              <w:rPr>
                <w:rFonts w:ascii="Times New Roman" w:eastAsia="宋体"/>
                <w:sz w:val="21"/>
              </w:rPr>
              <w:t xml:space="preserve">520</w:t>
            </w:r>
          </w:p>
        </w:tc>
      </w:tr>
      <w:tr>
        <w:tc>
          <w:tcPr>
            <w:tcW w:w="0" w:type="auto"/>
          </w:tcPr>
          <w:p>
            <w:pPr/>
            <w:r>
              <w:rPr>
                <w:rFonts w:ascii="Times New Roman" w:eastAsia="宋体"/>
                <w:sz w:val="21"/>
              </w:rPr>
              <w:t xml:space="preserve">数据科研与统计研究院</w:t>
            </w:r>
          </w:p>
        </w:tc>
        <w:tc>
          <w:tcPr>
            <w:tcW w:w="0" w:type="auto"/>
          </w:tcPr>
          <w:p>
            <w:pPr/>
            <w:r>
              <w:rPr>
                <w:rFonts w:ascii="Times New Roman" w:eastAsia="宋体"/>
                <w:sz w:val="21"/>
              </w:rPr>
              <w:t xml:space="preserve">70</w:t>
            </w:r>
          </w:p>
        </w:tc>
        <w:tc>
          <w:tcPr>
            <w:tcW w:w="0" w:type="auto"/>
          </w:tcPr>
          <w:p>
            <w:pPr/>
            <w:r>
              <w:rPr>
                <w:rFonts w:ascii="Times New Roman" w:eastAsia="宋体"/>
                <w:sz w:val="21"/>
              </w:rPr>
              <w:t xml:space="preserve">350</w:t>
            </w:r>
          </w:p>
        </w:tc>
        <w:tc>
          <w:tcPr>
            <w:tcW w:w="0" w:type="auto"/>
          </w:tcPr>
          <w:p>
            <w:pPr/>
            <w:r>
              <w:rPr>
                <w:rFonts w:ascii="Times New Roman" w:eastAsia="宋体"/>
                <w:sz w:val="21"/>
              </w:rPr>
              <w:t xml:space="preserve">420</w:t>
            </w:r>
          </w:p>
        </w:tc>
      </w:tr>
      <w:tr>
        <w:tc>
          <w:tcPr>
            <w:tcW w:w="0" w:type="auto"/>
          </w:tcPr>
          <w:p>
            <w:pPr/>
            <w:r>
              <w:rPr>
                <w:rFonts w:ascii="Times New Roman" w:eastAsia="宋体"/>
                <w:sz w:val="21"/>
              </w:rPr>
              <w:t xml:space="preserve">合计</w:t>
            </w:r>
          </w:p>
        </w:tc>
        <w:tc>
          <w:tcPr>
            <w:tcW w:w="0" w:type="auto"/>
          </w:tcPr>
          <w:p>
            <w:pPr/>
            <w:r>
              <w:rPr>
                <w:rFonts w:ascii="Times New Roman" w:eastAsia="宋体"/>
                <w:sz w:val="21"/>
              </w:rPr>
              <w:t xml:space="preserve">315</w:t>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合计</w:t>
            </w:r>
          </w:p>
        </w:tc>
        <w:tc>
          <w:tcPr>
            <w:tcW w:w="0" w:type="auto"/>
          </w:tcPr>
          <w:p>
            <w:pPr/>
            <w:r>
              <w:rPr>
                <w:rFonts w:ascii="Times New Roman" w:eastAsia="宋体"/>
                <w:sz w:val="21"/>
              </w:rPr>
              <w:t xml:space="preserve">1350</w:t>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合计（表5-6 口径）</w:t>
            </w:r>
          </w:p>
        </w:tc>
        <w:tc>
          <w:tcPr>
            <w:tcW w:w="0" w:type="auto"/>
          </w:tcPr>
          <w:p>
            <w:pPr/>
            <w:r>
              <w:rPr>
                <w:rFonts w:ascii="Times New Roman" w:eastAsia="宋体"/>
                <w:sz w:val="21"/>
              </w:rPr>
              <w:t xml:space="preserve">1665</w:t>
            </w:r>
          </w:p>
        </w:tc>
        <w:tc>
          <w:tcPr>
            <w:tcW w:w="0" w:type="auto"/>
          </w:tcPr>
          <w:p>
            <w:pPr/>
            <w:r>
              <w:t xml:space="preserve"/>
            </w:r>
          </w:p>
        </w:tc>
        <w:tc>
          <w:tcPr>
            <w:tcW w:w="0" w:type="auto"/>
          </w:tcPr>
          <w:p>
            <w:pPr/>
            <w:r>
              <w:t xml:space="preserve"/>
            </w:r>
          </w:p>
        </w:tc>
      </w:tr>
    </w:tbl>
    <w:p>
      <w:pPr/>
      <w:r>
        <w:rPr>
          <w:rFonts w:ascii="Times New Roman" w:eastAsia="宋体"/>
          <w:sz w:val="21"/>
        </w:rPr>
        <w:t xml:space="preserve">上表同时给出四个科研机构的规划人数与合计。该表是本章测算链的第一个输入。</w:t>
      </w:r>
    </w:p>
    <w:p>
      <w:pPr>
        <w:pStyle w:val="Heading2"/>
      </w:pPr>
      <w:r>
        <w:rPr>
          <w:rFonts w:ascii="Times New Roman" w:eastAsia="宋体"/>
          <w:sz w:val="21"/>
        </w:rPr>
        <w:t xml:space="preserve">5.2　理论计算机研究中心</w:t>
      </w:r>
    </w:p>
    <w:p>
      <w:pPr/>
      <w:r>
        <w:rPr>
          <w:rFonts w:ascii="Times New Roman" w:eastAsia="宋体"/>
          <w:sz w:val="21"/>
        </w:rPr>
        <w:t xml:space="preserve">该中心以常任轨教职形式组建研究团队，研究领域涵盖理论计算机的核心领域以及与其他领域的交叉，已形成一定的学术产出与国际交流规模。根据其现有科研团队及未来发展需求，拟再引进部分人员，规划人数纳入上表。</w:t>
      </w:r>
    </w:p>
    <w:p>
      <w:pPr>
        <w:pStyle w:val="Heading2"/>
      </w:pPr>
      <w:r>
        <w:rPr>
          <w:rFonts w:ascii="Times New Roman" w:eastAsia="宋体"/>
          <w:sz w:val="21"/>
        </w:rPr>
        <w:t xml:space="preserve">5.3　应用统计研究中心</w:t>
      </w:r>
    </w:p>
    <w:p>
      <w:pPr/>
      <w:r>
        <w:rPr>
          <w:rFonts w:ascii="Times New Roman" w:eastAsia="宋体"/>
          <w:sz w:val="21"/>
        </w:rPr>
        <w:t xml:space="preserve">该中心以建设一流科研基地、决策咨询机构、学术交流园地和统计人才培养基地为目标，围绕社会经济指数、金融统计、资源生态环境与社会统计三个研究方向组织科研任务，并已形成省部级科研项目、决策咨询课题与横向课题的稳定来源。考虑到未来将申请国家级研究基地，其规划人数在三者中最高，规划人数纳入上表。</w:t>
      </w:r>
    </w:p>
    <w:p>
      <w:pPr>
        <w:pStyle w:val="Heading2"/>
      </w:pPr>
      <w:r>
        <w:rPr>
          <w:rFonts w:ascii="Times New Roman" w:eastAsia="宋体"/>
          <w:sz w:val="21"/>
        </w:rPr>
        <w:t xml:space="preserve">5.4　数据科研与统计研究院</w:t>
      </w:r>
    </w:p>
    <w:p>
      <w:pPr/>
      <w:r>
        <w:rPr>
          <w:rFonts w:ascii="Times New Roman" w:eastAsia="宋体"/>
          <w:sz w:val="21"/>
        </w:rPr>
        <w:t xml:space="preserve">该研究院围绕大数据挖掘与计算方法、大数据在国民经济统计中的应用、大数据基础理论、大数据在互联网金融中的应用以及大数据交叉领域展开研究，并已配套建设大数据科学重点实验室，建成基于 Apache Hadoop 的 Spark 分布式计算平台，面向专业方向硕士生开设分布式统计计算、文本挖掘等课程。其规划人数纳入上表。</w:t>
      </w:r>
    </w:p>
    <w:p>
      <w:pPr>
        <w:pStyle w:val="Heading2"/>
      </w:pPr>
      <w:r>
        <w:rPr>
          <w:rFonts w:ascii="Times New Roman" w:eastAsia="宋体"/>
          <w:sz w:val="21"/>
        </w:rPr>
        <w:t xml:space="preserve">5.5　公共服务配套用房</w:t>
      </w:r>
    </w:p>
    <w:p>
      <w:pPr/>
      <w:r>
        <w:rPr>
          <w:rFonts w:ascii="Times New Roman" w:eastAsia="宋体"/>
          <w:sz w:val="21"/>
        </w:rPr>
        <w:t xml:space="preserve">为满足各科研单位的科研需求，除相应的科研用房外，还需配置交流讨论室、报告厅、阅览室、档案室等公共服务配套用房。各项用房的使用面积需求合计约 1210 ㎡，按 0.55 - 的综合平面利用系数换算为建筑面积需求 2200 ㎡。明细如下表。</w:t>
      </w:r>
    </w:p>
    <w:p>
      <w:pPr/>
      <w:r>
        <w:rPr>
          <w:b/>
          <w:rFonts w:ascii="Times New Roman" w:eastAsia="宋体"/>
          <w:sz w:val="21"/>
        </w:rPr>
        <w:t xml:space="preserve">表5-5 公共服务配套用房规模需求</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用房功能</w:t>
            </w:r>
          </w:p>
        </w:tc>
        <w:tc>
          <w:tcPr>
            <w:tcW w:w="0" w:type="auto"/>
          </w:tcPr>
          <w:p>
            <w:pPr/>
            <w:r>
              <w:rPr>
                <w:b/>
                <w:rFonts w:ascii="Times New Roman" w:eastAsia="宋体"/>
                <w:sz w:val="21"/>
              </w:rPr>
              <w:t xml:space="preserve">数量（间）</w:t>
            </w:r>
          </w:p>
        </w:tc>
        <w:tc>
          <w:tcPr>
            <w:tcW w:w="0" w:type="auto"/>
          </w:tcPr>
          <w:p>
            <w:pPr/>
            <w:r>
              <w:rPr>
                <w:b/>
                <w:rFonts w:ascii="Times New Roman" w:eastAsia="宋体"/>
                <w:sz w:val="21"/>
              </w:rPr>
              <w:t xml:space="preserve">用房标准（㎡/间）</w:t>
            </w:r>
          </w:p>
        </w:tc>
        <w:tc>
          <w:tcPr>
            <w:tcW w:w="0" w:type="auto"/>
          </w:tcPr>
          <w:p>
            <w:pPr/>
            <w:r>
              <w:rPr>
                <w:b/>
                <w:rFonts w:ascii="Times New Roman" w:eastAsia="宋体"/>
                <w:sz w:val="21"/>
              </w:rPr>
              <w:t xml:space="preserve">面积需求（㎡）</w:t>
            </w:r>
          </w:p>
        </w:tc>
        <w:tc>
          <w:tcPr>
            <w:tcW w:w="0" w:type="auto"/>
          </w:tcPr>
          <w:p>
            <w:pPr/>
            <w:r>
              <w:rPr>
                <w:b/>
                <w:rFonts w:ascii="Times New Roman" w:eastAsia="宋体"/>
                <w:sz w:val="21"/>
              </w:rPr>
              <w:t xml:space="preserve">备注</w:t>
            </w:r>
          </w:p>
        </w:tc>
      </w:tr>
      <w:tr>
        <w:tc>
          <w:tcPr>
            <w:tcW w:w="0" w:type="auto"/>
          </w:tcPr>
          <w:p>
            <w:pPr/>
            <w:r>
              <w:rPr>
                <w:rFonts w:ascii="Times New Roman" w:eastAsia="宋体"/>
                <w:sz w:val="21"/>
              </w:rPr>
              <w:t xml:space="preserve">交流讨论室</w:t>
            </w:r>
          </w:p>
        </w:tc>
        <w:tc>
          <w:tcPr>
            <w:tcW w:w="0" w:type="auto"/>
          </w:tcPr>
          <w:p>
            <w:pPr/>
            <w:r>
              <w:rPr>
                <w:rFonts w:ascii="Times New Roman" w:eastAsia="宋体"/>
                <w:sz w:val="21"/>
              </w:rPr>
              <w:t xml:space="preserve">5</w:t>
            </w:r>
          </w:p>
        </w:tc>
        <w:tc>
          <w:tcPr>
            <w:tcW w:w="0" w:type="auto"/>
          </w:tcPr>
          <w:p>
            <w:pPr/>
            <w:r>
              <w:rPr>
                <w:rFonts w:ascii="Times New Roman" w:eastAsia="宋体"/>
                <w:sz w:val="21"/>
              </w:rPr>
              <w:t xml:space="preserve">80</w:t>
            </w:r>
          </w:p>
        </w:tc>
        <w:tc>
          <w:tcPr>
            <w:tcW w:w="0" w:type="auto"/>
          </w:tcPr>
          <w:p>
            <w:pPr/>
            <w:r>
              <w:rPr>
                <w:rFonts w:ascii="Times New Roman" w:eastAsia="宋体"/>
                <w:sz w:val="21"/>
              </w:rPr>
              <w:t xml:space="preserve">400</w:t>
            </w:r>
          </w:p>
        </w:tc>
        <w:tc>
          <w:tcPr>
            <w:tcW w:w="0" w:type="auto"/>
          </w:tcPr>
          <w:p>
            <w:pPr/>
            <w:r>
              <w:t xml:space="preserve"/>
            </w:r>
          </w:p>
        </w:tc>
      </w:tr>
      <w:tr>
        <w:tc>
          <w:tcPr>
            <w:tcW w:w="0" w:type="auto"/>
          </w:tcPr>
          <w:p>
            <w:pPr/>
            <w:r>
              <w:rPr>
                <w:rFonts w:ascii="Times New Roman" w:eastAsia="宋体"/>
                <w:sz w:val="21"/>
              </w:rPr>
              <w:t xml:space="preserve">接待室</w:t>
            </w:r>
          </w:p>
        </w:tc>
        <w:tc>
          <w:tcPr>
            <w:tcW w:w="0" w:type="auto"/>
          </w:tcPr>
          <w:p>
            <w:pPr/>
            <w:r>
              <w:rPr>
                <w:rFonts w:ascii="Times New Roman" w:eastAsia="宋体"/>
                <w:sz w:val="21"/>
              </w:rPr>
              <w:t xml:space="preserve">1</w:t>
            </w:r>
          </w:p>
        </w:tc>
        <w:tc>
          <w:tcPr>
            <w:tcW w:w="0" w:type="auto"/>
          </w:tcPr>
          <w:p>
            <w:pPr/>
            <w:r>
              <w:rPr>
                <w:rFonts w:ascii="Times New Roman" w:eastAsia="宋体"/>
                <w:sz w:val="21"/>
              </w:rPr>
              <w:t xml:space="preserve">60</w:t>
            </w:r>
          </w:p>
        </w:tc>
        <w:tc>
          <w:tcPr>
            <w:tcW w:w="0" w:type="auto"/>
          </w:tcPr>
          <w:p>
            <w:pPr/>
            <w:r>
              <w:rPr>
                <w:rFonts w:ascii="Times New Roman" w:eastAsia="宋体"/>
                <w:sz w:val="21"/>
              </w:rPr>
              <w:t xml:space="preserve">70</w:t>
            </w:r>
          </w:p>
        </w:tc>
        <w:tc>
          <w:tcPr>
            <w:tcW w:w="0" w:type="auto"/>
          </w:tcPr>
          <w:p>
            <w:pPr/>
            <w:r>
              <w:t xml:space="preserve"/>
            </w:r>
          </w:p>
        </w:tc>
      </w:tr>
      <w:tr>
        <w:tc>
          <w:tcPr>
            <w:tcW w:w="0" w:type="auto"/>
          </w:tcPr>
          <w:p>
            <w:pPr/>
            <w:r>
              <w:rPr>
                <w:rFonts w:ascii="Times New Roman" w:eastAsia="宋体"/>
                <w:sz w:val="21"/>
              </w:rPr>
              <w:t xml:space="preserve">报告厅</w:t>
            </w:r>
          </w:p>
        </w:tc>
        <w:tc>
          <w:tcPr>
            <w:tcW w:w="0" w:type="auto"/>
          </w:tcPr>
          <w:p>
            <w:pPr/>
            <w:r>
              <w:t xml:space="preserve"/>
            </w:r>
          </w:p>
        </w:tc>
        <w:tc>
          <w:tcPr>
            <w:tcW w:w="0" w:type="auto"/>
          </w:tcPr>
          <w:p>
            <w:pPr/>
            <w:r>
              <w:t xml:space="preserve"/>
            </w:r>
          </w:p>
        </w:tc>
        <w:tc>
          <w:tcPr>
            <w:tcW w:w="0" w:type="auto"/>
          </w:tcPr>
          <w:p>
            <w:pPr/>
            <w:r>
              <w:rPr>
                <w:rFonts w:ascii="Times New Roman" w:eastAsia="宋体"/>
                <w:sz w:val="21"/>
              </w:rPr>
              <w:t xml:space="preserve">150</w:t>
            </w:r>
          </w:p>
        </w:tc>
        <w:tc>
          <w:tcPr>
            <w:tcW w:w="0" w:type="auto"/>
          </w:tcPr>
          <w:p>
            <w:pPr/>
            <w:r>
              <w:t xml:space="preserve"/>
            </w:r>
          </w:p>
        </w:tc>
      </w:tr>
      <w:tr>
        <w:tc>
          <w:tcPr>
            <w:tcW w:w="0" w:type="auto"/>
          </w:tcPr>
          <w:p>
            <w:pPr/>
            <w:r>
              <w:rPr>
                <w:rFonts w:ascii="Times New Roman" w:eastAsia="宋体"/>
                <w:sz w:val="21"/>
              </w:rPr>
              <w:t xml:space="preserve">活动室</w:t>
            </w:r>
          </w:p>
        </w:tc>
        <w:tc>
          <w:tcPr>
            <w:tcW w:w="0" w:type="auto"/>
          </w:tcPr>
          <w:p>
            <w:pPr/>
            <w:r>
              <w:rPr>
                <w:rFonts w:ascii="Times New Roman" w:eastAsia="宋体"/>
                <w:sz w:val="21"/>
              </w:rPr>
              <w:t xml:space="preserve">2</w:t>
            </w:r>
          </w:p>
        </w:tc>
        <w:tc>
          <w:tcPr>
            <w:tcW w:w="0" w:type="auto"/>
          </w:tcPr>
          <w:p>
            <w:pPr/>
            <w:r>
              <w:t xml:space="preserve"/>
            </w:r>
          </w:p>
        </w:tc>
        <w:tc>
          <w:tcPr>
            <w:tcW w:w="0" w:type="auto"/>
          </w:tcPr>
          <w:p>
            <w:pPr/>
            <w:r>
              <w:rPr>
                <w:rFonts w:ascii="Times New Roman" w:eastAsia="宋体"/>
                <w:sz w:val="21"/>
              </w:rPr>
              <w:t xml:space="preserve">160</w:t>
            </w:r>
          </w:p>
        </w:tc>
        <w:tc>
          <w:tcPr>
            <w:tcW w:w="0" w:type="auto"/>
          </w:tcPr>
          <w:p>
            <w:pPr/>
            <w:r>
              <w:t xml:space="preserve"/>
            </w:r>
          </w:p>
        </w:tc>
      </w:tr>
      <w:tr>
        <w:tc>
          <w:tcPr>
            <w:tcW w:w="0" w:type="auto"/>
          </w:tcPr>
          <w:p>
            <w:pPr/>
            <w:r>
              <w:rPr>
                <w:rFonts w:ascii="Times New Roman" w:eastAsia="宋体"/>
                <w:sz w:val="21"/>
              </w:rPr>
              <w:t xml:space="preserve">阅览室</w:t>
            </w:r>
          </w:p>
        </w:tc>
        <w:tc>
          <w:tcPr>
            <w:tcW w:w="0" w:type="auto"/>
          </w:tcPr>
          <w:p>
            <w:pPr/>
            <w:r>
              <w:t xml:space="preserve"/>
            </w:r>
          </w:p>
        </w:tc>
        <w:tc>
          <w:tcPr>
            <w:tcW w:w="0" w:type="auto"/>
          </w:tcPr>
          <w:p>
            <w:pPr/>
            <w:r>
              <w:t xml:space="preserve"/>
            </w:r>
          </w:p>
        </w:tc>
        <w:tc>
          <w:tcPr>
            <w:tcW w:w="0" w:type="auto"/>
          </w:tcPr>
          <w:p>
            <w:pPr/>
            <w:r>
              <w:rPr>
                <w:rFonts w:ascii="Times New Roman" w:eastAsia="宋体"/>
                <w:sz w:val="21"/>
              </w:rPr>
              <w:t xml:space="preserve">150</w:t>
            </w:r>
          </w:p>
        </w:tc>
        <w:tc>
          <w:tcPr>
            <w:tcW w:w="0" w:type="auto"/>
          </w:tcPr>
          <w:p>
            <w:pPr/>
            <w:r>
              <w:t xml:space="preserve"/>
            </w:r>
          </w:p>
        </w:tc>
      </w:tr>
      <w:tr>
        <w:tc>
          <w:tcPr>
            <w:tcW w:w="0" w:type="auto"/>
          </w:tcPr>
          <w:p>
            <w:pPr/>
            <w:r>
              <w:rPr>
                <w:rFonts w:ascii="Times New Roman" w:eastAsia="宋体"/>
                <w:sz w:val="21"/>
              </w:rPr>
              <w:t xml:space="preserve">档案室</w:t>
            </w:r>
          </w:p>
        </w:tc>
        <w:tc>
          <w:tcPr>
            <w:tcW w:w="0" w:type="auto"/>
          </w:tcPr>
          <w:p>
            <w:pPr/>
            <w:r>
              <w:t xml:space="preserve"/>
            </w:r>
          </w:p>
        </w:tc>
        <w:tc>
          <w:tcPr>
            <w:tcW w:w="0" w:type="auto"/>
          </w:tcPr>
          <w:p>
            <w:pPr/>
            <w:r>
              <w:t xml:space="preserve"/>
            </w:r>
          </w:p>
        </w:tc>
        <w:tc>
          <w:tcPr>
            <w:tcW w:w="0" w:type="auto"/>
          </w:tcPr>
          <w:p>
            <w:pPr/>
            <w:r>
              <w:rPr>
                <w:rFonts w:ascii="Times New Roman" w:eastAsia="宋体"/>
                <w:sz w:val="21"/>
              </w:rPr>
              <w:t xml:space="preserve">120</w:t>
            </w:r>
          </w:p>
        </w:tc>
        <w:tc>
          <w:tcPr>
            <w:tcW w:w="0" w:type="auto"/>
          </w:tcPr>
          <w:p>
            <w:pPr/>
            <w:r>
              <w:t xml:space="preserve"/>
            </w:r>
          </w:p>
        </w:tc>
      </w:tr>
      <w:tr>
        <w:tc>
          <w:tcPr>
            <w:tcW w:w="0" w:type="auto"/>
          </w:tcPr>
          <w:p>
            <w:pPr/>
            <w:r>
              <w:rPr>
                <w:rFonts w:ascii="Times New Roman" w:eastAsia="宋体"/>
                <w:sz w:val="21"/>
              </w:rPr>
              <w:t xml:space="preserve">复印室</w:t>
            </w:r>
          </w:p>
        </w:tc>
        <w:tc>
          <w:tcPr>
            <w:tcW w:w="0" w:type="auto"/>
          </w:tcPr>
          <w:p>
            <w:pPr/>
            <w:r>
              <w:t xml:space="preserve"/>
            </w:r>
          </w:p>
        </w:tc>
        <w:tc>
          <w:tcPr>
            <w:tcW w:w="0" w:type="auto"/>
          </w:tcPr>
          <w:p>
            <w:pPr/>
            <w:r>
              <w:t xml:space="preserve"/>
            </w:r>
          </w:p>
        </w:tc>
        <w:tc>
          <w:tcPr>
            <w:tcW w:w="0" w:type="auto"/>
          </w:tcPr>
          <w:p>
            <w:pPr/>
            <w:r>
              <w:rPr>
                <w:rFonts w:ascii="Times New Roman" w:eastAsia="宋体"/>
                <w:sz w:val="21"/>
              </w:rPr>
              <w:t xml:space="preserve">80</w:t>
            </w:r>
          </w:p>
        </w:tc>
        <w:tc>
          <w:tcPr>
            <w:tcW w:w="0" w:type="auto"/>
          </w:tcPr>
          <w:p>
            <w:pPr/>
            <w:r>
              <w:t xml:space="preserve"/>
            </w:r>
          </w:p>
        </w:tc>
      </w:tr>
      <w:tr>
        <w:tc>
          <w:tcPr>
            <w:tcW w:w="0" w:type="auto"/>
          </w:tcPr>
          <w:p>
            <w:pPr/>
            <w:r>
              <w:rPr>
                <w:rFonts w:ascii="Times New Roman" w:eastAsia="宋体"/>
                <w:sz w:val="21"/>
              </w:rPr>
              <w:t xml:space="preserve">贮藏室</w:t>
            </w:r>
          </w:p>
        </w:tc>
        <w:tc>
          <w:tcPr>
            <w:tcW w:w="0" w:type="auto"/>
          </w:tcPr>
          <w:p>
            <w:pPr/>
            <w:r>
              <w:t xml:space="preserve"/>
            </w:r>
          </w:p>
        </w:tc>
        <w:tc>
          <w:tcPr>
            <w:tcW w:w="0" w:type="auto"/>
          </w:tcPr>
          <w:p>
            <w:pPr/>
            <w:r>
              <w:t xml:space="preserve"/>
            </w:r>
          </w:p>
        </w:tc>
        <w:tc>
          <w:tcPr>
            <w:tcW w:w="0" w:type="auto"/>
          </w:tcPr>
          <w:p>
            <w:pPr/>
            <w:r>
              <w:rPr>
                <w:rFonts w:ascii="Times New Roman" w:eastAsia="宋体"/>
                <w:sz w:val="21"/>
              </w:rPr>
              <w:t xml:space="preserve">80</w:t>
            </w:r>
          </w:p>
        </w:tc>
        <w:tc>
          <w:tcPr>
            <w:tcW w:w="0" w:type="auto"/>
          </w:tcPr>
          <w:p>
            <w:pPr/>
            <w:r>
              <w:t xml:space="preserve"/>
            </w:r>
          </w:p>
        </w:tc>
      </w:tr>
      <w:tr>
        <w:tc>
          <w:tcPr>
            <w:tcW w:w="0" w:type="auto"/>
          </w:tcPr>
          <w:p>
            <w:pPr/>
            <w:r>
              <w:rPr>
                <w:rFonts w:ascii="Times New Roman" w:eastAsia="宋体"/>
                <w:sz w:val="21"/>
              </w:rPr>
              <w:t xml:space="preserve">使用面积需求合计</w:t>
            </w:r>
          </w:p>
        </w:tc>
        <w:tc>
          <w:tcPr>
            <w:tcW w:w="0" w:type="auto"/>
          </w:tcPr>
          <w:p>
            <w:pPr/>
            <w:r>
              <w:t xml:space="preserve"/>
            </w:r>
          </w:p>
        </w:tc>
        <w:tc>
          <w:tcPr>
            <w:tcW w:w="0" w:type="auto"/>
          </w:tcPr>
          <w:p>
            <w:pPr/>
            <w:r>
              <w:t xml:space="preserve"/>
            </w:r>
          </w:p>
        </w:tc>
        <w:tc>
          <w:tcPr>
            <w:tcW w:w="0" w:type="auto"/>
          </w:tcPr>
          <w:p>
            <w:pPr/>
            <w:r>
              <w:rPr>
                <w:rFonts w:ascii="Times New Roman" w:eastAsia="宋体"/>
                <w:sz w:val="21"/>
              </w:rPr>
              <w:t xml:space="preserve">1210 ㎡</w:t>
            </w:r>
          </w:p>
        </w:tc>
        <w:tc>
          <w:tcPr>
            <w:tcW w:w="0" w:type="auto"/>
          </w:tcPr>
          <w:p>
            <w:pPr/>
            <w:r>
              <w:t xml:space="preserve"/>
            </w:r>
          </w:p>
        </w:tc>
      </w:tr>
      <w:tr>
        <w:tc>
          <w:tcPr>
            <w:tcW w:w="0" w:type="auto"/>
          </w:tcPr>
          <w:p>
            <w:pPr/>
            <w:r>
              <w:rPr>
                <w:rFonts w:ascii="Times New Roman" w:eastAsia="宋体"/>
                <w:sz w:val="21"/>
              </w:rPr>
              <w:t xml:space="preserve">综合平面利用系数</w:t>
            </w:r>
          </w:p>
        </w:tc>
        <w:tc>
          <w:tcPr>
            <w:tcW w:w="0" w:type="auto"/>
          </w:tcPr>
          <w:p>
            <w:pPr/>
            <w:r>
              <w:t xml:space="preserve"/>
            </w:r>
          </w:p>
        </w:tc>
        <w:tc>
          <w:tcPr>
            <w:tcW w:w="0" w:type="auto"/>
          </w:tcPr>
          <w:p>
            <w:pPr/>
            <w:r>
              <w:t xml:space="preserve"/>
            </w:r>
          </w:p>
        </w:tc>
        <w:tc>
          <w:tcPr>
            <w:tcW w:w="0" w:type="auto"/>
          </w:tcPr>
          <w:p>
            <w:pPr/>
            <w:r>
              <w:rPr>
                <w:rFonts w:ascii="Times New Roman" w:eastAsia="宋体"/>
                <w:sz w:val="21"/>
              </w:rPr>
              <w:t xml:space="preserve">0.55 -</w:t>
            </w:r>
          </w:p>
        </w:tc>
        <w:tc>
          <w:tcPr>
            <w:tcW w:w="0" w:type="auto"/>
          </w:tcPr>
          <w:p>
            <w:pPr/>
            <w:r>
              <w:t xml:space="preserve"/>
            </w:r>
          </w:p>
        </w:tc>
      </w:tr>
      <w:tr>
        <w:tc>
          <w:tcPr>
            <w:tcW w:w="0" w:type="auto"/>
          </w:tcPr>
          <w:p>
            <w:pPr/>
            <w:r>
              <w:rPr>
                <w:rFonts w:ascii="Times New Roman" w:eastAsia="宋体"/>
                <w:sz w:val="21"/>
              </w:rPr>
              <w:t xml:space="preserve">建筑面积需求</w:t>
            </w:r>
          </w:p>
        </w:tc>
        <w:tc>
          <w:tcPr>
            <w:tcW w:w="0" w:type="auto"/>
          </w:tcPr>
          <w:p>
            <w:pPr/>
            <w:r>
              <w:t xml:space="preserve"/>
            </w:r>
          </w:p>
        </w:tc>
        <w:tc>
          <w:tcPr>
            <w:tcW w:w="0" w:type="auto"/>
          </w:tcPr>
          <w:p>
            <w:pPr/>
            <w:r>
              <w:t xml:space="preserve"/>
            </w:r>
          </w:p>
        </w:tc>
        <w:tc>
          <w:tcPr>
            <w:tcW w:w="0" w:type="auto"/>
          </w:tcPr>
          <w:p>
            <w:pPr/>
            <w:r>
              <w:rPr>
                <w:rFonts w:ascii="Times New Roman" w:eastAsia="宋体"/>
                <w:sz w:val="21"/>
              </w:rPr>
              <w:t xml:space="preserve">2200 ㎡</w:t>
            </w:r>
          </w:p>
        </w:tc>
        <w:tc>
          <w:tcPr>
            <w:tcW w:w="0" w:type="auto"/>
          </w:tcPr>
          <w:p>
            <w:pPr/>
            <w:r>
              <w:t xml:space="preserve"/>
            </w:r>
          </w:p>
        </w:tc>
      </w:tr>
    </w:tbl>
    <w:p>
      <w:pPr/>
      <w:r>
        <w:rPr>
          <w:rFonts w:ascii="Times New Roman" w:eastAsia="宋体"/>
          <w:sz w:val="21"/>
        </w:rPr>
        <w:t xml:space="preserve">该换算口径与建设标准中「使用面积系数 K＝使用面积／建筑面积」的定义一致，换算过程可核（公共服务配套用房建筑面积：round({公共服务配套用房使用面积合计}/{公共服务配套用房综合平面利用系数}, 0)）。需要注意的是，表中「接待室」一行按「数量×单间标准」应为 60 ㎡，表内面积需求列为 70 ㎡，两者相差 10 ㎡；该差异已登记为待审事项，本稿不改数。</w:t>
      </w:r>
    </w:p>
    <w:p>
      <w:pPr>
        <w:ind w:left="420"/>
      </w:pPr>
      <w:r>
        <w:rPr>
          <w:b/>
          <w:rFonts w:ascii="Times New Roman" w:eastAsia="宋体"/>
          <w:sz w:val="21"/>
        </w:rPr>
        <w:t xml:space="preserve">⚠ 待审</w:t>
      </w:r>
      <w:r>
        <w:rPr>
          <w:rFonts w:ascii="Times New Roman" w:eastAsia="宋体"/>
          <w:sz w:val="21"/>
        </w:rPr>
        <w:t xml:space="preserve">：公共服务配套用房·接待室 的「单间用房标准」与「面积需求」不闭合（1 间 × 60 ㎡/间 = 60 ㎡，表列 70 ㎡，差 10 ㎡）。该差异不影响合计口径的自洽性（合计按表列值累加），但影响单间标准的使用，须核实后统一。</w:t>
      </w:r>
    </w:p>
    <w:p>
      <w:pPr>
        <w:pStyle w:val="Heading2"/>
      </w:pPr>
      <w:r>
        <w:rPr>
          <w:rFonts w:ascii="Times New Roman" w:eastAsia="宋体"/>
          <w:sz w:val="21"/>
        </w:rPr>
        <w:t xml:space="preserve">5.6　规模分析小结</w:t>
      </w:r>
    </w:p>
    <w:p>
      <w:pPr/>
      <w:r>
        <w:rPr>
          <w:rFonts w:ascii="Times New Roman" w:eastAsia="宋体"/>
          <w:sz w:val="21"/>
        </w:rPr>
        <w:t xml:space="preserve">本项目采用</w:t>
      </w:r>
      <w:r>
        <w:rPr>
          <w:b/>
          <w:rFonts w:ascii="Times New Roman" w:eastAsia="宋体"/>
          <w:sz w:val="21"/>
        </w:rPr>
        <w:t xml:space="preserve">人均建筑面积指标法</w:t>
      </w:r>
      <w:r>
        <w:rPr>
          <w:rFonts w:ascii="Times New Roman" w:eastAsia="宋体"/>
          <w:sz w:val="21"/>
        </w:rPr>
        <w:t xml:space="preserve">测算应建规模，测算链分三步，逐条可核。</w:t>
      </w:r>
    </w:p>
    <w:p>
      <w:pPr/>
      <w:r>
        <w:rPr>
          <w:b/>
          <w:rFonts w:ascii="Times New Roman" w:eastAsia="宋体"/>
          <w:sz w:val="21"/>
        </w:rPr>
        <w:t xml:space="preserve">第一步：分类人数合计</w:t>
      </w:r>
      <w:r>
        <w:rPr>
          <w:rFonts w:ascii="Times New Roman" w:eastAsia="宋体"/>
          <w:sz w:val="21"/>
        </w:rPr>
        <w:t xml:space="preserve">。按上表逐中心累加：科研人员合计为 315 人；研究生、博士生、访问学者合计为 1350 人；两项合计为 1665 人（按 R-科研人员规划人数合计（科研人员规划人数）复算为 </w:t>
      </w:r>
      <w:r>
        <w:rPr>
          <w:b/>
          <w:rFonts w:ascii="Times New Roman" w:eastAsia="宋体"/>
          <w:sz w:val="21"/>
        </w:rPr>
        <w:t xml:space="preserve">315</w:t>
      </w:r>
      <w:r>
        <w:rPr>
          <w:rFonts w:ascii="Times New Roman" w:eastAsia="宋体"/>
          <w:sz w:val="21"/>
        </w:rPr>
        <w:t xml:space="preserve">，与报告声明一致（闭合）。；按 R-研究生规划人数合计（研究生博士生访问学者规划人数）复算为 </w:t>
      </w:r>
      <w:r>
        <w:rPr>
          <w:b/>
          <w:rFonts w:ascii="Times New Roman" w:eastAsia="宋体"/>
          <w:sz w:val="21"/>
        </w:rPr>
        <w:t xml:space="preserve">1350</w:t>
      </w:r>
      <w:r>
        <w:rPr>
          <w:rFonts w:ascii="Times New Roman" w:eastAsia="宋体"/>
          <w:sz w:val="21"/>
        </w:rPr>
        <w:t xml:space="preserve">，与报告声明一致（闭合）。）。</w:t>
      </w:r>
    </w:p>
    <w:p>
      <w:pPr/>
      <w:r>
        <w:rPr>
          <w:b/>
          <w:rFonts w:ascii="Times New Roman" w:eastAsia="宋体"/>
          <w:sz w:val="21"/>
        </w:rPr>
        <w:t xml:space="preserve">第二步：按人均指标折算面积</w:t>
      </w:r>
      <w:r>
        <w:rPr>
          <w:rFonts w:ascii="Times New Roman" w:eastAsia="宋体"/>
          <w:sz w:val="21"/>
        </w:rPr>
        <w:t xml:space="preserve">。参照建设标准对专职科研机构用房的规划建筑面积指标规定，本项目科研用房人均建筑面积指标取 16 ㎡/人，研究生、博士生、访问学者用房人均建筑面积指标取 8 ㎡/人。两项均为指标上限，即「不超过」的口径。按此折算，科研人员用房需求建筑面积为 5040 ㎡，研究生等用房需求建筑面积为 10800 ㎡。</w:t>
      </w:r>
    </w:p>
    <w:p>
      <w:pPr/>
      <w:r>
        <w:rPr>
          <w:b/>
          <w:rFonts w:ascii="Times New Roman" w:eastAsia="宋体"/>
          <w:sz w:val="21"/>
        </w:rPr>
        <w:t xml:space="preserve">第三步：叠加配套用房并汇总</w:t>
      </w:r>
      <w:r>
        <w:rPr>
          <w:rFonts w:ascii="Times New Roman" w:eastAsia="宋体"/>
          <w:sz w:val="21"/>
        </w:rPr>
        <w:t xml:space="preserve">。加上公共服务配套用房的建筑面积需求，本项目地上总建筑面积需求为 18040 ㎡（按 R-应建规模（地上总建筑面积需求）复算为 </w:t>
      </w:r>
      <w:r>
        <w:rPr>
          <w:b/>
          <w:rFonts w:ascii="Times New Roman" w:eastAsia="宋体"/>
          <w:sz w:val="21"/>
        </w:rPr>
        <w:t xml:space="preserve">18040</w:t>
      </w:r>
      <w:r>
        <w:rPr>
          <w:rFonts w:ascii="Times New Roman" w:eastAsia="宋体"/>
          <w:sz w:val="21"/>
        </w:rPr>
        <w:t xml:space="preserve">，与报告声明一致（闭合）。）。需求汇总如下表。</w:t>
      </w:r>
    </w:p>
    <w:p>
      <w:pPr/>
      <w:r>
        <w:rPr>
          <w:b/>
          <w:rFonts w:ascii="Times New Roman" w:eastAsia="宋体"/>
          <w:sz w:val="21"/>
        </w:rPr>
        <w:t xml:space="preserve">表5-6 项目规模需求汇总表</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序号</w:t>
            </w:r>
          </w:p>
        </w:tc>
        <w:tc>
          <w:tcPr>
            <w:tcW w:w="0" w:type="auto"/>
          </w:tcPr>
          <w:p>
            <w:pPr/>
            <w:r>
              <w:rPr>
                <w:b/>
                <w:rFonts w:ascii="Times New Roman" w:eastAsia="宋体"/>
                <w:sz w:val="21"/>
              </w:rPr>
              <w:t xml:space="preserve">用房功能</w:t>
            </w:r>
          </w:p>
        </w:tc>
        <w:tc>
          <w:tcPr>
            <w:tcW w:w="0" w:type="auto"/>
          </w:tcPr>
          <w:p>
            <w:pPr/>
            <w:r>
              <w:rPr>
                <w:b/>
                <w:rFonts w:ascii="Times New Roman" w:eastAsia="宋体"/>
                <w:sz w:val="21"/>
              </w:rPr>
              <w:t xml:space="preserve">规划人数（人）</w:t>
            </w:r>
          </w:p>
        </w:tc>
        <w:tc>
          <w:tcPr>
            <w:tcW w:w="0" w:type="auto"/>
          </w:tcPr>
          <w:p>
            <w:pPr/>
            <w:r>
              <w:rPr>
                <w:b/>
                <w:rFonts w:ascii="Times New Roman" w:eastAsia="宋体"/>
                <w:sz w:val="21"/>
              </w:rPr>
              <w:t xml:space="preserve">人均建筑面积指标（㎡/人）</w:t>
            </w:r>
          </w:p>
        </w:tc>
        <w:tc>
          <w:tcPr>
            <w:tcW w:w="0" w:type="auto"/>
          </w:tcPr>
          <w:p>
            <w:pPr/>
            <w:r>
              <w:rPr>
                <w:b/>
                <w:rFonts w:ascii="Times New Roman" w:eastAsia="宋体"/>
                <w:sz w:val="21"/>
              </w:rPr>
              <w:t xml:space="preserve">需求建筑面积（㎡）</w:t>
            </w:r>
          </w:p>
        </w:tc>
      </w:tr>
      <w:tr>
        <w:tc>
          <w:tcPr>
            <w:tcW w:w="0" w:type="auto"/>
          </w:tcPr>
          <w:p>
            <w:pPr/>
            <w:r>
              <w:t xml:space="preserve"/>
            </w:r>
          </w:p>
        </w:tc>
        <w:tc>
          <w:tcPr>
            <w:tcW w:w="0" w:type="auto"/>
          </w:tcPr>
          <w:p>
            <w:pPr/>
            <w:r>
              <w:rPr>
                <w:rFonts w:ascii="Times New Roman" w:eastAsia="宋体"/>
                <w:sz w:val="21"/>
              </w:rPr>
              <w:t xml:space="preserve">公共服务配套用房</w:t>
            </w:r>
          </w:p>
        </w:tc>
        <w:tc>
          <w:tcPr>
            <w:tcW w:w="0" w:type="auto"/>
          </w:tcPr>
          <w:p>
            <w:pPr/>
            <w:r>
              <w:rPr>
                <w:rFonts w:ascii="Times New Roman" w:eastAsia="宋体"/>
                <w:sz w:val="21"/>
              </w:rPr>
              <w:t xml:space="preserve">/</w:t>
            </w:r>
          </w:p>
        </w:tc>
        <w:tc>
          <w:tcPr>
            <w:tcW w:w="0" w:type="auto"/>
          </w:tcPr>
          <w:p>
            <w:pPr/>
            <w:r>
              <w:rPr>
                <w:rFonts w:ascii="Times New Roman" w:eastAsia="宋体"/>
                <w:sz w:val="21"/>
              </w:rPr>
              <w:t xml:space="preserve">/</w:t>
            </w:r>
          </w:p>
        </w:tc>
        <w:tc>
          <w:tcPr>
            <w:tcW w:w="0" w:type="auto"/>
          </w:tcPr>
          <w:p>
            <w:pPr/>
            <w:r>
              <w:rPr>
                <w:rFonts w:ascii="Times New Roman" w:eastAsia="宋体"/>
                <w:sz w:val="21"/>
              </w:rPr>
              <w:t xml:space="preserve">2200</w:t>
            </w:r>
          </w:p>
        </w:tc>
      </w:tr>
      <w:tr>
        <w:tc>
          <w:tcPr>
            <w:tcW w:w="0" w:type="auto"/>
          </w:tcPr>
          <w:p>
            <w:pPr/>
            <w:r>
              <w:rPr>
                <w:rFonts w:ascii="Times New Roman" w:eastAsia="宋体"/>
                <w:sz w:val="21"/>
              </w:rPr>
              <w:t xml:space="preserve">1</w:t>
            </w:r>
          </w:p>
        </w:tc>
        <w:tc>
          <w:tcPr>
            <w:tcW w:w="0" w:type="auto"/>
          </w:tcPr>
          <w:p>
            <w:pPr/>
            <w:r>
              <w:rPr>
                <w:rFonts w:ascii="Times New Roman" w:eastAsia="宋体"/>
                <w:sz w:val="21"/>
              </w:rPr>
              <w:t xml:space="preserve">科研人员用房</w:t>
            </w:r>
          </w:p>
        </w:tc>
        <w:tc>
          <w:tcPr>
            <w:tcW w:w="0" w:type="auto"/>
          </w:tcPr>
          <w:p>
            <w:pPr/>
            <w:r>
              <w:rPr>
                <w:rFonts w:ascii="Times New Roman" w:eastAsia="宋体"/>
                <w:sz w:val="21"/>
              </w:rPr>
              <w:t xml:space="preserve">315</w:t>
            </w:r>
          </w:p>
        </w:tc>
        <w:tc>
          <w:tcPr>
            <w:tcW w:w="0" w:type="auto"/>
          </w:tcPr>
          <w:p>
            <w:pPr/>
            <w:r>
              <w:rPr>
                <w:rFonts w:ascii="Times New Roman" w:eastAsia="宋体"/>
                <w:sz w:val="21"/>
              </w:rPr>
              <w:t xml:space="preserve">16</w:t>
            </w:r>
          </w:p>
        </w:tc>
        <w:tc>
          <w:tcPr>
            <w:tcW w:w="0" w:type="auto"/>
          </w:tcPr>
          <w:p>
            <w:pPr/>
            <w:r>
              <w:rPr>
                <w:rFonts w:ascii="Times New Roman" w:eastAsia="宋体"/>
                <w:sz w:val="21"/>
              </w:rPr>
              <w:t xml:space="preserve">5040</w:t>
            </w:r>
          </w:p>
        </w:tc>
      </w:tr>
      <w:tr>
        <w:tc>
          <w:tcPr>
            <w:tcW w:w="0" w:type="auto"/>
          </w:tcPr>
          <w:p>
            <w:pPr/>
            <w:r>
              <w:rPr>
                <w:rFonts w:ascii="Times New Roman" w:eastAsia="宋体"/>
                <w:sz w:val="21"/>
              </w:rPr>
              <w:t xml:space="preserve">2</w:t>
            </w:r>
          </w:p>
        </w:tc>
        <w:tc>
          <w:tcPr>
            <w:tcW w:w="0" w:type="auto"/>
          </w:tcPr>
          <w:p>
            <w:pPr/>
            <w:r>
              <w:rPr>
                <w:rFonts w:ascii="Times New Roman" w:eastAsia="宋体"/>
                <w:sz w:val="21"/>
              </w:rPr>
              <w:t xml:space="preserve">研究生、博士生、访问学者用房</w:t>
            </w:r>
          </w:p>
        </w:tc>
        <w:tc>
          <w:tcPr>
            <w:tcW w:w="0" w:type="auto"/>
          </w:tcPr>
          <w:p>
            <w:pPr/>
            <w:r>
              <w:rPr>
                <w:rFonts w:ascii="Times New Roman" w:eastAsia="宋体"/>
                <w:sz w:val="21"/>
              </w:rPr>
              <w:t xml:space="preserve">1350</w:t>
            </w:r>
          </w:p>
        </w:tc>
        <w:tc>
          <w:tcPr>
            <w:tcW w:w="0" w:type="auto"/>
          </w:tcPr>
          <w:p>
            <w:pPr/>
            <w:r>
              <w:rPr>
                <w:rFonts w:ascii="Times New Roman" w:eastAsia="宋体"/>
                <w:sz w:val="21"/>
              </w:rPr>
              <w:t xml:space="preserve">8</w:t>
            </w:r>
          </w:p>
        </w:tc>
        <w:tc>
          <w:tcPr>
            <w:tcW w:w="0" w:type="auto"/>
          </w:tcPr>
          <w:p>
            <w:pPr/>
            <w:r>
              <w:rPr>
                <w:rFonts w:ascii="Times New Roman" w:eastAsia="宋体"/>
                <w:sz w:val="21"/>
              </w:rPr>
              <w:t xml:space="preserve">10800</w:t>
            </w:r>
          </w:p>
        </w:tc>
      </w:tr>
      <w:tr>
        <w:tc>
          <w:tcPr>
            <w:tcW w:w="0" w:type="auto"/>
          </w:tcPr>
          <w:p>
            <w:pPr/>
            <w:r>
              <w:rPr>
                <w:rFonts w:ascii="Times New Roman" w:eastAsia="宋体"/>
                <w:sz w:val="21"/>
              </w:rPr>
              <w:t xml:space="preserve">3</w:t>
            </w:r>
          </w:p>
        </w:tc>
        <w:tc>
          <w:tcPr>
            <w:tcW w:w="0" w:type="auto"/>
          </w:tcPr>
          <w:p>
            <w:pPr/>
            <w:r>
              <w:rPr>
                <w:rFonts w:ascii="Times New Roman" w:eastAsia="宋体"/>
                <w:sz w:val="21"/>
              </w:rPr>
              <w:t xml:space="preserve">合计</w:t>
            </w:r>
          </w:p>
        </w:tc>
        <w:tc>
          <w:tcPr>
            <w:tcW w:w="0" w:type="auto"/>
          </w:tcPr>
          <w:p>
            <w:pPr/>
            <w:r>
              <w:rPr>
                <w:rFonts w:ascii="Times New Roman" w:eastAsia="宋体"/>
                <w:sz w:val="21"/>
              </w:rPr>
              <w:t xml:space="preserve">1665</w:t>
            </w:r>
          </w:p>
        </w:tc>
        <w:tc>
          <w:tcPr>
            <w:tcW w:w="0" w:type="auto"/>
          </w:tcPr>
          <w:p>
            <w:pPr/>
            <w:r>
              <w:t xml:space="preserve"/>
            </w:r>
          </w:p>
        </w:tc>
        <w:tc>
          <w:tcPr>
            <w:tcW w:w="0" w:type="auto"/>
          </w:tcPr>
          <w:p>
            <w:pPr/>
            <w:r>
              <w:rPr>
                <w:rFonts w:ascii="Times New Roman" w:eastAsia="宋体"/>
                <w:sz w:val="21"/>
              </w:rPr>
              <w:t xml:space="preserve">18040</w:t>
            </w:r>
          </w:p>
        </w:tc>
      </w:tr>
    </w:tbl>
    <w:p>
      <w:pPr/>
      <w:r>
        <w:rPr>
          <w:rFonts w:ascii="Times New Roman" w:eastAsia="宋体"/>
          <w:sz w:val="21"/>
        </w:rPr>
        <w:t xml:space="preserve">上述人均指标的取值依据来自外部建设标准，其复核结论如下。</w:t>
      </w:r>
    </w:p>
    <w:p>
      <w:pPr>
        <w:ind w:left="420"/>
      </w:pPr>
      <w:r>
        <w:rPr>
          <w:b/>
          <w:rFonts w:ascii="Times New Roman" w:eastAsia="宋体"/>
          <w:sz w:val="21"/>
        </w:rPr>
        <w:t xml:space="preserve">✅ 依据复核（B-07）</w:t>
      </w:r>
      <w:r>
        <w:rPr>
          <w:rFonts w:ascii="Times New Roman" w:eastAsia="宋体"/>
          <w:sz w:val="21"/>
        </w:rPr>
        <w:t xml:space="preserve">：报告 5.6 取「科研用房人均建筑面积指标应不超过 16㎡/人」，并援引建标191-2018 专职科研机构用房规定。建标191-2018 附录D（附表D-1）在标准内计算实例中给出：理工类科研人员人均 30㎡、</w:t>
      </w:r>
      <w:r>
        <w:rPr>
          <w:b/>
          <w:rFonts w:ascii="Times New Roman" w:eastAsia="宋体"/>
          <w:sz w:val="21"/>
        </w:rPr>
        <w:t xml:space="preserve">文法类科研人员人均 16㎡</w:t>
      </w:r>
      <w:r>
        <w:rPr>
          <w:rFonts w:ascii="Times New Roman" w:eastAsia="宋体"/>
          <w:sz w:val="21"/>
        </w:rPr>
        <w:t xml:space="preserve">、设计人员 15㎡。取文法类 16㎡/人 与本报告的经济管理类学科属性相符，报告取值口径</w:t>
      </w:r>
      <w:r>
        <w:rPr>
          <w:b/>
          <w:rFonts w:ascii="Times New Roman" w:eastAsia="宋体"/>
          <w:sz w:val="21"/>
        </w:rPr>
        <w:t xml:space="preserve">可核验成立</w:t>
      </w:r>
      <w:r>
        <w:rPr>
          <w:rFonts w:ascii="Times New Roman" w:eastAsia="宋体"/>
          <w:sz w:val="21"/>
        </w:rPr>
        <w:t xml:space="preserve">；报告还使用了「不超过」的表述，与该指标作为上限的性质一致。</w:t>
      </w:r>
    </w:p>
    <w:p>
      <w:pPr>
        <w:ind w:left="420"/>
      </w:pPr>
      <w:r>
        <w:rPr>
          <w:rFonts w:ascii="Times New Roman" w:eastAsia="宋体"/>
          <w:sz w:val="21"/>
        </w:rPr>
        <w:t xml:space="preserve">- 须核对：确认学校类别在建标191 指标体系中归入「文法类」（该归类决定 16㎡/人 是否适用）；补取附表D-1 原表（本次检索只取到标准内计算实例中的指标值）</w:t>
      </w:r>
    </w:p>
    <w:p>
      <w:pPr>
        <w:ind w:left="420"/>
      </w:pPr>
      <w:r>
        <w:rPr>
          <w:b/>
          <w:rFonts w:ascii="Times New Roman" w:eastAsia="宋体"/>
          <w:sz w:val="21"/>
        </w:rPr>
        <w:t xml:space="preserve">🔍 依据复核（B-08）</w:t>
      </w:r>
      <w:r>
        <w:rPr>
          <w:rFonts w:ascii="Times New Roman" w:eastAsia="宋体"/>
          <w:sz w:val="21"/>
        </w:rPr>
        <w:t xml:space="preserve">：报告 5.6 把「研究生、博士生、访问学者用房人均建筑面积指标应不超过 8㎡/人」与专职科研机构用房指标并列写在「参考《普通高等学校建筑面积指标》（建标191-2018）对</w:t>
      </w:r>
      <w:r>
        <w:rPr>
          <w:b/>
          <w:rFonts w:ascii="Times New Roman" w:eastAsia="宋体"/>
          <w:sz w:val="21"/>
        </w:rPr>
        <w:t xml:space="preserve">专职科研机构用房</w:t>
      </w:r>
      <w:r>
        <w:rPr>
          <w:rFonts w:ascii="Times New Roman" w:eastAsia="宋体"/>
          <w:sz w:val="21"/>
        </w:rPr>
        <w:t xml:space="preserve">的规划建筑面积指标的规定」之下。按建标191-2018 的体例，专职科研机构用房指标出自</w:t>
      </w:r>
      <w:r>
        <w:rPr>
          <w:b/>
          <w:rFonts w:ascii="Times New Roman" w:eastAsia="宋体"/>
          <w:sz w:val="21"/>
        </w:rPr>
        <w:t xml:space="preserve">附录D</w:t>
      </w:r>
      <w:r>
        <w:rPr>
          <w:rFonts w:ascii="Times New Roman" w:eastAsia="宋体"/>
          <w:sz w:val="21"/>
        </w:rPr>
        <w:t xml:space="preserve">；研究生用房指标应出自</w:t>
      </w:r>
      <w:r>
        <w:rPr>
          <w:b/>
          <w:rFonts w:ascii="Times New Roman" w:eastAsia="宋体"/>
          <w:sz w:val="21"/>
        </w:rPr>
        <w:t xml:space="preserve">附录B（研究生校舍建筑面积补助指标）</w:t>
      </w:r>
      <w:r>
        <w:rPr>
          <w:rFonts w:ascii="Times New Roman" w:eastAsia="宋体"/>
          <w:sz w:val="21"/>
        </w:rPr>
        <w:t xml:space="preserve">。报告未区分两个附录，且本次检索</w:t>
      </w:r>
      <w:r>
        <w:rPr>
          <w:b/>
          <w:rFonts w:ascii="Times New Roman" w:eastAsia="宋体"/>
          <w:sz w:val="21"/>
        </w:rPr>
        <w:t xml:space="preserve">未取到附表B 的数值</w:t>
      </w:r>
      <w:r>
        <w:rPr>
          <w:rFonts w:ascii="Times New Roman" w:eastAsia="宋体"/>
          <w:sz w:val="21"/>
        </w:rPr>
        <w:t xml:space="preserve">（只取到表16 研究生宿舍补助：硕士生 5.0㎡/生、博士生 10.0㎡/生）。故 8㎡/人 的出处与数值均</w:t>
      </w:r>
      <w:r>
        <w:rPr>
          <w:b/>
          <w:rFonts w:ascii="Times New Roman" w:eastAsia="宋体"/>
          <w:sz w:val="21"/>
        </w:rPr>
        <w:t xml:space="preserve">无法核对，不下判定</w:t>
      </w:r>
      <w:r>
        <w:rPr>
          <w:rFonts w:ascii="Times New Roman" w:eastAsia="宋体"/>
          <w:sz w:val="21"/>
        </w:rPr>
        <w:t xml:space="preserve">。</w:t>
      </w:r>
    </w:p>
    <w:p>
      <w:pPr>
        <w:ind w:left="420"/>
      </w:pPr>
      <w:r>
        <w:rPr>
          <w:rFonts w:ascii="Times New Roman" w:eastAsia="宋体"/>
          <w:sz w:val="21"/>
        </w:rPr>
        <w:t xml:space="preserve">- 须核对：补取建标191-2018 附录B（附表B）原文，确认研究生实验研究用房补助指标数值；确认 8㎡/人 的出处是附录B 还是其他条款；并修正报告 5.6 的援引表述</w:t>
      </w:r>
    </w:p>
    <w:p>
      <w:pPr>
        <w:pStyle w:val="Heading2"/>
      </w:pPr>
      <w:r>
        <w:rPr>
          <w:rFonts w:ascii="Times New Roman" w:eastAsia="宋体"/>
          <w:sz w:val="21"/>
        </w:rPr>
        <w:t xml:space="preserve">5.7　设计规模与需求测算的比对</w:t>
      </w:r>
    </w:p>
    <w:p>
      <w:pPr/>
      <w:r>
        <w:rPr>
          <w:rFonts w:ascii="Times New Roman" w:eastAsia="宋体"/>
          <w:sz w:val="21"/>
        </w:rPr>
        <w:t xml:space="preserve">本项目设计总建筑面积 18319 ㎡ / 18219 ㎡，其中地上建筑面积 18000 ㎡，地下建筑面积 319 ㎡。</w:t>
      </w:r>
    </w:p>
    <w:p>
      <w:pPr/>
      <w:r>
        <w:rPr>
          <w:rFonts w:ascii="Times New Roman" w:eastAsia="宋体"/>
          <w:sz w:val="21"/>
        </w:rPr>
        <w:t xml:space="preserve">将设计值与需求测算值比对：需求 18040 ㎡，设计地上 18000 ㎡，</w:t>
      </w:r>
      <w:r>
        <w:rPr>
          <w:b/>
          <w:rFonts w:ascii="Times New Roman" w:eastAsia="宋体"/>
          <w:sz w:val="21"/>
        </w:rPr>
        <w:t xml:space="preserve">设计值小于测算需求 40 ㎡</w:t>
      </w:r>
      <w:r>
        <w:rPr>
          <w:rFonts w:ascii="Times New Roman" w:eastAsia="宋体"/>
          <w:sz w:val="21"/>
        </w:rPr>
        <w:t xml:space="preserve">。原报告的结论为「设计规模在各类用房面积需求范围内，规模设置合理，基本能够满足各类用房的实际使用需求」，该结论与报告自身的测算结果之间存在不一致。</w:t>
      </w:r>
      <w:r>
        <w:rPr>
          <w:b/>
          <w:rFonts w:ascii="Times New Roman" w:eastAsia="宋体"/>
          <w:sz w:val="21"/>
        </w:rPr>
        <w:t xml:space="preserve">判定结论：不满足</w:t>
      </w:r>
      <w:r>
        <w:rPr>
          <w:rFonts w:ascii="Times New Roman" w:eastAsia="宋体"/>
          <w:sz w:val="21"/>
        </w:rPr>
        <w:t xml:space="preserve">。前提 {"地上总建筑面积需求": 18040.0, "设计地上建筑面积": 18000.0}；需求 18040 ㎡ &gt; 设计 18000 ㎡，差 40 ㎡；原文结论为「设计规模在各类用房面积需求范围内，规模设置合理」，该结论与自身测算不符</w:t>
      </w:r>
    </w:p>
    <w:p>
      <w:pPr/>
      <w:r>
        <w:rPr>
          <w:b/>
          <w:rFonts w:ascii="Times New Roman" w:eastAsia="宋体"/>
          <w:sz w:val="21"/>
        </w:rPr>
        <w:t xml:space="preserve">本稿的处理</w:t>
      </w:r>
      <w:r>
        <w:rPr>
          <w:rFonts w:ascii="Times New Roman" w:eastAsia="宋体"/>
          <w:sz w:val="21"/>
        </w:rPr>
        <w:t xml:space="preserve">：不修改任何数值，也不替客户认定「合理」或「不合理」，而是把两个数与其差额并列呈现，并把判定标为待审。建议在初步设计阶段，通过以下任一途径闭合该缺口并说明：①在总面积不变的前提下，调整各功能用房配比（例如压缩配套用房）；②核实分类人数与人均指标取值口径（特别是研究生等用房指标）；③若确需增加面积，须同时复核容积率等规划控制指标。</w:t>
      </w:r>
    </w:p>
    <w:p>
      <w:pPr/>
      <w:r>
        <w:rPr>
          <w:rFonts w:ascii="Times New Roman" w:eastAsia="宋体"/>
          <w:sz w:val="21"/>
        </w:rPr>
        <w:t xml:space="preserve">此外，本章测算所用的「规划人数」口径（表 5-6 合计口径）与后续节能设计章、给排水设计章所用的「用水/用电计算人数」口径并不相同（后两者均标注为「暂定」）。两个口径的混用是本类报告的高频错误，本稿已将其登记为待审事项，各章分别标注所用口径，不作统一换算。</w:t>
      </w:r>
    </w:p>
    <w:p>
      <w:pPr>
        <w:pStyle w:val="Heading1"/>
      </w:pPr>
      <w:r>
        <w:rPr>
          <w:rFonts w:ascii="Times New Roman" w:eastAsia="宋体"/>
          <w:sz w:val="21"/>
        </w:rPr>
        <w:t xml:space="preserve">第六章　项目规划设计方案</w:t>
      </w:r>
    </w:p>
    <w:p>
      <w:pPr/>
      <w:r>
        <w:rPr>
          <w:rFonts w:ascii="Times New Roman" w:eastAsia="宋体"/>
          <w:sz w:val="21"/>
        </w:rPr>
        <w:t xml:space="preserve">本章是评审关注最细的一章。本类章节最常见的写法问题是「设置机械通风系统」「按二级负荷设计」「按现行规范设置」——每一句都对，每一句都没说本项目。因此本章按</w:t>
      </w:r>
      <w:r>
        <w:rPr>
          <w:b/>
          <w:rFonts w:ascii="Times New Roman" w:eastAsia="宋体"/>
          <w:sz w:val="21"/>
        </w:rPr>
        <w:t xml:space="preserve">采用什么方案 → 依据什么 → 关键取值是多少</w:t>
      </w:r>
      <w:r>
        <w:rPr>
          <w:rFonts w:ascii="Times New Roman" w:eastAsia="宋体"/>
          <w:sz w:val="21"/>
        </w:rPr>
        <w:t xml:space="preserve"> 三句话的标准逐专业展开；凡属设计单位专属的取值（柱网、平面布置、管线综合、工艺专项），本稿留白而不代拟。</w:t>
      </w:r>
    </w:p>
    <w:p>
      <w:pPr>
        <w:pStyle w:val="Heading2"/>
      </w:pPr>
      <w:r>
        <w:rPr>
          <w:rFonts w:ascii="Times New Roman" w:eastAsia="宋体"/>
          <w:sz w:val="21"/>
        </w:rPr>
        <w:t xml:space="preserve">6.1　设计总说明</w:t>
      </w:r>
    </w:p>
    <w:p>
      <w:pPr/>
      <w:r>
        <w:rPr>
          <w:b/>
          <w:rFonts w:ascii="Times New Roman" w:eastAsia="宋体"/>
          <w:sz w:val="21"/>
        </w:rPr>
        <w:t xml:space="preserve">设计规模</w:t>
      </w:r>
      <w:r>
        <w:rPr>
          <w:rFonts w:ascii="Times New Roman" w:eastAsia="宋体"/>
          <w:sz w:val="21"/>
        </w:rPr>
        <w:t xml:space="preserve">：本工程总建筑面积 18319 ㎡ / 18219 ㎡，其中地上建筑面积 18000 ㎡，地下建筑面积 319 ㎡。设计内容包括大数据研究中心 12 层，地下设备 1 层。</w:t>
      </w:r>
    </w:p>
    <w:p>
      <w:pPr/>
      <w:r>
        <w:rPr>
          <w:b/>
          <w:rFonts w:ascii="Times New Roman" w:eastAsia="宋体"/>
          <w:sz w:val="21"/>
        </w:rPr>
        <w:t xml:space="preserve">设计等级</w:t>
      </w:r>
      <w:r>
        <w:rPr>
          <w:rFonts w:ascii="Times New Roman" w:eastAsia="宋体"/>
          <w:sz w:val="21"/>
        </w:rPr>
        <w:t xml:space="preserve">：</w:t>
      </w:r>
    </w:p>
    <w:p>
      <w:pPr/>
      <w:r>
        <w:rPr>
          <w:b/>
          <w:rFonts w:ascii="Times New Roman" w:eastAsia="宋体"/>
          <w:sz w:val="21"/>
        </w:rPr>
        <w:t xml:space="preserve">表6-1 主要技术指标表</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项目</w:t>
            </w:r>
          </w:p>
        </w:tc>
        <w:tc>
          <w:tcPr>
            <w:tcW w:w="0" w:type="auto"/>
          </w:tcPr>
          <w:p>
            <w:pPr/>
            <w:r>
              <w:rPr>
                <w:b/>
                <w:rFonts w:ascii="Times New Roman" w:eastAsia="宋体"/>
                <w:sz w:val="21"/>
              </w:rPr>
              <w:t xml:space="preserve">取值</w:t>
            </w:r>
          </w:p>
        </w:tc>
      </w:tr>
      <w:tr>
        <w:tc>
          <w:tcPr>
            <w:tcW w:w="0" w:type="auto"/>
          </w:tcPr>
          <w:p>
            <w:pPr/>
            <w:r>
              <w:rPr>
                <w:rFonts w:ascii="Times New Roman" w:eastAsia="宋体"/>
                <w:sz w:val="21"/>
              </w:rPr>
              <w:t xml:space="preserve">层数</w:t>
            </w:r>
          </w:p>
        </w:tc>
        <w:tc>
          <w:tcPr>
            <w:tcW w:w="0" w:type="auto"/>
          </w:tcPr>
          <w:p>
            <w:pPr/>
            <w:r>
              <w:rPr>
                <w:rFonts w:ascii="Times New Roman" w:eastAsia="宋体"/>
                <w:sz w:val="21"/>
              </w:rPr>
              <w:t xml:space="preserve">12 层</w:t>
            </w:r>
          </w:p>
        </w:tc>
      </w:tr>
      <w:tr>
        <w:tc>
          <w:tcPr>
            <w:tcW w:w="0" w:type="auto"/>
          </w:tcPr>
          <w:p>
            <w:pPr/>
            <w:r>
              <w:rPr>
                <w:rFonts w:ascii="Times New Roman" w:eastAsia="宋体"/>
                <w:sz w:val="21"/>
              </w:rPr>
              <w:t xml:space="preserve">地下层数</w:t>
            </w:r>
          </w:p>
        </w:tc>
        <w:tc>
          <w:tcPr>
            <w:tcW w:w="0" w:type="auto"/>
          </w:tcPr>
          <w:p>
            <w:pPr/>
            <w:r>
              <w:rPr>
                <w:rFonts w:ascii="Times New Roman" w:eastAsia="宋体"/>
                <w:sz w:val="21"/>
              </w:rPr>
              <w:t xml:space="preserve">1 层</w:t>
            </w:r>
          </w:p>
        </w:tc>
      </w:tr>
      <w:tr>
        <w:tc>
          <w:tcPr>
            <w:tcW w:w="0" w:type="auto"/>
          </w:tcPr>
          <w:p>
            <w:pPr/>
            <w:r>
              <w:rPr>
                <w:rFonts w:ascii="Times New Roman" w:eastAsia="宋体"/>
                <w:sz w:val="21"/>
              </w:rPr>
              <w:t xml:space="preserve">建筑类别</w:t>
            </w:r>
          </w:p>
        </w:tc>
        <w:tc>
          <w:tcPr>
            <w:tcW w:w="0" w:type="auto"/>
          </w:tcPr>
          <w:p>
            <w:pPr/>
            <w:r>
              <w:rPr>
                <w:rFonts w:ascii="Times New Roman" w:eastAsia="宋体"/>
                <w:sz w:val="21"/>
              </w:rPr>
              <w:t xml:space="preserve">3类</w:t>
            </w:r>
          </w:p>
        </w:tc>
      </w:tr>
      <w:tr>
        <w:tc>
          <w:tcPr>
            <w:tcW w:w="0" w:type="auto"/>
          </w:tcPr>
          <w:p>
            <w:pPr/>
            <w:r>
              <w:rPr>
                <w:rFonts w:ascii="Times New Roman" w:eastAsia="宋体"/>
                <w:sz w:val="21"/>
              </w:rPr>
              <w:t xml:space="preserve">设计使用年限</w:t>
            </w:r>
          </w:p>
        </w:tc>
        <w:tc>
          <w:tcPr>
            <w:tcW w:w="0" w:type="auto"/>
          </w:tcPr>
          <w:p>
            <w:pPr/>
            <w:r>
              <w:rPr>
                <w:rFonts w:ascii="Times New Roman" w:eastAsia="宋体"/>
                <w:sz w:val="21"/>
              </w:rPr>
              <w:t xml:space="preserve">50 年</w:t>
            </w:r>
          </w:p>
        </w:tc>
      </w:tr>
      <w:tr>
        <w:tc>
          <w:tcPr>
            <w:tcW w:w="0" w:type="auto"/>
          </w:tcPr>
          <w:p>
            <w:pPr/>
            <w:r>
              <w:rPr>
                <w:rFonts w:ascii="Times New Roman" w:eastAsia="宋体"/>
                <w:sz w:val="21"/>
              </w:rPr>
              <w:t xml:space="preserve">耐火等级</w:t>
            </w:r>
          </w:p>
        </w:tc>
        <w:tc>
          <w:tcPr>
            <w:tcW w:w="0" w:type="auto"/>
          </w:tcPr>
          <w:p>
            <w:pPr/>
            <w:r>
              <w:rPr>
                <w:rFonts w:ascii="Times New Roman" w:eastAsia="宋体"/>
                <w:sz w:val="21"/>
              </w:rPr>
              <w:t xml:space="preserve">二级</w:t>
            </w:r>
          </w:p>
        </w:tc>
      </w:tr>
      <w:tr>
        <w:tc>
          <w:tcPr>
            <w:tcW w:w="0" w:type="auto"/>
          </w:tcPr>
          <w:p>
            <w:pPr/>
            <w:r>
              <w:rPr>
                <w:rFonts w:ascii="Times New Roman" w:eastAsia="宋体"/>
                <w:sz w:val="21"/>
              </w:rPr>
              <w:t xml:space="preserve">抗震设防烈度</w:t>
            </w:r>
          </w:p>
        </w:tc>
        <w:tc>
          <w:tcPr>
            <w:tcW w:w="0" w:type="auto"/>
          </w:tcPr>
          <w:p>
            <w:pPr/>
            <w:r>
              <w:rPr>
                <w:rFonts w:ascii="Times New Roman" w:eastAsia="宋体"/>
                <w:sz w:val="21"/>
              </w:rPr>
              <w:t xml:space="preserve">7 度</w:t>
            </w:r>
          </w:p>
        </w:tc>
      </w:tr>
      <w:tr>
        <w:tc>
          <w:tcPr>
            <w:tcW w:w="0" w:type="auto"/>
          </w:tcPr>
          <w:p>
            <w:pPr/>
            <w:r>
              <w:rPr>
                <w:rFonts w:ascii="Times New Roman" w:eastAsia="宋体"/>
                <w:sz w:val="21"/>
              </w:rPr>
              <w:t xml:space="preserve">建筑高度控制</w:t>
            </w:r>
          </w:p>
        </w:tc>
        <w:tc>
          <w:tcPr>
            <w:tcW w:w="0" w:type="auto"/>
          </w:tcPr>
          <w:p>
            <w:pPr/>
            <w:r>
              <w:rPr>
                <w:rFonts w:ascii="Times New Roman" w:eastAsia="宋体"/>
                <w:sz w:val="21"/>
              </w:rPr>
              <w:t xml:space="preserve">60 m</w:t>
            </w:r>
          </w:p>
        </w:tc>
      </w:tr>
      <w:tr>
        <w:tc>
          <w:tcPr>
            <w:tcW w:w="0" w:type="auto"/>
          </w:tcPr>
          <w:p>
            <w:pPr/>
            <w:r>
              <w:rPr>
                <w:rFonts w:ascii="Times New Roman" w:eastAsia="宋体"/>
                <w:sz w:val="21"/>
              </w:rPr>
              <w:t xml:space="preserve">一层层高</w:t>
            </w:r>
          </w:p>
        </w:tc>
        <w:tc>
          <w:tcPr>
            <w:tcW w:w="0" w:type="auto"/>
          </w:tcPr>
          <w:p>
            <w:pPr/>
            <w:r>
              <w:rPr>
                <w:rFonts w:ascii="Times New Roman" w:eastAsia="宋体"/>
                <w:sz w:val="21"/>
              </w:rPr>
              <w:t xml:space="preserve">5 米</w:t>
            </w:r>
          </w:p>
        </w:tc>
      </w:tr>
      <w:tr>
        <w:tc>
          <w:tcPr>
            <w:tcW w:w="0" w:type="auto"/>
          </w:tcPr>
          <w:p>
            <w:pPr/>
            <w:r>
              <w:rPr>
                <w:rFonts w:ascii="Times New Roman" w:eastAsia="宋体"/>
                <w:sz w:val="21"/>
              </w:rPr>
              <w:t xml:space="preserve">标准层层高</w:t>
            </w:r>
          </w:p>
        </w:tc>
        <w:tc>
          <w:tcPr>
            <w:tcW w:w="0" w:type="auto"/>
          </w:tcPr>
          <w:p>
            <w:pPr/>
            <w:r>
              <w:rPr>
                <w:rFonts w:ascii="Times New Roman" w:eastAsia="宋体"/>
                <w:sz w:val="21"/>
              </w:rPr>
              <w:t xml:space="preserve">4 米</w:t>
            </w:r>
          </w:p>
        </w:tc>
      </w:tr>
    </w:tbl>
    <w:p>
      <w:pPr/>
      <w:r>
        <w:rPr>
          <w:rFonts w:ascii="Times New Roman" w:eastAsia="宋体"/>
          <w:sz w:val="21"/>
        </w:rPr>
        <w:t xml:space="preserve">上述设计等级的取值依据与复核结论如下。</w:t>
      </w:r>
    </w:p>
    <w:p>
      <w:pPr/>
      <w:r>
        <w:rPr>
          <w:rFonts w:ascii="Times New Roman" w:eastAsia="宋体"/>
          <w:sz w:val="21"/>
        </w:rPr>
        <w:t xml:space="preserve">原报告 6.1 节的设计依据清单中，列有一项已被废止的规范，现依据复核说明如下。</w:t>
      </w:r>
    </w:p>
    <w:p>
      <w:pPr>
        <w:ind w:left="420"/>
      </w:pPr>
      <w:r>
        <w:rPr>
          <w:b/>
          <w:rFonts w:ascii="Times New Roman" w:eastAsia="宋体"/>
          <w:sz w:val="21"/>
        </w:rPr>
        <w:t xml:space="preserve">❌ 依据复核（B-11）</w:t>
      </w:r>
      <w:r>
        <w:rPr>
          <w:rFonts w:ascii="Times New Roman" w:eastAsia="宋体"/>
          <w:sz w:val="21"/>
        </w:rPr>
        <w:t xml:space="preserve">：报告 6.1 设计总说明把《高层民用建筑设计防火规范》列为设计依据。住建部、质检总局 2014-08-27 发布 GB50016-2014（2015-05-01 施行），</w:t>
      </w:r>
      <w:r>
        <w:rPr>
          <w:b/>
          <w:rFonts w:ascii="Times New Roman" w:eastAsia="宋体"/>
          <w:sz w:val="21"/>
        </w:rPr>
        <w:t xml:space="preserve">原《高层民用建筑设计防火规范》GB50045-95 同时废止</w:t>
      </w:r>
      <w:r>
        <w:rPr>
          <w:rFonts w:ascii="Times New Roman" w:eastAsia="宋体"/>
          <w:sz w:val="21"/>
        </w:rPr>
        <w:t xml:space="preserve">。本报告编制于 2019 年 8 月，距该规范废止已逾 4 年，属</w:t>
      </w:r>
      <w:r>
        <w:rPr>
          <w:b/>
          <w:rFonts w:ascii="Times New Roman" w:eastAsia="宋体"/>
          <w:sz w:val="21"/>
        </w:rPr>
        <w:t xml:space="preserve">引用已废止规范</w:t>
      </w:r>
      <w:r>
        <w:rPr>
          <w:rFonts w:ascii="Times New Roman" w:eastAsia="宋体"/>
          <w:sz w:val="21"/>
        </w:rPr>
        <w:t xml:space="preserve">。</w:t>
      </w:r>
    </w:p>
    <w:p>
      <w:pPr>
        <w:ind w:left="420"/>
      </w:pPr>
      <w:r>
        <w:rPr>
          <w:rFonts w:ascii="Times New Roman" w:eastAsia="宋体"/>
          <w:sz w:val="21"/>
        </w:rPr>
        <w:t xml:space="preserve">- 须核对：删除该依据或替换为现行《建筑设计防火规范》GB50016-2014（2018年版）</w:t>
      </w:r>
    </w:p>
    <w:p>
      <w:pPr>
        <w:pStyle w:val="Heading3"/>
      </w:pPr>
      <w:r>
        <w:rPr>
          <w:rFonts w:ascii="Times New Roman" w:eastAsia="宋体"/>
          <w:sz w:val="21"/>
        </w:rPr>
        <w:t xml:space="preserve">6.1.1　建筑高度与高层类别（本项目的关键前提）</w:t>
      </w:r>
    </w:p>
    <w:p>
      <w:pPr/>
      <w:r>
        <w:rPr>
          <w:rFonts w:ascii="Times New Roman" w:eastAsia="宋体"/>
          <w:sz w:val="21"/>
        </w:rPr>
        <w:t xml:space="preserve">本项目在建筑高度上存在一处</w:t>
      </w:r>
      <w:r>
        <w:rPr>
          <w:b/>
          <w:rFonts w:ascii="Times New Roman" w:eastAsia="宋体"/>
          <w:sz w:val="21"/>
        </w:rPr>
        <w:t xml:space="preserve">必须先行裁决的差异</w:t>
      </w:r>
      <w:r>
        <w:rPr>
          <w:rFonts w:ascii="Times New Roman" w:eastAsia="宋体"/>
          <w:sz w:val="21"/>
        </w:rPr>
        <w:t xml:space="preserve">，且该差异恰好跨越规范的关键阈值，因此连锁影响本章后续两项技术判定。</w:t>
      </w:r>
    </w:p>
    <w:p>
      <w:pPr/>
      <w:r>
        <w:rPr>
          <w:rFonts w:ascii="Times New Roman" w:eastAsia="宋体"/>
          <w:sz w:val="21"/>
        </w:rPr>
        <w:t xml:space="preserve">原报告 6.2.2 节载明「建筑高度控制在 60 m」，而 6.2.4 节载明「大数据研究中心层数为 12 层，一层层高为 5 米，余上的标准层层高为 4 米」。按层高逐层推算的结果如下。按 R-建筑高度校核（建筑高度控制）重算得 </w:t>
      </w:r>
      <w:r>
        <w:rPr>
          <w:b/>
          <w:rFonts w:ascii="Times New Roman" w:eastAsia="宋体"/>
          <w:sz w:val="21"/>
        </w:rPr>
        <w:t xml:space="preserve">49</w:t>
      </w:r>
      <w:r>
        <w:rPr>
          <w:rFonts w:ascii="Times New Roman" w:eastAsia="宋体"/>
          <w:sz w:val="21"/>
        </w:rPr>
        <w:t xml:space="preserve">，报告原文写 </w:t>
      </w:r>
      <w:r>
        <w:rPr>
          <w:b/>
          <w:rFonts w:ascii="Times New Roman" w:eastAsia="宋体"/>
          <w:sz w:val="21"/>
        </w:rPr>
        <w:t xml:space="preserve">60</w:t>
      </w:r>
      <w:r>
        <w:rPr>
          <w:rFonts w:ascii="Times New Roman" w:eastAsia="宋体"/>
          <w:sz w:val="21"/>
        </w:rPr>
        <w:t xml:space="preserve">，差 11（18.33%）。该差异按「待审」处理，本稿不改数。</w:t>
      </w:r>
    </w:p>
    <w:p>
      <w:pPr>
        <w:ind w:left="420"/>
      </w:pPr>
      <w:r>
        <w:rPr>
          <w:b/>
          <w:rFonts w:ascii="Times New Roman" w:eastAsia="宋体"/>
          <w:sz w:val="21"/>
        </w:rPr>
        <w:t xml:space="preserve">⚠️ 依据复核（B-01）</w:t>
      </w:r>
      <w:r>
        <w:rPr>
          <w:rFonts w:ascii="Times New Roman" w:eastAsia="宋体"/>
          <w:sz w:val="21"/>
        </w:rPr>
        <w:t xml:space="preserve">：报告 6.2.2 写「建筑高度控制在 60m」，而 6.2.4 给出「12 层、一层层高 5m、标准层层高 4m」，按层高推算为 49m（5+11×4），两者相差 11m。GB50016 表5.1.1 以「建筑高度大于 50m 的公共建筑」为一类高层公共建筑——该阈值恰好落在这两个值之间，因此</w:t>
      </w:r>
      <w:r>
        <w:rPr>
          <w:b/>
          <w:rFonts w:ascii="Times New Roman" w:eastAsia="宋体"/>
          <w:sz w:val="21"/>
        </w:rPr>
        <w:t xml:space="preserve">建筑高度冲突未裁决前，高层类别无法确定</w:t>
      </w:r>
      <w:r>
        <w:rPr>
          <w:rFonts w:ascii="Times New Roman" w:eastAsia="宋体"/>
          <w:sz w:val="21"/>
        </w:rPr>
        <w:t xml:space="preserve">。</w:t>
      </w:r>
    </w:p>
    <w:p>
      <w:pPr>
        <w:ind w:left="420"/>
      </w:pPr>
      <w:r>
        <w:rPr>
          <w:rFonts w:ascii="Times New Roman" w:eastAsia="宋体"/>
          <w:sz w:val="21"/>
        </w:rPr>
        <w:t xml:space="preserve">- 若 建筑高度 60m（按 6.2.2 声明） ⇒ &gt;50m ⇒ 一类高层公共建筑</w:t>
      </w:r>
    </w:p>
    <w:p>
      <w:pPr>
        <w:ind w:left="420"/>
      </w:pPr>
      <w:r>
        <w:rPr>
          <w:rFonts w:ascii="Times New Roman" w:eastAsia="宋体"/>
          <w:sz w:val="21"/>
        </w:rPr>
        <w:t xml:space="preserve">- 若 建筑高度 49m（按层高推算） ⇒ ≤50m ⇒ 二类高层公共建筑</w:t>
      </w:r>
    </w:p>
    <w:p>
      <w:pPr>
        <w:ind w:left="420"/>
      </w:pPr>
      <w:r>
        <w:rPr>
          <w:rFonts w:ascii="Times New Roman" w:eastAsia="宋体"/>
          <w:sz w:val="21"/>
        </w:rPr>
        <w:t xml:space="preserve">- 须核对：由设计单位确认±0.00 以上建筑高度（含屋面设备层、女儿墙是否计入）</w:t>
      </w:r>
    </w:p>
    <w:p>
      <w:pPr/>
      <w:r>
        <w:rPr>
          <w:b/>
          <w:rFonts w:ascii="Times New Roman" w:eastAsia="宋体"/>
          <w:sz w:val="21"/>
        </w:rPr>
        <w:t xml:space="preserve">本稿的处理</w:t>
      </w:r>
      <w:r>
        <w:rPr>
          <w:rFonts w:ascii="Times New Roman" w:eastAsia="宋体"/>
          <w:sz w:val="21"/>
        </w:rPr>
        <w:t xml:space="preserve">：不给单一的建筑高度，也不据此认定高层类别；本章凡涉及「一类/二类高层」前提的技术判定（耐火等级、高位消防水箱容积），一律按两条分支路径并列呈现。</w:t>
      </w:r>
    </w:p>
    <w:p>
      <w:pPr>
        <w:pStyle w:val="Heading2"/>
      </w:pPr>
      <w:r>
        <w:rPr>
          <w:rFonts w:ascii="Times New Roman" w:eastAsia="宋体"/>
          <w:sz w:val="21"/>
        </w:rPr>
        <w:t xml:space="preserve">6.2　建筑设计</w:t>
      </w:r>
    </w:p>
    <w:p>
      <w:pPr>
        <w:pStyle w:val="Heading3"/>
      </w:pPr>
      <w:r>
        <w:rPr>
          <w:rFonts w:ascii="Times New Roman" w:eastAsia="宋体"/>
          <w:sz w:val="21"/>
        </w:rPr>
        <w:t xml:space="preserve">6.2.1　方案总体构思及理念</w:t>
      </w:r>
    </w:p>
    <w:p>
      <w:pPr/>
      <w:r>
        <w:rPr>
          <w:rFonts w:ascii="Times New Roman" w:eastAsia="宋体"/>
          <w:sz w:val="21"/>
        </w:rPr>
        <w:t xml:space="preserve">方案从师生的日常学科研究与活动角度出发，为学生提供一个惬意、安静的科研环境。设计理念包括三方面：</w:t>
      </w:r>
      <w:r>
        <w:rPr>
          <w:b/>
          <w:rFonts w:ascii="Times New Roman" w:eastAsia="宋体"/>
          <w:sz w:val="21"/>
        </w:rPr>
        <w:t xml:space="preserve">强调科研环境与生态环境相结合</w:t>
      </w:r>
      <w:r>
        <w:rPr>
          <w:rFonts w:ascii="Times New Roman" w:eastAsia="宋体"/>
          <w:sz w:val="21"/>
        </w:rPr>
        <w:t xml:space="preserve">，在建筑上采用错台式的空间布置；</w:t>
      </w:r>
      <w:r>
        <w:rPr>
          <w:b/>
          <w:rFonts w:ascii="Times New Roman" w:eastAsia="宋体"/>
          <w:sz w:val="21"/>
        </w:rPr>
        <w:t xml:space="preserve">强调学生交流与以人为本</w:t>
      </w:r>
      <w:r>
        <w:rPr>
          <w:rFonts w:ascii="Times New Roman" w:eastAsia="宋体"/>
          <w:sz w:val="21"/>
        </w:rPr>
        <w:t xml:space="preserve">，设置各种能满足不同科学研究需求的大中型科研用房；</w:t>
      </w:r>
      <w:r>
        <w:rPr>
          <w:b/>
          <w:rFonts w:ascii="Times New Roman" w:eastAsia="宋体"/>
          <w:sz w:val="21"/>
        </w:rPr>
        <w:t xml:space="preserve">构筑功能合理与形象突出的新大楼</w:t>
      </w:r>
      <w:r>
        <w:rPr>
          <w:rFonts w:ascii="Times New Roman" w:eastAsia="宋体"/>
          <w:sz w:val="21"/>
        </w:rPr>
        <w:t xml:space="preserve">，在功能整合的基础上创造个性突出的建筑形象。</w:t>
      </w:r>
    </w:p>
    <w:p>
      <w:pPr>
        <w:pStyle w:val="Heading3"/>
      </w:pPr>
      <w:r>
        <w:rPr>
          <w:rFonts w:ascii="Times New Roman" w:eastAsia="宋体"/>
          <w:sz w:val="21"/>
        </w:rPr>
        <w:t xml:space="preserve">6.2.2　总体设计</w:t>
      </w:r>
    </w:p>
    <w:p>
      <w:pPr/>
      <w:r>
        <w:rPr>
          <w:rFonts w:ascii="Times New Roman" w:eastAsia="宋体"/>
          <w:sz w:val="21"/>
        </w:rPr>
        <w:t xml:space="preserve">本项目由一座主楼组成。在总体设计上注重与校园空间的呼应，将建筑作为校园又一地标性建筑来考虑，与西面的景观绿地遥相呼应，为师生学习交流营造自然、幽静和开放有机综合的空间。</w:t>
      </w:r>
    </w:p>
    <w:p>
      <w:pPr>
        <w:pStyle w:val="Heading3"/>
      </w:pPr>
      <w:r>
        <w:rPr>
          <w:rFonts w:ascii="Times New Roman" w:eastAsia="宋体"/>
          <w:sz w:val="21"/>
        </w:rPr>
        <w:t xml:space="preserve">6.2.3　交通组织与平面布局</w:t>
      </w:r>
    </w:p>
    <w:p>
      <w:pPr/>
      <w:r>
        <w:rPr>
          <w:rFonts w:ascii="Times New Roman" w:eastAsia="宋体"/>
          <w:sz w:val="21"/>
        </w:rPr>
        <w:t xml:space="preserve">建筑主要出入口位于校园南侧，校园消防车道环通，为消防车登高扑救创造条件。总体功能由北侧和南侧建筑形成；建筑南侧靠近校区内的下沉庭院、毗邻图书馆，北侧靠近食堂与宿舍，在师生的日常科研、生活、休息空间形成了「三者统一」的格局，西侧面临景观绿地，具有良好的景观视线。</w:t>
      </w:r>
    </w:p>
    <w:p>
      <w:pPr/>
      <w:r>
        <w:rPr>
          <w:rFonts w:ascii="Times New Roman" w:eastAsia="宋体"/>
          <w:sz w:val="21"/>
        </w:rPr>
        <w:t xml:space="preserve">单体设计方面，大数据研究中心一层主要功能为门厅与科研用房，二至十二层为大科研用房与部分交流活动用房，形成科研与交流的统一结合，局部楼层拥有露台等公共区域。</w:t>
      </w:r>
    </w:p>
    <w:p>
      <w:pPr>
        <w:ind w:left="420"/>
      </w:pPr>
      <w:r>
        <w:rPr>
          <w:b/>
          <w:rFonts w:ascii="Times New Roman" w:eastAsia="宋体"/>
          <w:sz w:val="21"/>
        </w:rPr>
        <w:t xml:space="preserve">设计单位专属事项</w:t>
      </w:r>
      <w:r>
        <w:rPr>
          <w:rFonts w:ascii="Times New Roman" w:eastAsia="宋体"/>
          <w:sz w:val="21"/>
        </w:rPr>
        <w:t xml:space="preserve">：柱网尺寸、抗震缝设置、设备管井位置、平面功能房间的具体划分，属设计单位专业判断范围，本可研阶段不作规定；</w:t>
      </w:r>
      <w:r>
        <w:rPr>
          <w:b/>
          <w:rFonts w:ascii="Times New Roman" w:eastAsia="宋体"/>
          <w:sz w:val="21"/>
        </w:rPr>
        <w:t xml:space="preserve">（待设计单位提供——本稿留白，不代拟。）</w:t>
      </w:r>
    </w:p>
    <w:p>
      <w:pPr>
        <w:pStyle w:val="Heading3"/>
      </w:pPr>
      <w:r>
        <w:rPr>
          <w:rFonts w:ascii="Times New Roman" w:eastAsia="宋体"/>
          <w:sz w:val="21"/>
        </w:rPr>
        <w:t xml:space="preserve">6.2.4　立面、形态与景观系统</w:t>
      </w:r>
    </w:p>
    <w:p>
      <w:pPr/>
      <w:r>
        <w:rPr>
          <w:rFonts w:ascii="Times New Roman" w:eastAsia="宋体"/>
          <w:sz w:val="21"/>
        </w:rPr>
        <w:t xml:space="preserve">建筑风格简洁现代，虚实对比增强建筑识别性；建筑立面采用幕墙系统，以玻璃幕墙为主，局部采用实墙面，打造造型丰富有变化的建筑形象。建筑方案主要以「书与书架」为寓意，形成建筑形态错落的形式，打造空间局部错落与灰空间的开放空间，并将景观引入到建筑的错层中。</w:t>
      </w:r>
    </w:p>
    <w:p>
      <w:pPr>
        <w:pStyle w:val="Heading3"/>
      </w:pPr>
      <w:r>
        <w:rPr>
          <w:rFonts w:ascii="Times New Roman" w:eastAsia="宋体"/>
          <w:sz w:val="21"/>
        </w:rPr>
        <w:t xml:space="preserve">6.2.5　无障碍设计</w:t>
      </w:r>
    </w:p>
    <w:p>
      <w:pPr/>
      <w:r>
        <w:rPr>
          <w:rFonts w:ascii="Times New Roman" w:eastAsia="宋体"/>
          <w:sz w:val="21"/>
        </w:rPr>
        <w:t xml:space="preserve">无障碍设计内容包括建筑入口及门、水平和垂直交通、公共厕所三类。主要出入口为无台阶式并设有无障碍坡道；公共交通空间、无障碍电梯、无障碍专用卫生间均按规范要求设置了相应尺寸与设施。</w:t>
      </w:r>
    </w:p>
    <w:p>
      <w:pPr/>
      <w:r>
        <w:rPr>
          <w:rFonts w:ascii="Times New Roman" w:eastAsia="宋体"/>
          <w:sz w:val="21"/>
        </w:rPr>
        <w:t xml:space="preserve">需要指出的是，原报告在无障碍设计的依据引用上出现了</w:t>
      </w:r>
      <w:r>
        <w:rPr>
          <w:b/>
          <w:rFonts w:ascii="Times New Roman" w:eastAsia="宋体"/>
          <w:sz w:val="21"/>
        </w:rPr>
        <w:t xml:space="preserve">同一规范三个编号/名称并列</w:t>
      </w:r>
      <w:r>
        <w:rPr>
          <w:rFonts w:ascii="Times New Roman" w:eastAsia="宋体"/>
          <w:sz w:val="21"/>
        </w:rPr>
        <w:t xml:space="preserve">的情况（6.1 节与 6.2.7 节分别引用了不同编号）。该问题已登记为待审事项；无障碍设计属强制性要求，引用写法错误会在施工图审查环节被直接指出，建议统一按现行有效规范核对后引用。</w:t>
      </w:r>
    </w:p>
    <w:p>
      <w:pPr>
        <w:pStyle w:val="Heading2"/>
      </w:pPr>
      <w:r>
        <w:rPr>
          <w:rFonts w:ascii="Times New Roman" w:eastAsia="宋体"/>
          <w:sz w:val="21"/>
        </w:rPr>
        <w:t xml:space="preserve">6.3　结构设计</w:t>
      </w:r>
    </w:p>
    <w:p>
      <w:pPr/>
      <w:r>
        <w:rPr>
          <w:b/>
          <w:rFonts w:ascii="Times New Roman" w:eastAsia="宋体"/>
          <w:sz w:val="21"/>
        </w:rPr>
        <w:t xml:space="preserve">设计依据</w:t>
      </w:r>
      <w:r>
        <w:rPr>
          <w:rFonts w:ascii="Times New Roman" w:eastAsia="宋体"/>
          <w:sz w:val="21"/>
        </w:rPr>
        <w:t xml:space="preserve">：结构设计依据包括结构可靠度与荷载、抗震、混凝土结构、高层结构、砌体、钢结构、地基基础、桩基、地下防水、防火等国家与地方标准，以及装配式建筑相关规程与图集。</w:t>
      </w:r>
    </w:p>
    <w:p>
      <w:pPr/>
      <w:r>
        <w:rPr>
          <w:b/>
          <w:rFonts w:ascii="Times New Roman" w:eastAsia="宋体"/>
          <w:sz w:val="21"/>
        </w:rPr>
        <w:t xml:space="preserve">自然条件与地震作用</w:t>
      </w:r>
      <w:r>
        <w:rPr>
          <w:rFonts w:ascii="Times New Roman" w:eastAsia="宋体"/>
          <w:sz w:val="21"/>
        </w:rPr>
        <w:t xml:space="preserve">：结构设计的基本输入参数如下。</w:t>
      </w:r>
    </w:p>
    <w:p>
      <w:pPr/>
      <w:r>
        <w:rPr>
          <w:b/>
          <w:rFonts w:ascii="Times New Roman" w:eastAsia="宋体"/>
          <w:sz w:val="21"/>
        </w:rPr>
        <w:t xml:space="preserve">表6-3 主要荷载取值</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房间/部位</w:t>
            </w:r>
          </w:p>
        </w:tc>
        <w:tc>
          <w:tcPr>
            <w:tcW w:w="0" w:type="auto"/>
          </w:tcPr>
          <w:p>
            <w:pPr/>
            <w:r>
              <w:rPr>
                <w:b/>
                <w:rFonts w:ascii="Times New Roman" w:eastAsia="宋体"/>
                <w:sz w:val="21"/>
              </w:rPr>
              <w:t xml:space="preserve">类别</w:t>
            </w:r>
          </w:p>
        </w:tc>
        <w:tc>
          <w:tcPr>
            <w:tcW w:w="0" w:type="auto"/>
          </w:tcPr>
          <w:p>
            <w:pPr/>
            <w:r>
              <w:rPr>
                <w:b/>
                <w:rFonts w:ascii="Times New Roman" w:eastAsia="宋体"/>
                <w:sz w:val="21"/>
              </w:rPr>
              <w:t xml:space="preserve">标准值</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基本风压</w:t>
            </w:r>
          </w:p>
        </w:tc>
        <w:tc>
          <w:tcPr>
            <w:tcW w:w="0" w:type="auto"/>
          </w:tcPr>
          <w:p>
            <w:pPr/>
            <w:r>
              <w:rPr>
                <w:rFonts w:ascii="Times New Roman" w:eastAsia="宋体"/>
                <w:sz w:val="21"/>
              </w:rPr>
              <w:t xml:space="preserve">0.55 kN/m²</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基本雪压</w:t>
            </w:r>
          </w:p>
        </w:tc>
        <w:tc>
          <w:tcPr>
            <w:tcW w:w="0" w:type="auto"/>
          </w:tcPr>
          <w:p>
            <w:pPr/>
            <w:r>
              <w:rPr>
                <w:rFonts w:ascii="Times New Roman" w:eastAsia="宋体"/>
                <w:sz w:val="21"/>
              </w:rPr>
              <w:t xml:space="preserve">0.20 kN/m²</w:t>
            </w:r>
          </w:p>
        </w:tc>
      </w:tr>
      <w:tr>
        <w:tc>
          <w:tcPr>
            <w:tcW w:w="0" w:type="auto"/>
          </w:tcPr>
          <w:p>
            <w:pPr/>
            <w:r>
              <w:rPr>
                <w:rFonts w:ascii="Times New Roman" w:eastAsia="宋体"/>
                <w:sz w:val="21"/>
              </w:rPr>
              <w:t xml:space="preserve">科研用房</w:t>
            </w:r>
          </w:p>
        </w:tc>
        <w:tc>
          <w:tcPr>
            <w:tcW w:w="0" w:type="auto"/>
          </w:tcPr>
          <w:p>
            <w:pPr/>
            <w:r>
              <w:rPr>
                <w:rFonts w:ascii="Times New Roman" w:eastAsia="宋体"/>
                <w:sz w:val="21"/>
              </w:rPr>
              <w:t xml:space="preserve">楼面活荷载标准值</w:t>
            </w:r>
          </w:p>
        </w:tc>
        <w:tc>
          <w:tcPr>
            <w:tcW w:w="0" w:type="auto"/>
          </w:tcPr>
          <w:p>
            <w:pPr/>
            <w:r>
              <w:rPr>
                <w:rFonts w:ascii="Times New Roman" w:eastAsia="宋体"/>
                <w:sz w:val="21"/>
              </w:rPr>
              <w:t xml:space="preserve">2.5 kN/m²</w:t>
            </w:r>
          </w:p>
        </w:tc>
      </w:tr>
      <w:tr>
        <w:tc>
          <w:tcPr>
            <w:tcW w:w="0" w:type="auto"/>
          </w:tcPr>
          <w:p>
            <w:pPr/>
            <w:r>
              <w:rPr>
                <w:rFonts w:ascii="Times New Roman" w:eastAsia="宋体"/>
                <w:sz w:val="21"/>
              </w:rPr>
              <w:t xml:space="preserve">实验室</w:t>
            </w:r>
          </w:p>
        </w:tc>
        <w:tc>
          <w:tcPr>
            <w:tcW w:w="0" w:type="auto"/>
          </w:tcPr>
          <w:p>
            <w:pPr/>
            <w:r>
              <w:rPr>
                <w:rFonts w:ascii="Times New Roman" w:eastAsia="宋体"/>
                <w:sz w:val="21"/>
              </w:rPr>
              <w:t xml:space="preserve">楼面活荷载标准值</w:t>
            </w:r>
          </w:p>
        </w:tc>
        <w:tc>
          <w:tcPr>
            <w:tcW w:w="0" w:type="auto"/>
          </w:tcPr>
          <w:p>
            <w:pPr/>
            <w:r>
              <w:rPr>
                <w:rFonts w:ascii="Times New Roman" w:eastAsia="宋体"/>
                <w:sz w:val="21"/>
              </w:rPr>
              <w:t xml:space="preserve">4.0 kN/m²</w:t>
            </w:r>
          </w:p>
        </w:tc>
      </w:tr>
      <w:tr>
        <w:tc>
          <w:tcPr>
            <w:tcW w:w="0" w:type="auto"/>
          </w:tcPr>
          <w:p>
            <w:pPr/>
            <w:r>
              <w:rPr>
                <w:rFonts w:ascii="Times New Roman" w:eastAsia="宋体"/>
                <w:sz w:val="21"/>
              </w:rPr>
              <w:t xml:space="preserve">办公室阅览室会议室</w:t>
            </w:r>
          </w:p>
        </w:tc>
        <w:tc>
          <w:tcPr>
            <w:tcW w:w="0" w:type="auto"/>
          </w:tcPr>
          <w:p>
            <w:pPr/>
            <w:r>
              <w:rPr>
                <w:rFonts w:ascii="Times New Roman" w:eastAsia="宋体"/>
                <w:sz w:val="21"/>
              </w:rPr>
              <w:t xml:space="preserve">楼面活荷载标准值</w:t>
            </w:r>
          </w:p>
        </w:tc>
        <w:tc>
          <w:tcPr>
            <w:tcW w:w="0" w:type="auto"/>
          </w:tcPr>
          <w:p>
            <w:pPr/>
            <w:r>
              <w:rPr>
                <w:rFonts w:ascii="Times New Roman" w:eastAsia="宋体"/>
                <w:sz w:val="21"/>
              </w:rPr>
              <w:t xml:space="preserve">2.0 kN/m²</w:t>
            </w:r>
          </w:p>
        </w:tc>
      </w:tr>
      <w:tr>
        <w:tc>
          <w:tcPr>
            <w:tcW w:w="0" w:type="auto"/>
          </w:tcPr>
          <w:p>
            <w:pPr/>
            <w:r>
              <w:rPr>
                <w:rFonts w:ascii="Times New Roman" w:eastAsia="宋体"/>
                <w:sz w:val="21"/>
              </w:rPr>
              <w:t xml:space="preserve">一般资料档案室</w:t>
            </w:r>
          </w:p>
        </w:tc>
        <w:tc>
          <w:tcPr>
            <w:tcW w:w="0" w:type="auto"/>
          </w:tcPr>
          <w:p>
            <w:pPr/>
            <w:r>
              <w:rPr>
                <w:rFonts w:ascii="Times New Roman" w:eastAsia="宋体"/>
                <w:sz w:val="21"/>
              </w:rPr>
              <w:t xml:space="preserve">楼面活荷载标准值</w:t>
            </w:r>
          </w:p>
        </w:tc>
        <w:tc>
          <w:tcPr>
            <w:tcW w:w="0" w:type="auto"/>
          </w:tcPr>
          <w:p>
            <w:pPr/>
            <w:r>
              <w:rPr>
                <w:rFonts w:ascii="Times New Roman" w:eastAsia="宋体"/>
                <w:sz w:val="21"/>
              </w:rPr>
              <w:t xml:space="preserve">2.5 kN/m²</w:t>
            </w:r>
          </w:p>
        </w:tc>
      </w:tr>
      <w:tr>
        <w:tc>
          <w:tcPr>
            <w:tcW w:w="0" w:type="auto"/>
          </w:tcPr>
          <w:p>
            <w:pPr/>
            <w:r>
              <w:rPr>
                <w:rFonts w:ascii="Times New Roman" w:eastAsia="宋体"/>
                <w:sz w:val="21"/>
              </w:rPr>
              <w:t xml:space="preserve">走廊门厅楼梯</w:t>
            </w:r>
          </w:p>
        </w:tc>
        <w:tc>
          <w:tcPr>
            <w:tcW w:w="0" w:type="auto"/>
          </w:tcPr>
          <w:p>
            <w:pPr/>
            <w:r>
              <w:rPr>
                <w:rFonts w:ascii="Times New Roman" w:eastAsia="宋体"/>
                <w:sz w:val="21"/>
              </w:rPr>
              <w:t xml:space="preserve">楼面活荷载标准值</w:t>
            </w:r>
          </w:p>
        </w:tc>
        <w:tc>
          <w:tcPr>
            <w:tcW w:w="0" w:type="auto"/>
          </w:tcPr>
          <w:p>
            <w:pPr/>
            <w:r>
              <w:rPr>
                <w:rFonts w:ascii="Times New Roman" w:eastAsia="宋体"/>
                <w:sz w:val="21"/>
              </w:rPr>
              <w:t xml:space="preserve">3.5 kN/m²</w:t>
            </w:r>
          </w:p>
        </w:tc>
      </w:tr>
      <w:tr>
        <w:tc>
          <w:tcPr>
            <w:tcW w:w="0" w:type="auto"/>
          </w:tcPr>
          <w:p>
            <w:pPr/>
            <w:r>
              <w:rPr>
                <w:rFonts w:ascii="Times New Roman" w:eastAsia="宋体"/>
                <w:sz w:val="21"/>
              </w:rPr>
              <w:t xml:space="preserve">计算机机房弱电机房地下设备用房</w:t>
            </w:r>
          </w:p>
        </w:tc>
        <w:tc>
          <w:tcPr>
            <w:tcW w:w="0" w:type="auto"/>
          </w:tcPr>
          <w:p>
            <w:pPr/>
            <w:r>
              <w:rPr>
                <w:rFonts w:ascii="Times New Roman" w:eastAsia="宋体"/>
                <w:sz w:val="21"/>
              </w:rPr>
              <w:t xml:space="preserve">楼面活荷载标准值</w:t>
            </w:r>
          </w:p>
        </w:tc>
        <w:tc>
          <w:tcPr>
            <w:tcW w:w="0" w:type="auto"/>
          </w:tcPr>
          <w:p>
            <w:pPr/>
            <w:r>
              <w:rPr>
                <w:rFonts w:ascii="Times New Roman" w:eastAsia="宋体"/>
                <w:sz w:val="21"/>
              </w:rPr>
              <w:t xml:space="preserve">7.0 kN/m²</w:t>
            </w:r>
          </w:p>
        </w:tc>
      </w:tr>
      <w:tr>
        <w:tc>
          <w:tcPr>
            <w:tcW w:w="0" w:type="auto"/>
          </w:tcPr>
          <w:p>
            <w:pPr/>
            <w:r>
              <w:rPr>
                <w:rFonts w:ascii="Times New Roman" w:eastAsia="宋体"/>
                <w:sz w:val="21"/>
              </w:rPr>
              <w:t xml:space="preserve">变配电间水泵房</w:t>
            </w:r>
          </w:p>
        </w:tc>
        <w:tc>
          <w:tcPr>
            <w:tcW w:w="0" w:type="auto"/>
          </w:tcPr>
          <w:p>
            <w:pPr/>
            <w:r>
              <w:rPr>
                <w:rFonts w:ascii="Times New Roman" w:eastAsia="宋体"/>
                <w:sz w:val="21"/>
              </w:rPr>
              <w:t xml:space="preserve">楼面活荷载标准值</w:t>
            </w:r>
          </w:p>
        </w:tc>
        <w:tc>
          <w:tcPr>
            <w:tcW w:w="0" w:type="auto"/>
          </w:tcPr>
          <w:p>
            <w:pPr/>
            <w:r>
              <w:rPr>
                <w:rFonts w:ascii="Times New Roman" w:eastAsia="宋体"/>
                <w:sz w:val="21"/>
              </w:rPr>
              <w:t xml:space="preserve">10.0 kN/m²</w:t>
            </w:r>
          </w:p>
        </w:tc>
      </w:tr>
      <w:tr>
        <w:tc>
          <w:tcPr>
            <w:tcW w:w="0" w:type="auto"/>
          </w:tcPr>
          <w:p>
            <w:pPr/>
            <w:r>
              <w:rPr>
                <w:rFonts w:ascii="Times New Roman" w:eastAsia="宋体"/>
                <w:sz w:val="21"/>
              </w:rPr>
              <w:t xml:space="preserve">上人屋面</w:t>
            </w:r>
          </w:p>
        </w:tc>
        <w:tc>
          <w:tcPr>
            <w:tcW w:w="0" w:type="auto"/>
          </w:tcPr>
          <w:p>
            <w:pPr/>
            <w:r>
              <w:rPr>
                <w:rFonts w:ascii="Times New Roman" w:eastAsia="宋体"/>
                <w:sz w:val="21"/>
              </w:rPr>
              <w:t xml:space="preserve">屋面活荷载标准值</w:t>
            </w:r>
          </w:p>
        </w:tc>
        <w:tc>
          <w:tcPr>
            <w:tcW w:w="0" w:type="auto"/>
          </w:tcPr>
          <w:p>
            <w:pPr/>
            <w:r>
              <w:rPr>
                <w:rFonts w:ascii="Times New Roman" w:eastAsia="宋体"/>
                <w:sz w:val="21"/>
              </w:rPr>
              <w:t xml:space="preserve">2.0 kN/m²</w:t>
            </w:r>
          </w:p>
        </w:tc>
      </w:tr>
      <w:tr>
        <w:tc>
          <w:tcPr>
            <w:tcW w:w="0" w:type="auto"/>
          </w:tcPr>
          <w:p>
            <w:pPr/>
            <w:r>
              <w:rPr>
                <w:rFonts w:ascii="Times New Roman" w:eastAsia="宋体"/>
                <w:sz w:val="21"/>
              </w:rPr>
              <w:t xml:space="preserve">不上人屋面</w:t>
            </w:r>
          </w:p>
        </w:tc>
        <w:tc>
          <w:tcPr>
            <w:tcW w:w="0" w:type="auto"/>
          </w:tcPr>
          <w:p>
            <w:pPr/>
            <w:r>
              <w:rPr>
                <w:rFonts w:ascii="Times New Roman" w:eastAsia="宋体"/>
                <w:sz w:val="21"/>
              </w:rPr>
              <w:t xml:space="preserve">屋面活荷载标准值</w:t>
            </w:r>
          </w:p>
        </w:tc>
        <w:tc>
          <w:tcPr>
            <w:tcW w:w="0" w:type="auto"/>
          </w:tcPr>
          <w:p>
            <w:pPr/>
            <w:r>
              <w:rPr>
                <w:rFonts w:ascii="Times New Roman" w:eastAsia="宋体"/>
                <w:sz w:val="21"/>
              </w:rPr>
              <w:t xml:space="preserve">0.5 kN/m²</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多遇水平地震影响系数</w:t>
            </w:r>
          </w:p>
        </w:tc>
        <w:tc>
          <w:tcPr>
            <w:tcW w:w="0" w:type="auto"/>
          </w:tcPr>
          <w:p>
            <w:pPr/>
            <w:r>
              <w:rPr>
                <w:rFonts w:ascii="Times New Roman" w:eastAsia="宋体"/>
                <w:sz w:val="21"/>
              </w:rPr>
              <w:t xml:space="preserve">0.08 -</w:t>
            </w:r>
          </w:p>
        </w:tc>
      </w:tr>
      <w:tr>
        <w:tc>
          <w:tcPr>
            <w:tcW w:w="0" w:type="auto"/>
          </w:tcPr>
          <w:p>
            <w:pPr/>
            <w:r>
              <w:rPr>
                <w:rFonts w:ascii="Times New Roman" w:eastAsia="宋体"/>
                <w:sz w:val="21"/>
              </w:rPr>
              <w:t xml:space="preserve">区域潜水位一般理深</w:t>
            </w:r>
          </w:p>
        </w:tc>
        <w:tc>
          <w:tcPr>
            <w:tcW w:w="0" w:type="auto"/>
          </w:tcPr>
          <w:p>
            <w:pPr/>
            <w:r>
              <w:rPr>
                <w:rFonts w:ascii="Times New Roman" w:eastAsia="宋体"/>
                <w:sz w:val="21"/>
              </w:rPr>
              <w:t xml:space="preserve">取值区间</w:t>
            </w:r>
          </w:p>
        </w:tc>
        <w:tc>
          <w:tcPr>
            <w:tcW w:w="0" w:type="auto"/>
          </w:tcPr>
          <w:p>
            <w:pPr/>
            <w:r>
              <w:rPr>
                <w:rFonts w:ascii="Times New Roman" w:eastAsia="宋体"/>
                <w:sz w:val="21"/>
              </w:rPr>
              <w:t xml:space="preserve">0.5~1.5 米</w:t>
            </w:r>
          </w:p>
        </w:tc>
      </w:tr>
      <w:tr>
        <w:tc>
          <w:tcPr>
            <w:tcW w:w="0" w:type="auto"/>
          </w:tcPr>
          <w:p>
            <w:pPr/>
            <w:r>
              <w:rPr>
                <w:rFonts w:ascii="Times New Roman" w:eastAsia="宋体"/>
                <w:sz w:val="21"/>
              </w:rPr>
              <w:t xml:space="preserve">渗透系数</w:t>
            </w:r>
          </w:p>
        </w:tc>
        <w:tc>
          <w:tcPr>
            <w:tcW w:w="0" w:type="auto"/>
          </w:tcPr>
          <w:p>
            <w:pPr/>
            <w:r>
              <w:rPr>
                <w:rFonts w:ascii="Times New Roman" w:eastAsia="宋体"/>
                <w:sz w:val="21"/>
              </w:rPr>
              <w:t xml:space="preserve">取值区间</w:t>
            </w:r>
          </w:p>
        </w:tc>
        <w:tc>
          <w:tcPr>
            <w:tcW w:w="0" w:type="auto"/>
          </w:tcPr>
          <w:p>
            <w:pPr/>
            <w:r>
              <w:rPr>
                <w:rFonts w:ascii="Times New Roman" w:eastAsia="宋体"/>
                <w:sz w:val="21"/>
              </w:rPr>
              <w:t xml:space="preserve">0.06~0.08 米/昼夜</w:t>
            </w:r>
          </w:p>
        </w:tc>
      </w:tr>
      <w:tr>
        <w:tc>
          <w:tcPr>
            <w:tcW w:w="0" w:type="auto"/>
          </w:tcPr>
          <w:p>
            <w:pPr/>
            <w:r>
              <w:rPr>
                <w:rFonts w:ascii="Times New Roman" w:eastAsia="宋体"/>
                <w:sz w:val="21"/>
              </w:rPr>
              <w:t xml:space="preserve">河口滨海冲积平原区为</w:t>
            </w:r>
          </w:p>
        </w:tc>
        <w:tc>
          <w:tcPr>
            <w:tcW w:w="0" w:type="auto"/>
          </w:tcPr>
          <w:p>
            <w:pPr/>
            <w:r>
              <w:rPr>
                <w:rFonts w:ascii="Times New Roman" w:eastAsia="宋体"/>
                <w:sz w:val="21"/>
              </w:rPr>
              <w:t xml:space="preserve">取值区间</w:t>
            </w:r>
          </w:p>
        </w:tc>
        <w:tc>
          <w:tcPr>
            <w:tcW w:w="0" w:type="auto"/>
          </w:tcPr>
          <w:p>
            <w:pPr/>
            <w:r>
              <w:rPr>
                <w:rFonts w:ascii="Times New Roman" w:eastAsia="宋体"/>
                <w:sz w:val="21"/>
              </w:rPr>
              <w:t xml:space="preserve">0.04~0.11 米/昼夜</w:t>
            </w:r>
          </w:p>
        </w:tc>
      </w:tr>
    </w:tbl>
    <w:p>
      <w:pPr/>
      <w:r>
        <w:rPr>
          <w:rFonts w:ascii="Times New Roman" w:eastAsia="宋体"/>
          <w:sz w:val="21"/>
        </w:rPr>
        <w:t xml:space="preserve">上述荷载取值是结构构件截面与配筋计算的直接输入，逐条对应到房间用途，可直接复核；这是本章「可研深度」的重要体现——</w:t>
      </w:r>
      <w:r>
        <w:rPr>
          <w:b/>
          <w:rFonts w:ascii="Times New Roman" w:eastAsia="宋体"/>
          <w:sz w:val="21"/>
        </w:rPr>
        <w:t xml:space="preserve">追问的是数字，而不是「有没有设置」</w:t>
      </w:r>
      <w:r>
        <w:rPr>
          <w:rFonts w:ascii="Times New Roman" w:eastAsia="宋体"/>
          <w:sz w:val="21"/>
        </w:rPr>
        <w:t xml:space="preserve">。</w:t>
      </w:r>
    </w:p>
    <w:p>
      <w:pPr/>
      <w:r>
        <w:rPr>
          <w:b/>
          <w:rFonts w:ascii="Times New Roman" w:eastAsia="宋体"/>
          <w:sz w:val="21"/>
        </w:rPr>
        <w:t xml:space="preserve">结构形式与基础</w:t>
      </w:r>
      <w:r>
        <w:rPr>
          <w:rFonts w:ascii="Times New Roman" w:eastAsia="宋体"/>
          <w:sz w:val="21"/>
        </w:rPr>
        <w:t xml:space="preserve">：</w:t>
      </w:r>
    </w:p>
    <w:p>
      <w:pPr/>
      <w:r>
        <w:rPr>
          <w:b/>
          <w:rFonts w:ascii="Times New Roman" w:eastAsia="宋体"/>
          <w:sz w:val="21"/>
        </w:rPr>
        <w:t xml:space="preserve">表6-2 结构设计主要取值</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项目</w:t>
            </w:r>
          </w:p>
        </w:tc>
        <w:tc>
          <w:tcPr>
            <w:tcW w:w="0" w:type="auto"/>
          </w:tcPr>
          <w:p>
            <w:pPr/>
            <w:r>
              <w:rPr>
                <w:b/>
                <w:rFonts w:ascii="Times New Roman" w:eastAsia="宋体"/>
                <w:sz w:val="21"/>
              </w:rPr>
              <w:t xml:space="preserve">取值</w:t>
            </w:r>
          </w:p>
        </w:tc>
      </w:tr>
      <w:tr>
        <w:tc>
          <w:tcPr>
            <w:tcW w:w="0" w:type="auto"/>
          </w:tcPr>
          <w:p>
            <w:pPr/>
            <w:r>
              <w:rPr>
                <w:rFonts w:ascii="Times New Roman" w:eastAsia="宋体"/>
                <w:sz w:val="21"/>
              </w:rPr>
              <w:t xml:space="preserve">建筑结构安全等级</w:t>
            </w:r>
          </w:p>
        </w:tc>
        <w:tc>
          <w:tcPr>
            <w:tcW w:w="0" w:type="auto"/>
          </w:tcPr>
          <w:p>
            <w:pPr/>
            <w:r>
              <w:rPr>
                <w:rFonts w:ascii="Times New Roman" w:eastAsia="宋体"/>
                <w:sz w:val="21"/>
              </w:rPr>
              <w:t xml:space="preserve">二级</w:t>
            </w:r>
          </w:p>
        </w:tc>
      </w:tr>
      <w:tr>
        <w:tc>
          <w:tcPr>
            <w:tcW w:w="0" w:type="auto"/>
          </w:tcPr>
          <w:p>
            <w:pPr/>
            <w:r>
              <w:rPr>
                <w:rFonts w:ascii="Times New Roman" w:eastAsia="宋体"/>
                <w:sz w:val="21"/>
              </w:rPr>
              <w:t xml:space="preserve">地基基础安全等级</w:t>
            </w:r>
          </w:p>
        </w:tc>
        <w:tc>
          <w:tcPr>
            <w:tcW w:w="0" w:type="auto"/>
          </w:tcPr>
          <w:p>
            <w:pPr/>
            <w:r>
              <w:rPr>
                <w:rFonts w:ascii="Times New Roman" w:eastAsia="宋体"/>
                <w:sz w:val="21"/>
              </w:rPr>
              <w:t xml:space="preserve">二级</w:t>
            </w:r>
          </w:p>
        </w:tc>
      </w:tr>
      <w:tr>
        <w:tc>
          <w:tcPr>
            <w:tcW w:w="0" w:type="auto"/>
          </w:tcPr>
          <w:p>
            <w:pPr/>
            <w:r>
              <w:rPr>
                <w:rFonts w:ascii="Times New Roman" w:eastAsia="宋体"/>
                <w:sz w:val="21"/>
              </w:rPr>
              <w:t xml:space="preserve">地基基础设计等级</w:t>
            </w:r>
          </w:p>
        </w:tc>
        <w:tc>
          <w:tcPr>
            <w:tcW w:w="0" w:type="auto"/>
          </w:tcPr>
          <w:p>
            <w:pPr/>
            <w:r>
              <w:rPr>
                <w:rFonts w:ascii="Times New Roman" w:eastAsia="宋体"/>
                <w:sz w:val="21"/>
              </w:rPr>
              <w:t xml:space="preserve">乙级</w:t>
            </w:r>
          </w:p>
        </w:tc>
      </w:tr>
      <w:tr>
        <w:tc>
          <w:tcPr>
            <w:tcW w:w="0" w:type="auto"/>
          </w:tcPr>
          <w:p>
            <w:pPr/>
            <w:r>
              <w:rPr>
                <w:rFonts w:ascii="Times New Roman" w:eastAsia="宋体"/>
                <w:sz w:val="21"/>
              </w:rPr>
              <w:t xml:space="preserve">抗震设防类别</w:t>
            </w:r>
          </w:p>
        </w:tc>
        <w:tc>
          <w:tcPr>
            <w:tcW w:w="0" w:type="auto"/>
          </w:tcPr>
          <w:p>
            <w:pPr/>
            <w:r>
              <w:rPr>
                <w:rFonts w:ascii="Times New Roman" w:eastAsia="宋体"/>
                <w:sz w:val="21"/>
              </w:rPr>
              <w:t xml:space="preserve">标准设防类（丙类）</w:t>
            </w:r>
          </w:p>
        </w:tc>
      </w:tr>
      <w:tr>
        <w:tc>
          <w:tcPr>
            <w:tcW w:w="0" w:type="auto"/>
          </w:tcPr>
          <w:p>
            <w:pPr/>
            <w:r>
              <w:rPr>
                <w:rFonts w:ascii="Times New Roman" w:eastAsia="宋体"/>
                <w:sz w:val="21"/>
              </w:rPr>
              <w:t xml:space="preserve">框架抗震等级</w:t>
            </w:r>
          </w:p>
        </w:tc>
        <w:tc>
          <w:tcPr>
            <w:tcW w:w="0" w:type="auto"/>
          </w:tcPr>
          <w:p>
            <w:pPr/>
            <w:r>
              <w:rPr>
                <w:rFonts w:ascii="Times New Roman" w:eastAsia="宋体"/>
                <w:sz w:val="21"/>
              </w:rPr>
              <w:t xml:space="preserve">三级</w:t>
            </w:r>
          </w:p>
        </w:tc>
      </w:tr>
      <w:tr>
        <w:tc>
          <w:tcPr>
            <w:tcW w:w="0" w:type="auto"/>
          </w:tcPr>
          <w:p>
            <w:pPr/>
            <w:r>
              <w:rPr>
                <w:rFonts w:ascii="Times New Roman" w:eastAsia="宋体"/>
                <w:sz w:val="21"/>
              </w:rPr>
              <w:t xml:space="preserve">剪力墙抗震等级</w:t>
            </w:r>
          </w:p>
        </w:tc>
        <w:tc>
          <w:tcPr>
            <w:tcW w:w="0" w:type="auto"/>
          </w:tcPr>
          <w:p>
            <w:pPr/>
            <w:r>
              <w:rPr>
                <w:rFonts w:ascii="Times New Roman" w:eastAsia="宋体"/>
                <w:sz w:val="21"/>
              </w:rPr>
              <w:t xml:space="preserve">二级</w:t>
            </w:r>
          </w:p>
        </w:tc>
      </w:tr>
      <w:tr>
        <w:tc>
          <w:tcPr>
            <w:tcW w:w="0" w:type="auto"/>
          </w:tcPr>
          <w:p>
            <w:pPr/>
            <w:r>
              <w:rPr>
                <w:rFonts w:ascii="Times New Roman" w:eastAsia="宋体"/>
                <w:sz w:val="21"/>
              </w:rPr>
              <w:t xml:space="preserve">绿色建筑设计标准</w:t>
            </w:r>
          </w:p>
        </w:tc>
        <w:tc>
          <w:tcPr>
            <w:tcW w:w="0" w:type="auto"/>
          </w:tcPr>
          <w:p>
            <w:pPr/>
            <w:r>
              <w:rPr>
                <w:rFonts w:ascii="Times New Roman" w:eastAsia="宋体"/>
                <w:sz w:val="21"/>
              </w:rPr>
              <w:t xml:space="preserve">绿色建筑二星</w:t>
            </w:r>
          </w:p>
        </w:tc>
      </w:tr>
      <w:tr>
        <w:tc>
          <w:tcPr>
            <w:tcW w:w="0" w:type="auto"/>
          </w:tcPr>
          <w:p>
            <w:pPr/>
            <w:r>
              <w:rPr>
                <w:rFonts w:ascii="Times New Roman" w:eastAsia="宋体"/>
                <w:sz w:val="21"/>
              </w:rPr>
              <w:t xml:space="preserve">上部结构形式</w:t>
            </w:r>
          </w:p>
        </w:tc>
        <w:tc>
          <w:tcPr>
            <w:tcW w:w="0" w:type="auto"/>
          </w:tcPr>
          <w:p>
            <w:pPr/>
            <w:r>
              <w:rPr>
                <w:rFonts w:ascii="Times New Roman" w:eastAsia="宋体"/>
                <w:sz w:val="21"/>
              </w:rPr>
              <w:t xml:space="preserve">装配整体式钢筋混凝土框架-剪力墙结构</w:t>
            </w:r>
          </w:p>
        </w:tc>
      </w:tr>
      <w:tr>
        <w:tc>
          <w:tcPr>
            <w:tcW w:w="0" w:type="auto"/>
          </w:tcPr>
          <w:p>
            <w:pPr/>
            <w:r>
              <w:rPr>
                <w:rFonts w:ascii="Times New Roman" w:eastAsia="宋体"/>
                <w:sz w:val="21"/>
              </w:rPr>
              <w:t xml:space="preserve">基础形式</w:t>
            </w:r>
          </w:p>
        </w:tc>
        <w:tc>
          <w:tcPr>
            <w:tcW w:w="0" w:type="auto"/>
          </w:tcPr>
          <w:p>
            <w:pPr/>
            <w:r>
              <w:rPr>
                <w:rFonts w:ascii="Times New Roman" w:eastAsia="宋体"/>
                <w:sz w:val="21"/>
              </w:rPr>
              <w:t xml:space="preserve">桩筏基础</w:t>
            </w:r>
          </w:p>
        </w:tc>
      </w:tr>
      <w:tr>
        <w:tc>
          <w:tcPr>
            <w:tcW w:w="0" w:type="auto"/>
          </w:tcPr>
          <w:p>
            <w:pPr/>
            <w:r>
              <w:rPr>
                <w:rFonts w:ascii="Times New Roman" w:eastAsia="宋体"/>
                <w:sz w:val="21"/>
              </w:rPr>
              <w:t xml:space="preserve">基础埋深</w:t>
            </w:r>
          </w:p>
        </w:tc>
        <w:tc>
          <w:tcPr>
            <w:tcW w:w="0" w:type="auto"/>
          </w:tcPr>
          <w:p>
            <w:pPr/>
            <w:r>
              <w:rPr>
                <w:rFonts w:ascii="Times New Roman" w:eastAsia="宋体"/>
                <w:sz w:val="21"/>
              </w:rPr>
              <w:t xml:space="preserve">不小于3.5 m</w:t>
            </w:r>
          </w:p>
        </w:tc>
      </w:tr>
      <w:tr>
        <w:tc>
          <w:tcPr>
            <w:tcW w:w="0" w:type="auto"/>
          </w:tcPr>
          <w:p>
            <w:pPr/>
            <w:r>
              <w:rPr>
                <w:rFonts w:ascii="Times New Roman" w:eastAsia="宋体"/>
                <w:sz w:val="21"/>
              </w:rPr>
              <w:t xml:space="preserve">地下室顶板厚度</w:t>
            </w:r>
          </w:p>
        </w:tc>
        <w:tc>
          <w:tcPr>
            <w:tcW w:w="0" w:type="auto"/>
          </w:tcPr>
          <w:p>
            <w:pPr/>
            <w:r>
              <w:rPr>
                <w:rFonts w:ascii="Times New Roman" w:eastAsia="宋体"/>
                <w:sz w:val="21"/>
              </w:rPr>
              <w:t xml:space="preserve">不小于180 mm</w:t>
            </w:r>
          </w:p>
        </w:tc>
      </w:tr>
      <w:tr>
        <w:tc>
          <w:tcPr>
            <w:tcW w:w="0" w:type="auto"/>
          </w:tcPr>
          <w:p>
            <w:pPr/>
            <w:r>
              <w:rPr>
                <w:rFonts w:ascii="Times New Roman" w:eastAsia="宋体"/>
                <w:sz w:val="21"/>
              </w:rPr>
              <w:t xml:space="preserve">结构计算软件</w:t>
            </w:r>
          </w:p>
        </w:tc>
        <w:tc>
          <w:tcPr>
            <w:tcW w:w="0" w:type="auto"/>
          </w:tcPr>
          <w:p>
            <w:pPr/>
            <w:r>
              <w:rPr>
                <w:rFonts w:ascii="Times New Roman" w:eastAsia="宋体"/>
                <w:sz w:val="21"/>
              </w:rPr>
              <w:t xml:space="preserve">SATWE（2010版V4.3）/JCCAD</w:t>
            </w:r>
          </w:p>
        </w:tc>
      </w:tr>
      <w:tr>
        <w:tc>
          <w:tcPr>
            <w:tcW w:w="0" w:type="auto"/>
          </w:tcPr>
          <w:p>
            <w:pPr/>
            <w:r>
              <w:rPr>
                <w:rFonts w:ascii="Times New Roman" w:eastAsia="宋体"/>
                <w:sz w:val="21"/>
              </w:rPr>
              <w:t xml:space="preserve">基础垫层混凝土强度等级</w:t>
            </w:r>
          </w:p>
        </w:tc>
        <w:tc>
          <w:tcPr>
            <w:tcW w:w="0" w:type="auto"/>
          </w:tcPr>
          <w:p>
            <w:pPr/>
            <w:r>
              <w:rPr>
                <w:rFonts w:ascii="Times New Roman" w:eastAsia="宋体"/>
                <w:sz w:val="21"/>
              </w:rPr>
              <w:t xml:space="preserve">C20</w:t>
            </w:r>
          </w:p>
        </w:tc>
      </w:tr>
      <w:tr>
        <w:tc>
          <w:tcPr>
            <w:tcW w:w="0" w:type="auto"/>
          </w:tcPr>
          <w:p>
            <w:pPr/>
            <w:r>
              <w:rPr>
                <w:rFonts w:ascii="Times New Roman" w:eastAsia="宋体"/>
                <w:sz w:val="21"/>
              </w:rPr>
              <w:t xml:space="preserve">框架柱剪力墙混凝土强度等级</w:t>
            </w:r>
          </w:p>
        </w:tc>
        <w:tc>
          <w:tcPr>
            <w:tcW w:w="0" w:type="auto"/>
          </w:tcPr>
          <w:p>
            <w:pPr/>
            <w:r>
              <w:rPr>
                <w:rFonts w:ascii="Times New Roman" w:eastAsia="宋体"/>
                <w:sz w:val="21"/>
              </w:rPr>
              <w:t xml:space="preserve">C30~C50</w:t>
            </w:r>
          </w:p>
        </w:tc>
      </w:tr>
      <w:tr>
        <w:tc>
          <w:tcPr>
            <w:tcW w:w="0" w:type="auto"/>
          </w:tcPr>
          <w:p>
            <w:pPr/>
            <w:r>
              <w:rPr>
                <w:rFonts w:ascii="Times New Roman" w:eastAsia="宋体"/>
                <w:sz w:val="21"/>
              </w:rPr>
              <w:t xml:space="preserve">梁板混凝土强度等级</w:t>
            </w:r>
          </w:p>
        </w:tc>
        <w:tc>
          <w:tcPr>
            <w:tcW w:w="0" w:type="auto"/>
          </w:tcPr>
          <w:p>
            <w:pPr/>
            <w:r>
              <w:rPr>
                <w:rFonts w:ascii="Times New Roman" w:eastAsia="宋体"/>
                <w:sz w:val="21"/>
              </w:rPr>
              <w:t xml:space="preserve">C30~C35</w:t>
            </w:r>
          </w:p>
        </w:tc>
      </w:tr>
      <w:tr>
        <w:tc>
          <w:tcPr>
            <w:tcW w:w="0" w:type="auto"/>
          </w:tcPr>
          <w:p>
            <w:pPr/>
            <w:r>
              <w:rPr>
                <w:rFonts w:ascii="Times New Roman" w:eastAsia="宋体"/>
                <w:sz w:val="21"/>
              </w:rPr>
              <w:t xml:space="preserve">钢筋牌号</w:t>
            </w:r>
          </w:p>
        </w:tc>
        <w:tc>
          <w:tcPr>
            <w:tcW w:w="0" w:type="auto"/>
          </w:tcPr>
          <w:p>
            <w:pPr/>
            <w:r>
              <w:rPr>
                <w:rFonts w:ascii="Times New Roman" w:eastAsia="宋体"/>
                <w:sz w:val="21"/>
              </w:rPr>
              <w:t xml:space="preserve">HPB300、HRB400</w:t>
            </w:r>
          </w:p>
        </w:tc>
      </w:tr>
      <w:tr>
        <w:tc>
          <w:tcPr>
            <w:tcW w:w="0" w:type="auto"/>
          </w:tcPr>
          <w:p>
            <w:pPr/>
            <w:r>
              <w:rPr>
                <w:rFonts w:ascii="Times New Roman" w:eastAsia="宋体"/>
                <w:sz w:val="21"/>
              </w:rPr>
              <w:t xml:space="preserve">钢材牌号</w:t>
            </w:r>
          </w:p>
        </w:tc>
        <w:tc>
          <w:tcPr>
            <w:tcW w:w="0" w:type="auto"/>
          </w:tcPr>
          <w:p>
            <w:pPr/>
            <w:r>
              <w:rPr>
                <w:rFonts w:ascii="Times New Roman" w:eastAsia="宋体"/>
                <w:sz w:val="21"/>
              </w:rPr>
              <w:t xml:space="preserve">Q235B、Q345B</w:t>
            </w:r>
          </w:p>
        </w:tc>
      </w:tr>
      <w:tr>
        <w:tc>
          <w:tcPr>
            <w:tcW w:w="0" w:type="auto"/>
          </w:tcPr>
          <w:p>
            <w:pPr/>
            <w:r>
              <w:rPr>
                <w:rFonts w:ascii="Times New Roman" w:eastAsia="宋体"/>
                <w:sz w:val="21"/>
              </w:rPr>
              <w:t xml:space="preserve">预制率</w:t>
            </w:r>
          </w:p>
        </w:tc>
        <w:tc>
          <w:tcPr>
            <w:tcW w:w="0" w:type="auto"/>
          </w:tcPr>
          <w:p>
            <w:pPr/>
            <w:r>
              <w:rPr>
                <w:rFonts w:ascii="Times New Roman" w:eastAsia="宋体"/>
                <w:sz w:val="21"/>
              </w:rPr>
              <w:t xml:space="preserve">不小于40 %</w:t>
            </w:r>
          </w:p>
        </w:tc>
      </w:tr>
    </w:tbl>
    <w:p>
      <w:pPr/>
      <w:r>
        <w:rPr>
          <w:b/>
          <w:rFonts w:ascii="Times New Roman" w:eastAsia="宋体"/>
          <w:sz w:val="21"/>
        </w:rPr>
        <w:t xml:space="preserve">抗震设防类别与设防烈度</w:t>
      </w:r>
      <w:r>
        <w:rPr>
          <w:rFonts w:ascii="Times New Roman" w:eastAsia="宋体"/>
          <w:sz w:val="21"/>
        </w:rPr>
        <w:t xml:space="preserve">：本项目抗震设防类别按标准设防类（丙类）取值，其依据与复核结论如下。</w:t>
      </w:r>
    </w:p>
    <w:p>
      <w:pPr>
        <w:ind w:left="420"/>
      </w:pPr>
      <w:r>
        <w:rPr>
          <w:b/>
          <w:rFonts w:ascii="Times New Roman" w:eastAsia="宋体"/>
          <w:sz w:val="21"/>
        </w:rPr>
        <w:t xml:space="preserve">✅ 依据复核（B-05）</w:t>
      </w:r>
      <w:r>
        <w:rPr>
          <w:rFonts w:ascii="Times New Roman" w:eastAsia="宋体"/>
          <w:sz w:val="21"/>
        </w:rPr>
        <w:t xml:space="preserve">：报告 6.3.2 与 9.2 节取「标准设防类（丙类）」，并援引 GB50223-2008 关于</w:t>
      </w:r>
      <w:r>
        <w:rPr>
          <w:b/>
          <w:rFonts w:ascii="Times New Roman" w:eastAsia="宋体"/>
          <w:sz w:val="21"/>
        </w:rPr>
        <w:t xml:space="preserve">科学实验建筑</w:t>
      </w:r>
      <w:r>
        <w:rPr>
          <w:rFonts w:ascii="Times New Roman" w:eastAsia="宋体"/>
          <w:sz w:val="21"/>
        </w:rPr>
        <w:t xml:space="preserve">的规定。对照三条约束：①第6.0.9条仅把「存放高放射性物品及剧毒生物制品、化学制品、细菌病毒」的研究类科学实验建筑列为特殊设防类——本项目功能为管理科学与量化信息研究、理论计算机研究、应用统计研究、大数据科研，</w:t>
      </w:r>
      <w:r>
        <w:rPr>
          <w:b/>
          <w:rFonts w:ascii="Times New Roman" w:eastAsia="宋体"/>
          <w:sz w:val="21"/>
        </w:rPr>
        <w:t xml:space="preserve">不含该等危险功能</w:t>
      </w:r>
      <w:r>
        <w:rPr>
          <w:rFonts w:ascii="Times New Roman" w:eastAsia="宋体"/>
          <w:sz w:val="21"/>
        </w:rPr>
        <w:t xml:space="preserve">，不触发；②第6.0.11条以「结构单元内经常使用人数超过 8000 人」为界，属「宜」而非「必须」，报告各研究中心规划人数合计 1665 人（表5-6），</w:t>
      </w:r>
      <w:r>
        <w:rPr>
          <w:b/>
          <w:rFonts w:ascii="Times New Roman" w:eastAsia="宋体"/>
          <w:sz w:val="21"/>
        </w:rPr>
        <w:t xml:space="preserve">远低于 8000 人</w:t>
      </w:r>
      <w:r>
        <w:rPr>
          <w:rFonts w:ascii="Times New Roman" w:eastAsia="宋体"/>
          <w:sz w:val="21"/>
        </w:rPr>
        <w:t xml:space="preserve">，不触发；③第6.0.8条仅针对幼儿园、小学、中学教学用房及学生宿舍食堂，本项目为高校科研用房，不在其列。故</w:t>
      </w:r>
      <w:r>
        <w:rPr>
          <w:b/>
          <w:rFonts w:ascii="Times New Roman" w:eastAsia="宋体"/>
          <w:sz w:val="21"/>
        </w:rPr>
        <w:t xml:space="preserve">标准设防类可核验成立</w:t>
      </w:r>
      <w:r>
        <w:rPr>
          <w:rFonts w:ascii="Times New Roman" w:eastAsia="宋体"/>
          <w:sz w:val="21"/>
        </w:rPr>
        <w:t xml:space="preserve">。</w:t>
      </w:r>
    </w:p>
    <w:p>
      <w:pPr>
        <w:ind w:left="420"/>
      </w:pPr>
      <w:r>
        <w:rPr>
          <w:rFonts w:ascii="Times New Roman" w:eastAsia="宋体"/>
          <w:sz w:val="21"/>
        </w:rPr>
        <w:t xml:space="preserve">- 须核对：确认「经常使用人数」与「规划人数」是否为同一口径（前者通常指同时使用人数）</w:t>
      </w:r>
    </w:p>
    <w:p>
      <w:pPr/>
      <w:r>
        <w:rPr>
          <w:b/>
          <w:rFonts w:ascii="Times New Roman" w:eastAsia="宋体"/>
          <w:sz w:val="21"/>
        </w:rPr>
        <w:t xml:space="preserve">抗震设防参数（设计地震分组与特征周期）</w:t>
      </w:r>
      <w:r>
        <w:rPr>
          <w:rFonts w:ascii="Times New Roman" w:eastAsia="宋体"/>
          <w:sz w:val="21"/>
        </w:rPr>
        <w:t xml:space="preserve">：本项目的抗震设防参数存在需要裁决的差异，现并列呈现。</w:t>
      </w:r>
    </w:p>
    <w:p>
      <w:pPr>
        <w:ind w:left="420"/>
      </w:pPr>
      <w:r>
        <w:rPr>
          <w:b/>
          <w:rFonts w:ascii="Times New Roman" w:eastAsia="宋体"/>
          <w:sz w:val="21"/>
        </w:rPr>
        <w:t xml:space="preserve">⚠️ 依据复核（B-06）</w:t>
      </w:r>
      <w:r>
        <w:rPr>
          <w:rFonts w:ascii="Times New Roman" w:eastAsia="宋体"/>
          <w:sz w:val="21"/>
        </w:rPr>
        <w:t xml:space="preserve">：GB50011-2010 附录A（上海市）：抗震设防烈度 7 度、设计基本地震加速度 0.10g、</w:t>
      </w:r>
      <w:r>
        <w:rPr>
          <w:b/>
          <w:rFonts w:ascii="Times New Roman" w:eastAsia="宋体"/>
          <w:sz w:val="21"/>
        </w:rPr>
        <w:t xml:space="preserve">设计地震第一组</w:t>
      </w:r>
      <w:r>
        <w:rPr>
          <w:rFonts w:ascii="Times New Roman" w:eastAsia="宋体"/>
          <w:sz w:val="21"/>
        </w:rPr>
        <w:t xml:space="preserve">（列名含虹口区）。报告 6.3 写「抗震设防烈度 7 度」（一致 ✓）、「设计基本地震加速度 0.1g」（一致 ✓）、但「设计分组</w:t>
      </w:r>
      <w:r>
        <w:rPr>
          <w:b/>
          <w:rFonts w:ascii="Times New Roman" w:eastAsia="宋体"/>
          <w:sz w:val="21"/>
        </w:rPr>
        <w:t xml:space="preserve">第二组</w:t>
      </w:r>
      <w:r>
        <w:rPr>
          <w:rFonts w:ascii="Times New Roman" w:eastAsia="宋体"/>
          <w:sz w:val="21"/>
        </w:rPr>
        <w:t xml:space="preserve">」与依据</w:t>
      </w:r>
      <w:r>
        <w:rPr>
          <w:b/>
          <w:rFonts w:ascii="Times New Roman" w:eastAsia="宋体"/>
          <w:sz w:val="21"/>
        </w:rPr>
        <w:t xml:space="preserve">不一致</w:t>
      </w:r>
      <w:r>
        <w:rPr>
          <w:rFonts w:ascii="Times New Roman" w:eastAsia="宋体"/>
          <w:sz w:val="21"/>
        </w:rPr>
        <w:t xml:space="preserve">；同一处又给「IV类建筑场地、特征周期 0.9s」。三者需一并裁决：分组直接决定特征周期取值，而特征周期是地震作用计算的输入。</w:t>
      </w:r>
    </w:p>
    <w:p>
      <w:pPr>
        <w:ind w:left="420"/>
      </w:pPr>
      <w:r>
        <w:rPr>
          <w:rFonts w:ascii="Times New Roman" w:eastAsia="宋体"/>
          <w:sz w:val="21"/>
        </w:rPr>
        <w:t xml:space="preserve">- 须核对：核对 GB50011-2010 表5.1.4-2（特征周期表）原文，按 IV 类场地确认「第二组」对应的特征周期应为何值；确认本项目设计地震分组究竟为第一组（附录A 上海市虹口区）还是第二组</w:t>
      </w:r>
    </w:p>
    <w:p>
      <w:pPr/>
      <w:r>
        <w:rPr>
          <w:b/>
          <w:rFonts w:ascii="Times New Roman" w:eastAsia="宋体"/>
          <w:sz w:val="21"/>
        </w:rPr>
        <w:t xml:space="preserve">耐火等级</w:t>
      </w:r>
      <w:r>
        <w:rPr>
          <w:rFonts w:ascii="Times New Roman" w:eastAsia="宋体"/>
          <w:sz w:val="21"/>
        </w:rPr>
        <w:t xml:space="preserve">：原报告声明建筑耐火等级为二级。该取值是否成立，取决于两个前提，其中一个前提与建筑高度争议无关，现按规范条款逐项说明。</w:t>
      </w:r>
    </w:p>
    <w:p>
      <w:pPr>
        <w:ind w:left="420"/>
      </w:pPr>
      <w:r>
        <w:rPr>
          <w:b/>
          <w:rFonts w:ascii="Times New Roman" w:eastAsia="宋体"/>
          <w:sz w:val="21"/>
        </w:rPr>
        <w:t xml:space="preserve">⚠️ 依据复核（B-02）</w:t>
      </w:r>
      <w:r>
        <w:rPr>
          <w:rFonts w:ascii="Times New Roman" w:eastAsia="宋体"/>
          <w:sz w:val="21"/>
        </w:rPr>
        <w:t xml:space="preserve">：报告 6.1 与 6.3.2 声明「建筑耐火等级为二级」。GB50016-2014 第5.1.3条为</w:t>
      </w:r>
      <w:r>
        <w:rPr>
          <w:b/>
          <w:rFonts w:ascii="Times New Roman" w:eastAsia="宋体"/>
          <w:sz w:val="21"/>
        </w:rPr>
        <w:t xml:space="preserve">强制性条文</w:t>
      </w:r>
      <w:r>
        <w:rPr>
          <w:rFonts w:ascii="Times New Roman" w:eastAsia="宋体"/>
          <w:sz w:val="21"/>
        </w:rPr>
        <w:t xml:space="preserve">，含两项下限：①地下或半地下建筑（室）和一类高层建筑的耐火等级不应低于一级；②二类高层建筑的耐火等级不应低于二级。其中第①项</w:t>
      </w:r>
      <w:r>
        <w:rPr>
          <w:b/>
          <w:rFonts w:ascii="Times New Roman" w:eastAsia="宋体"/>
          <w:sz w:val="21"/>
        </w:rPr>
        <w:t xml:space="preserve">不依赖建筑高度争议</w:t>
      </w:r>
      <w:r>
        <w:rPr>
          <w:rFonts w:ascii="Times New Roman" w:eastAsia="宋体"/>
          <w:sz w:val="21"/>
        </w:rPr>
        <w:t xml:space="preserve">：报告 6.1 载明「地下设备 1 层」、表1-2 载明地下建筑面积 319㎡（设备用房），即本项目含地下建筑（室），其耐火等级下限为</w:t>
      </w:r>
      <w:r>
        <w:rPr>
          <w:b/>
          <w:rFonts w:ascii="Times New Roman" w:eastAsia="宋体"/>
          <w:sz w:val="21"/>
        </w:rPr>
        <w:t xml:space="preserve">一级</w:t>
      </w:r>
      <w:r>
        <w:rPr>
          <w:rFonts w:ascii="Times New Roman" w:eastAsia="宋体"/>
          <w:sz w:val="21"/>
        </w:rPr>
        <w:t xml:space="preserve">，而报告全文只给出一个统一的「二级」，未按地下/地上分区说明。</w:t>
      </w:r>
    </w:p>
    <w:p>
      <w:pPr>
        <w:ind w:left="420"/>
      </w:pPr>
      <w:r>
        <w:rPr>
          <w:rFonts w:ascii="Times New Roman" w:eastAsia="宋体"/>
          <w:sz w:val="21"/>
        </w:rPr>
        <w:t xml:space="preserve">- 若 按一类高层（高度&gt;50m） ⇒ 地上耐火等级应为</w:t>
      </w:r>
      <w:r>
        <w:rPr>
          <w:b/>
          <w:rFonts w:ascii="Times New Roman" w:eastAsia="宋体"/>
          <w:sz w:val="21"/>
        </w:rPr>
        <w:t xml:space="preserve">一级</w:t>
      </w:r>
      <w:r>
        <w:rPr>
          <w:rFonts w:ascii="Times New Roman" w:eastAsia="宋体"/>
          <w:sz w:val="21"/>
        </w:rPr>
        <w:t xml:space="preserve">，报告二级 ⇒ 与 5.1.3① 不符</w:t>
      </w:r>
    </w:p>
    <w:p>
      <w:pPr>
        <w:ind w:left="420"/>
      </w:pPr>
      <w:r>
        <w:rPr>
          <w:rFonts w:ascii="Times New Roman" w:eastAsia="宋体"/>
          <w:sz w:val="21"/>
        </w:rPr>
        <w:t xml:space="preserve">- 若 按二类高层（高度≤50m） ⇒ 地上二级可成立；但地下部分仍要求</w:t>
      </w:r>
      <w:r>
        <w:rPr>
          <w:b/>
          <w:rFonts w:ascii="Times New Roman" w:eastAsia="宋体"/>
          <w:sz w:val="21"/>
        </w:rPr>
        <w:t xml:space="preserve">一级</w:t>
      </w:r>
      <w:r>
        <w:rPr>
          <w:rFonts w:ascii="Times New Roman" w:eastAsia="宋体"/>
          <w:sz w:val="21"/>
        </w:rPr>
        <w:t xml:space="preserve">，报告未分区说明 ⇒ 待审</w:t>
      </w:r>
    </w:p>
    <w:p>
      <w:pPr>
        <w:ind w:left="420"/>
      </w:pPr>
      <w:r>
        <w:rPr>
          <w:rFonts w:ascii="Times New Roman" w:eastAsia="宋体"/>
          <w:sz w:val="21"/>
        </w:rPr>
        <w:t xml:space="preserve">- 须核对：设计单位按地上/地下分别给出耐火等级，并说明地下部分的耐火等级取值</w:t>
      </w:r>
    </w:p>
    <w:p>
      <w:pPr/>
      <w:r>
        <w:rPr>
          <w:b/>
          <w:rFonts w:ascii="Times New Roman" w:eastAsia="宋体"/>
          <w:sz w:val="21"/>
        </w:rPr>
        <w:t xml:space="preserve">主要荷载与材料</w:t>
      </w:r>
      <w:r>
        <w:rPr>
          <w:rFonts w:ascii="Times New Roman" w:eastAsia="宋体"/>
          <w:sz w:val="21"/>
        </w:rPr>
        <w:t xml:space="preserve">：楼面与屋面活荷载标准值、基本风压、基本雪压、地震作用参数、混凝土与钢筋钢材牌号等，均按上表与前述参数取值。</w:t>
      </w:r>
    </w:p>
    <w:p>
      <w:pPr>
        <w:ind w:left="420"/>
      </w:pPr>
      <w:r>
        <w:rPr>
          <w:b/>
          <w:rFonts w:ascii="Times New Roman" w:eastAsia="宋体"/>
          <w:sz w:val="21"/>
        </w:rPr>
        <w:t xml:space="preserve">设计单位专属事项</w:t>
      </w:r>
      <w:r>
        <w:rPr>
          <w:rFonts w:ascii="Times New Roman" w:eastAsia="宋体"/>
          <w:sz w:val="21"/>
        </w:rPr>
        <w:t xml:space="preserve">：柱网与构件截面尺寸、基础详细尺寸、预制构件拆分与连接节点构造、结构计算书，属设计单位专业判断范围。</w:t>
      </w:r>
      <w:r>
        <w:rPr>
          <w:b/>
          <w:rFonts w:ascii="Times New Roman" w:eastAsia="宋体"/>
          <w:sz w:val="21"/>
        </w:rPr>
        <w:t xml:space="preserve">（待设计单位提供——本稿留白，不代拟。）</w:t>
      </w:r>
    </w:p>
    <w:p>
      <w:pPr>
        <w:pStyle w:val="Heading2"/>
      </w:pPr>
      <w:r>
        <w:rPr>
          <w:rFonts w:ascii="Times New Roman" w:eastAsia="宋体"/>
          <w:sz w:val="21"/>
        </w:rPr>
        <w:t xml:space="preserve">6.4　给排水设计</w:t>
      </w:r>
    </w:p>
    <w:p>
      <w:pPr>
        <w:pStyle w:val="Heading3"/>
      </w:pPr>
      <w:r>
        <w:rPr>
          <w:rFonts w:ascii="Times New Roman" w:eastAsia="宋体"/>
          <w:sz w:val="21"/>
        </w:rPr>
        <w:t xml:space="preserve">6.4.1　设计依据与范围</w:t>
      </w:r>
    </w:p>
    <w:p>
      <w:pPr/>
      <w:r>
        <w:rPr>
          <w:b/>
          <w:rFonts w:ascii="Times New Roman" w:eastAsia="宋体"/>
          <w:sz w:val="21"/>
        </w:rPr>
        <w:t xml:space="preserve">设计范围</w:t>
      </w:r>
      <w:r>
        <w:rPr>
          <w:rFonts w:ascii="Times New Roman" w:eastAsia="宋体"/>
          <w:sz w:val="21"/>
        </w:rPr>
        <w:t xml:space="preserve">：各建筑单体及单体附近的室外总体的室内、外给水排水及消防工程设计。</w:t>
      </w:r>
    </w:p>
    <w:p>
      <w:pPr>
        <w:pStyle w:val="Heading3"/>
      </w:pPr>
      <w:r>
        <w:rPr>
          <w:rFonts w:ascii="Times New Roman" w:eastAsia="宋体"/>
          <w:sz w:val="21"/>
        </w:rPr>
        <w:t xml:space="preserve">6.4.2　用水量与消防用水量</w:t>
      </w:r>
    </w:p>
    <w:p>
      <w:pPr/>
      <w:r>
        <w:rPr>
          <w:b/>
          <w:rFonts w:ascii="Times New Roman" w:eastAsia="宋体"/>
          <w:sz w:val="21"/>
        </w:rPr>
        <w:t xml:space="preserve">用水量</w:t>
      </w:r>
      <w:r>
        <w:rPr>
          <w:rFonts w:ascii="Times New Roman" w:eastAsia="宋体"/>
          <w:sz w:val="21"/>
        </w:rPr>
        <w:t xml:space="preserve">：主要用水项目的用水定额、用水人数与推算结果如下表。</w:t>
      </w:r>
    </w:p>
    <w:p>
      <w:pPr/>
      <w:r>
        <w:rPr>
          <w:b/>
          <w:rFonts w:ascii="Times New Roman" w:eastAsia="宋体"/>
          <w:sz w:val="21"/>
        </w:rPr>
        <w:t xml:space="preserve">表6-2a 主要用水项目及其用水指标表（原表6-2）</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用水部门/项目</w:t>
            </w:r>
          </w:p>
        </w:tc>
        <w:tc>
          <w:tcPr>
            <w:tcW w:w="0" w:type="auto"/>
          </w:tcPr>
          <w:p>
            <w:pPr/>
            <w:r>
              <w:rPr>
                <w:b/>
                <w:rFonts w:ascii="Times New Roman" w:eastAsia="宋体"/>
                <w:sz w:val="21"/>
              </w:rPr>
              <w:t xml:space="preserve">参数</w:t>
            </w:r>
          </w:p>
        </w:tc>
        <w:tc>
          <w:tcPr>
            <w:tcW w:w="0" w:type="auto"/>
          </w:tcPr>
          <w:p>
            <w:pPr/>
            <w:r>
              <w:rPr>
                <w:b/>
                <w:rFonts w:ascii="Times New Roman" w:eastAsia="宋体"/>
                <w:sz w:val="21"/>
              </w:rPr>
              <w:t xml:space="preserve">取值</w:t>
            </w:r>
          </w:p>
        </w:tc>
      </w:tr>
      <w:tr>
        <w:tc>
          <w:tcPr>
            <w:tcW w:w="0" w:type="auto"/>
          </w:tcPr>
          <w:p>
            <w:pPr/>
            <w:r>
              <w:rPr>
                <w:rFonts w:ascii="Times New Roman" w:eastAsia="宋体"/>
                <w:sz w:val="21"/>
              </w:rPr>
              <w:t xml:space="preserve">科研学生</w:t>
            </w:r>
          </w:p>
        </w:tc>
        <w:tc>
          <w:tcPr>
            <w:tcW w:w="0" w:type="auto"/>
          </w:tcPr>
          <w:p>
            <w:pPr/>
            <w:r>
              <w:rPr>
                <w:rFonts w:ascii="Times New Roman" w:eastAsia="宋体"/>
                <w:sz w:val="21"/>
              </w:rPr>
              <w:t xml:space="preserve">用水定额</w:t>
            </w:r>
          </w:p>
        </w:tc>
        <w:tc>
          <w:tcPr>
            <w:tcW w:w="0" w:type="auto"/>
          </w:tcPr>
          <w:p>
            <w:pPr/>
            <w:r>
              <w:rPr>
                <w:rFonts w:ascii="Times New Roman" w:eastAsia="宋体"/>
                <w:sz w:val="21"/>
              </w:rPr>
              <w:t xml:space="preserve">40 L/生·日</w:t>
            </w:r>
          </w:p>
        </w:tc>
      </w:tr>
      <w:tr>
        <w:tc>
          <w:tcPr>
            <w:tcW w:w="0" w:type="auto"/>
          </w:tcPr>
          <w:p>
            <w:pPr/>
            <w:r>
              <w:rPr>
                <w:rFonts w:ascii="Times New Roman" w:eastAsia="宋体"/>
                <w:sz w:val="21"/>
              </w:rPr>
              <w:t xml:space="preserve">科研学生</w:t>
            </w:r>
          </w:p>
        </w:tc>
        <w:tc>
          <w:tcPr>
            <w:tcW w:w="0" w:type="auto"/>
          </w:tcPr>
          <w:p>
            <w:pPr/>
            <w:r>
              <w:rPr>
                <w:rFonts w:ascii="Times New Roman" w:eastAsia="宋体"/>
                <w:sz w:val="21"/>
              </w:rPr>
              <w:t xml:space="preserve">用水人数</w:t>
            </w:r>
          </w:p>
        </w:tc>
        <w:tc>
          <w:tcPr>
            <w:tcW w:w="0" w:type="auto"/>
          </w:tcPr>
          <w:p>
            <w:pPr/>
            <w:r>
              <w:rPr>
                <w:rFonts w:ascii="Times New Roman" w:eastAsia="宋体"/>
                <w:sz w:val="21"/>
              </w:rPr>
              <w:t xml:space="preserve">1800 人</w:t>
            </w:r>
          </w:p>
        </w:tc>
      </w:tr>
      <w:tr>
        <w:tc>
          <w:tcPr>
            <w:tcW w:w="0" w:type="auto"/>
          </w:tcPr>
          <w:p>
            <w:pPr/>
            <w:r>
              <w:rPr>
                <w:rFonts w:ascii="Times New Roman" w:eastAsia="宋体"/>
                <w:sz w:val="21"/>
              </w:rPr>
              <w:t xml:space="preserve">办公</w:t>
            </w:r>
          </w:p>
        </w:tc>
        <w:tc>
          <w:tcPr>
            <w:tcW w:w="0" w:type="auto"/>
          </w:tcPr>
          <w:p>
            <w:pPr/>
            <w:r>
              <w:rPr>
                <w:rFonts w:ascii="Times New Roman" w:eastAsia="宋体"/>
                <w:sz w:val="21"/>
              </w:rPr>
              <w:t xml:space="preserve">用水定额</w:t>
            </w:r>
          </w:p>
        </w:tc>
        <w:tc>
          <w:tcPr>
            <w:tcW w:w="0" w:type="auto"/>
          </w:tcPr>
          <w:p>
            <w:pPr/>
            <w:r>
              <w:rPr>
                <w:rFonts w:ascii="Times New Roman" w:eastAsia="宋体"/>
                <w:sz w:val="21"/>
              </w:rPr>
              <w:t xml:space="preserve">50 L/人·日</w:t>
            </w:r>
          </w:p>
        </w:tc>
      </w:tr>
      <w:tr>
        <w:tc>
          <w:tcPr>
            <w:tcW w:w="0" w:type="auto"/>
          </w:tcPr>
          <w:p>
            <w:pPr/>
            <w:r>
              <w:rPr>
                <w:rFonts w:ascii="Times New Roman" w:eastAsia="宋体"/>
                <w:sz w:val="21"/>
              </w:rPr>
              <w:t xml:space="preserve">办公</w:t>
            </w:r>
          </w:p>
        </w:tc>
        <w:tc>
          <w:tcPr>
            <w:tcW w:w="0" w:type="auto"/>
          </w:tcPr>
          <w:p>
            <w:pPr/>
            <w:r>
              <w:rPr>
                <w:rFonts w:ascii="Times New Roman" w:eastAsia="宋体"/>
                <w:sz w:val="21"/>
              </w:rPr>
              <w:t xml:space="preserve">用水人数</w:t>
            </w:r>
          </w:p>
        </w:tc>
        <w:tc>
          <w:tcPr>
            <w:tcW w:w="0" w:type="auto"/>
          </w:tcPr>
          <w:p>
            <w:pPr/>
            <w:r>
              <w:rPr>
                <w:rFonts w:ascii="Times New Roman" w:eastAsia="宋体"/>
                <w:sz w:val="21"/>
              </w:rPr>
              <w:t xml:space="preserve">288 人</w:t>
            </w:r>
          </w:p>
        </w:tc>
      </w:tr>
      <w:tr>
        <w:tc>
          <w:tcPr>
            <w:tcW w:w="0" w:type="auto"/>
          </w:tcPr>
          <w:p>
            <w:pPr/>
            <w:r>
              <w:rPr>
                <w:rFonts w:ascii="Times New Roman" w:eastAsia="宋体"/>
                <w:sz w:val="21"/>
              </w:rPr>
              <w:t xml:space="preserve">教师用水</w:t>
            </w:r>
          </w:p>
        </w:tc>
        <w:tc>
          <w:tcPr>
            <w:tcW w:w="0" w:type="auto"/>
          </w:tcPr>
          <w:p>
            <w:pPr/>
            <w:r>
              <w:rPr>
                <w:rFonts w:ascii="Times New Roman" w:eastAsia="宋体"/>
                <w:sz w:val="21"/>
              </w:rPr>
              <w:t xml:space="preserve">用水定额</w:t>
            </w:r>
          </w:p>
        </w:tc>
        <w:tc>
          <w:tcPr>
            <w:tcW w:w="0" w:type="auto"/>
          </w:tcPr>
          <w:p>
            <w:pPr/>
            <w:r>
              <w:rPr>
                <w:rFonts w:ascii="Times New Roman" w:eastAsia="宋体"/>
                <w:sz w:val="21"/>
              </w:rPr>
              <w:t xml:space="preserve">35 L/人·d</w:t>
            </w:r>
          </w:p>
        </w:tc>
      </w:tr>
      <w:tr>
        <w:tc>
          <w:tcPr>
            <w:tcW w:w="0" w:type="auto"/>
          </w:tcPr>
          <w:p>
            <w:pPr/>
            <w:r>
              <w:rPr>
                <w:rFonts w:ascii="Times New Roman" w:eastAsia="宋体"/>
                <w:sz w:val="21"/>
              </w:rPr>
              <w:t xml:space="preserve">教师用水</w:t>
            </w:r>
          </w:p>
        </w:tc>
        <w:tc>
          <w:tcPr>
            <w:tcW w:w="0" w:type="auto"/>
          </w:tcPr>
          <w:p>
            <w:pPr/>
            <w:r>
              <w:rPr>
                <w:rFonts w:ascii="Times New Roman" w:eastAsia="宋体"/>
                <w:sz w:val="21"/>
              </w:rPr>
              <w:t xml:space="preserve">用水人数</w:t>
            </w:r>
          </w:p>
        </w:tc>
        <w:tc>
          <w:tcPr>
            <w:tcW w:w="0" w:type="auto"/>
          </w:tcPr>
          <w:p>
            <w:pPr/>
            <w:r>
              <w:rPr>
                <w:rFonts w:ascii="Times New Roman" w:eastAsia="宋体"/>
                <w:sz w:val="21"/>
              </w:rPr>
              <w:t xml:space="preserve">288 人</w:t>
            </w:r>
          </w:p>
        </w:tc>
      </w:tr>
      <w:tr>
        <w:tc>
          <w:tcPr>
            <w:tcW w:w="0" w:type="auto"/>
          </w:tcPr>
          <w:p>
            <w:pPr/>
            <w:r>
              <w:rPr>
                <w:rFonts w:ascii="Times New Roman" w:eastAsia="宋体"/>
                <w:sz w:val="21"/>
              </w:rPr>
              <w:t xml:space="preserve">教师用水</w:t>
            </w:r>
          </w:p>
        </w:tc>
        <w:tc>
          <w:tcPr>
            <w:tcW w:w="0" w:type="auto"/>
          </w:tcPr>
          <w:p>
            <w:pPr/>
            <w:r>
              <w:rPr>
                <w:rFonts w:ascii="Times New Roman" w:eastAsia="宋体"/>
                <w:sz w:val="21"/>
              </w:rPr>
              <w:t xml:space="preserve">日用水量</w:t>
            </w:r>
          </w:p>
        </w:tc>
        <w:tc>
          <w:tcPr>
            <w:tcW w:w="0" w:type="auto"/>
          </w:tcPr>
          <w:p>
            <w:pPr/>
            <w:r>
              <w:rPr>
                <w:rFonts w:ascii="Times New Roman" w:eastAsia="宋体"/>
                <w:sz w:val="21"/>
              </w:rPr>
              <w:t xml:space="preserve">10.1 m³/d</w:t>
            </w:r>
          </w:p>
        </w:tc>
      </w:tr>
      <w:tr>
        <w:tc>
          <w:tcPr>
            <w:tcW w:w="0" w:type="auto"/>
          </w:tcPr>
          <w:p>
            <w:pPr/>
            <w:r>
              <w:rPr>
                <w:rFonts w:ascii="Times New Roman" w:eastAsia="宋体"/>
                <w:sz w:val="21"/>
              </w:rPr>
              <w:t xml:space="preserve">学生用水</w:t>
            </w:r>
          </w:p>
        </w:tc>
        <w:tc>
          <w:tcPr>
            <w:tcW w:w="0" w:type="auto"/>
          </w:tcPr>
          <w:p>
            <w:pPr/>
            <w:r>
              <w:rPr>
                <w:rFonts w:ascii="Times New Roman" w:eastAsia="宋体"/>
                <w:sz w:val="21"/>
              </w:rPr>
              <w:t xml:space="preserve">用水定额</w:t>
            </w:r>
          </w:p>
        </w:tc>
        <w:tc>
          <w:tcPr>
            <w:tcW w:w="0" w:type="auto"/>
          </w:tcPr>
          <w:p>
            <w:pPr/>
            <w:r>
              <w:rPr>
                <w:rFonts w:ascii="Times New Roman" w:eastAsia="宋体"/>
                <w:sz w:val="21"/>
              </w:rPr>
              <w:t xml:space="preserve">40 L/人·d</w:t>
            </w:r>
          </w:p>
        </w:tc>
      </w:tr>
      <w:tr>
        <w:tc>
          <w:tcPr>
            <w:tcW w:w="0" w:type="auto"/>
          </w:tcPr>
          <w:p>
            <w:pPr/>
            <w:r>
              <w:rPr>
                <w:rFonts w:ascii="Times New Roman" w:eastAsia="宋体"/>
                <w:sz w:val="21"/>
              </w:rPr>
              <w:t xml:space="preserve">学生用水</w:t>
            </w:r>
          </w:p>
        </w:tc>
        <w:tc>
          <w:tcPr>
            <w:tcW w:w="0" w:type="auto"/>
          </w:tcPr>
          <w:p>
            <w:pPr/>
            <w:r>
              <w:rPr>
                <w:rFonts w:ascii="Times New Roman" w:eastAsia="宋体"/>
                <w:sz w:val="21"/>
              </w:rPr>
              <w:t xml:space="preserve">用水人数</w:t>
            </w:r>
          </w:p>
        </w:tc>
        <w:tc>
          <w:tcPr>
            <w:tcW w:w="0" w:type="auto"/>
          </w:tcPr>
          <w:p>
            <w:pPr/>
            <w:r>
              <w:rPr>
                <w:rFonts w:ascii="Times New Roman" w:eastAsia="宋体"/>
                <w:sz w:val="21"/>
              </w:rPr>
              <w:t xml:space="preserve">1800 人</w:t>
            </w:r>
          </w:p>
        </w:tc>
      </w:tr>
      <w:tr>
        <w:tc>
          <w:tcPr>
            <w:tcW w:w="0" w:type="auto"/>
          </w:tcPr>
          <w:p>
            <w:pPr/>
            <w:r>
              <w:rPr>
                <w:rFonts w:ascii="Times New Roman" w:eastAsia="宋体"/>
                <w:sz w:val="21"/>
              </w:rPr>
              <w:t xml:space="preserve">学生用水</w:t>
            </w:r>
          </w:p>
        </w:tc>
        <w:tc>
          <w:tcPr>
            <w:tcW w:w="0" w:type="auto"/>
          </w:tcPr>
          <w:p>
            <w:pPr/>
            <w:r>
              <w:rPr>
                <w:rFonts w:ascii="Times New Roman" w:eastAsia="宋体"/>
                <w:sz w:val="21"/>
              </w:rPr>
              <w:t xml:space="preserve">日用水量</w:t>
            </w:r>
          </w:p>
        </w:tc>
        <w:tc>
          <w:tcPr>
            <w:tcW w:w="0" w:type="auto"/>
          </w:tcPr>
          <w:p>
            <w:pPr/>
            <w:r>
              <w:rPr>
                <w:rFonts w:ascii="Times New Roman" w:eastAsia="宋体"/>
                <w:sz w:val="21"/>
              </w:rPr>
              <w:t xml:space="preserve">72.0 m³/d</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最高日用水量</w:t>
            </w:r>
          </w:p>
        </w:tc>
        <w:tc>
          <w:tcPr>
            <w:tcW w:w="0" w:type="auto"/>
          </w:tcPr>
          <w:p>
            <w:pPr/>
            <w:r>
              <w:rPr>
                <w:rFonts w:ascii="Times New Roman" w:eastAsia="宋体"/>
                <w:sz w:val="21"/>
              </w:rPr>
              <w:t xml:space="preserve">95.04 m³/d</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最大小时用水量</w:t>
            </w:r>
          </w:p>
        </w:tc>
        <w:tc>
          <w:tcPr>
            <w:tcW w:w="0" w:type="auto"/>
          </w:tcPr>
          <w:p>
            <w:pPr/>
            <w:r>
              <w:rPr>
                <w:rFonts w:ascii="Times New Roman" w:eastAsia="宋体"/>
                <w:sz w:val="21"/>
              </w:rPr>
              <w:t xml:space="preserve">17.23 m³/h</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最高日排水量</w:t>
            </w:r>
          </w:p>
        </w:tc>
        <w:tc>
          <w:tcPr>
            <w:tcW w:w="0" w:type="auto"/>
          </w:tcPr>
          <w:p>
            <w:pPr/>
            <w:r>
              <w:rPr>
                <w:rFonts w:ascii="Times New Roman" w:eastAsia="宋体"/>
                <w:sz w:val="21"/>
              </w:rPr>
              <w:t xml:space="preserve">85.54 m³/d</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最大时排水量</w:t>
            </w:r>
          </w:p>
        </w:tc>
        <w:tc>
          <w:tcPr>
            <w:tcW w:w="0" w:type="auto"/>
          </w:tcPr>
          <w:p>
            <w:pPr/>
            <w:r>
              <w:rPr>
                <w:rFonts w:ascii="Times New Roman" w:eastAsia="宋体"/>
                <w:sz w:val="21"/>
              </w:rPr>
              <w:t xml:space="preserve">15.51 m³/h</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未预见系数</w:t>
            </w:r>
          </w:p>
        </w:tc>
        <w:tc>
          <w:tcPr>
            <w:tcW w:w="0" w:type="auto"/>
          </w:tcPr>
          <w:p>
            <w:pPr/>
            <w:r>
              <w:rPr>
                <w:rFonts w:ascii="Times New Roman" w:eastAsia="宋体"/>
                <w:sz w:val="21"/>
              </w:rPr>
              <w:t xml:space="preserve">10 %</w:t>
            </w:r>
          </w:p>
        </w:tc>
      </w:tr>
    </w:tbl>
    <w:p>
      <w:pPr/>
      <w:r>
        <w:rPr>
          <w:b/>
          <w:rFonts w:ascii="Times New Roman" w:eastAsia="宋体"/>
          <w:sz w:val="21"/>
        </w:rPr>
        <w:t xml:space="preserve">消防用水量</w:t>
      </w:r>
      <w:r>
        <w:rPr>
          <w:rFonts w:ascii="Times New Roman" w:eastAsia="宋体"/>
          <w:sz w:val="21"/>
        </w:rPr>
        <w:t xml:space="preserve">：系统设置与用水量参数如下表。</w:t>
      </w:r>
    </w:p>
    <w:p>
      <w:pPr/>
      <w:r>
        <w:rPr>
          <w:b/>
          <w:rFonts w:ascii="Times New Roman" w:eastAsia="宋体"/>
          <w:sz w:val="21"/>
        </w:rPr>
        <w:t xml:space="preserve">表6-3a 消防用水量表（原表6-3）</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系统</w:t>
            </w:r>
          </w:p>
        </w:tc>
        <w:tc>
          <w:tcPr>
            <w:tcW w:w="0" w:type="auto"/>
          </w:tcPr>
          <w:p>
            <w:pPr/>
            <w:r>
              <w:rPr>
                <w:b/>
                <w:rFonts w:ascii="Times New Roman" w:eastAsia="宋体"/>
                <w:sz w:val="21"/>
              </w:rPr>
              <w:t xml:space="preserve">用水量</w:t>
            </w:r>
          </w:p>
        </w:tc>
        <w:tc>
          <w:tcPr>
            <w:tcW w:w="0" w:type="auto"/>
          </w:tcPr>
          <w:p>
            <w:pPr/>
            <w:r>
              <w:rPr>
                <w:b/>
                <w:rFonts w:ascii="Times New Roman" w:eastAsia="宋体"/>
                <w:sz w:val="21"/>
              </w:rPr>
              <w:t xml:space="preserve">一次灭火用水量</w:t>
            </w:r>
          </w:p>
        </w:tc>
        <w:tc>
          <w:tcPr>
            <w:tcW w:w="0" w:type="auto"/>
          </w:tcPr>
          <w:p>
            <w:pPr/>
            <w:r>
              <w:rPr>
                <w:b/>
                <w:rFonts w:ascii="Times New Roman" w:eastAsia="宋体"/>
                <w:sz w:val="21"/>
              </w:rPr>
              <w:t xml:space="preserve">喷水强度</w:t>
            </w:r>
          </w:p>
        </w:tc>
        <w:tc>
          <w:tcPr>
            <w:tcW w:w="0" w:type="auto"/>
          </w:tcPr>
          <w:p>
            <w:pPr/>
            <w:r>
              <w:rPr>
                <w:b/>
                <w:rFonts w:ascii="Times New Roman" w:eastAsia="宋体"/>
                <w:sz w:val="21"/>
              </w:rPr>
              <w:t xml:space="preserve">作用面积/其它</w:t>
            </w:r>
          </w:p>
        </w:tc>
        <w:tc>
          <w:tcPr>
            <w:tcW w:w="0" w:type="auto"/>
          </w:tcPr>
          <w:p>
            <w:pPr/>
            <w:r>
              <w:t xml:space="preserve"/>
            </w:r>
          </w:p>
        </w:tc>
      </w:tr>
      <w:tr>
        <w:tc>
          <w:tcPr>
            <w:tcW w:w="0" w:type="auto"/>
          </w:tcPr>
          <w:p>
            <w:pPr/>
            <w:r>
              <w:rPr>
                <w:rFonts w:ascii="Times New Roman" w:eastAsia="宋体"/>
                <w:sz w:val="21"/>
              </w:rPr>
              <w:t xml:space="preserve">室外消火栓系统</w:t>
            </w:r>
          </w:p>
        </w:tc>
        <w:tc>
          <w:tcPr>
            <w:tcW w:w="0" w:type="auto"/>
          </w:tcPr>
          <w:p>
            <w:pPr/>
            <w:r>
              <w:rPr>
                <w:rFonts w:ascii="Times New Roman" w:eastAsia="宋体"/>
                <w:sz w:val="21"/>
              </w:rPr>
              <w:t xml:space="preserve">40 L/s</w:t>
            </w:r>
          </w:p>
        </w:tc>
        <w:tc>
          <w:tcPr>
            <w:tcW w:w="0" w:type="auto"/>
          </w:tcPr>
          <w:p>
            <w:pPr/>
            <w:r>
              <w:rPr>
                <w:rFonts w:ascii="Times New Roman" w:eastAsia="宋体"/>
                <w:sz w:val="21"/>
              </w:rPr>
              <w:t xml:space="preserve">288 m³</w:t>
            </w:r>
          </w:p>
        </w:tc>
        <w:tc>
          <w:tcPr>
            <w:tcW w:w="0" w:type="auto"/>
          </w:tcPr>
          <w:p>
            <w:pPr/>
            <w:r>
              <w:rPr>
                <w:rFonts w:ascii="Times New Roman" w:eastAsia="宋体"/>
                <w:sz w:val="21"/>
              </w:rPr>
              <w:t xml:space="preserve">—</w:t>
            </w:r>
          </w:p>
        </w:tc>
        <w:tc>
          <w:tcPr>
            <w:tcW w:w="0" w:type="auto"/>
          </w:tcPr>
          <w:p>
            <w:pPr/>
            <w:r>
              <w:rPr>
                <w:rFonts w:ascii="Times New Roman" w:eastAsia="宋体"/>
                <w:sz w:val="21"/>
              </w:rPr>
              <w:t xml:space="preserve">—</w:t>
            </w:r>
          </w:p>
        </w:tc>
        <w:tc>
          <w:tcPr>
            <w:tcW w:w="0" w:type="auto"/>
          </w:tcPr>
          <w:p>
            <w:pPr/>
            <w:r>
              <w:rPr>
                <w:rFonts w:ascii="Times New Roman" w:eastAsia="宋体"/>
                <w:sz w:val="21"/>
              </w:rPr>
              <w:t xml:space="preserve">—</w:t>
            </w:r>
          </w:p>
        </w:tc>
      </w:tr>
      <w:tr>
        <w:tc>
          <w:tcPr>
            <w:tcW w:w="0" w:type="auto"/>
          </w:tcPr>
          <w:p>
            <w:pPr/>
            <w:r>
              <w:rPr>
                <w:rFonts w:ascii="Times New Roman" w:eastAsia="宋体"/>
                <w:sz w:val="21"/>
              </w:rPr>
              <w:t xml:space="preserve">室内消火栓系统</w:t>
            </w:r>
          </w:p>
        </w:tc>
        <w:tc>
          <w:tcPr>
            <w:tcW w:w="0" w:type="auto"/>
          </w:tcPr>
          <w:p>
            <w:pPr/>
            <w:r>
              <w:rPr>
                <w:rFonts w:ascii="Times New Roman" w:eastAsia="宋体"/>
                <w:sz w:val="21"/>
              </w:rPr>
              <w:t xml:space="preserve">20 L/s</w:t>
            </w:r>
          </w:p>
        </w:tc>
        <w:tc>
          <w:tcPr>
            <w:tcW w:w="0" w:type="auto"/>
          </w:tcPr>
          <w:p>
            <w:pPr/>
            <w:r>
              <w:rPr>
                <w:rFonts w:ascii="Times New Roman" w:eastAsia="宋体"/>
                <w:sz w:val="21"/>
              </w:rPr>
              <w:t xml:space="preserve">144 m³</w:t>
            </w:r>
          </w:p>
        </w:tc>
        <w:tc>
          <w:tcPr>
            <w:tcW w:w="0" w:type="auto"/>
          </w:tcPr>
          <w:p>
            <w:pPr/>
            <w:r>
              <w:rPr>
                <w:rFonts w:ascii="Times New Roman" w:eastAsia="宋体"/>
                <w:sz w:val="21"/>
              </w:rPr>
              <w:t xml:space="preserve">—</w:t>
            </w:r>
          </w:p>
        </w:tc>
        <w:tc>
          <w:tcPr>
            <w:tcW w:w="0" w:type="auto"/>
          </w:tcPr>
          <w:p>
            <w:pPr/>
            <w:r>
              <w:rPr>
                <w:rFonts w:ascii="Times New Roman" w:eastAsia="宋体"/>
                <w:sz w:val="21"/>
              </w:rPr>
              <w:t xml:space="preserve">—</w:t>
            </w:r>
          </w:p>
        </w:tc>
        <w:tc>
          <w:tcPr>
            <w:tcW w:w="0" w:type="auto"/>
          </w:tcPr>
          <w:p>
            <w:pPr/>
            <w:r>
              <w:rPr>
                <w:rFonts w:ascii="Times New Roman" w:eastAsia="宋体"/>
                <w:sz w:val="21"/>
              </w:rPr>
              <w:t xml:space="preserve">—</w:t>
            </w:r>
          </w:p>
        </w:tc>
      </w:tr>
      <w:tr>
        <w:tc>
          <w:tcPr>
            <w:tcW w:w="0" w:type="auto"/>
          </w:tcPr>
          <w:p>
            <w:pPr/>
            <w:r>
              <w:rPr>
                <w:rFonts w:ascii="Times New Roman" w:eastAsia="宋体"/>
                <w:sz w:val="21"/>
              </w:rPr>
              <w:t xml:space="preserve">自动喷水灭火系统</w:t>
            </w:r>
          </w:p>
        </w:tc>
        <w:tc>
          <w:tcPr>
            <w:tcW w:w="0" w:type="auto"/>
          </w:tcPr>
          <w:p>
            <w:pPr/>
            <w:r>
              <w:rPr>
                <w:rFonts w:ascii="Times New Roman" w:eastAsia="宋体"/>
                <w:sz w:val="21"/>
              </w:rPr>
              <w:t xml:space="preserve">25 L/s</w:t>
            </w:r>
          </w:p>
        </w:tc>
        <w:tc>
          <w:tcPr>
            <w:tcW w:w="0" w:type="auto"/>
          </w:tcPr>
          <w:p>
            <w:pPr/>
            <w:r>
              <w:rPr>
                <w:rFonts w:ascii="Times New Roman" w:eastAsia="宋体"/>
                <w:sz w:val="21"/>
              </w:rPr>
              <w:t xml:space="preserve">90 m³</w:t>
            </w:r>
          </w:p>
        </w:tc>
        <w:tc>
          <w:tcPr>
            <w:tcW w:w="0" w:type="auto"/>
          </w:tcPr>
          <w:p>
            <w:pPr/>
            <w:r>
              <w:rPr>
                <w:rFonts w:ascii="Times New Roman" w:eastAsia="宋体"/>
                <w:sz w:val="21"/>
              </w:rPr>
              <w:t xml:space="preserve">6 L/min·㎡</w:t>
            </w:r>
          </w:p>
        </w:tc>
        <w:tc>
          <w:tcPr>
            <w:tcW w:w="0" w:type="auto"/>
          </w:tcPr>
          <w:p>
            <w:pPr/>
            <w:r>
              <w:rPr>
                <w:rFonts w:ascii="Times New Roman" w:eastAsia="宋体"/>
                <w:sz w:val="21"/>
              </w:rPr>
              <w:t xml:space="preserve">160 ㎡</w:t>
            </w:r>
          </w:p>
        </w:tc>
        <w:tc>
          <w:tcPr>
            <w:tcW w:w="0" w:type="auto"/>
          </w:tcPr>
          <w:p>
            <w:pPr/>
            <w:r>
              <w:rPr>
                <w:rFonts w:ascii="Times New Roman" w:eastAsia="宋体"/>
                <w:sz w:val="21"/>
              </w:rPr>
              <w:t xml:space="preserve">21 L/s</w:t>
            </w:r>
          </w:p>
        </w:tc>
      </w:tr>
      <w:tr>
        <w:tc>
          <w:tcPr>
            <w:tcW w:w="0" w:type="auto"/>
          </w:tcPr>
          <w:p>
            <w:pPr/>
            <w:r>
              <w:rPr>
                <w:rFonts w:ascii="Times New Roman" w:eastAsia="宋体"/>
                <w:sz w:val="21"/>
              </w:rPr>
              <w:t xml:space="preserve">消防用水量总计</w:t>
            </w:r>
          </w:p>
        </w:tc>
        <w:tc>
          <w:tcPr>
            <w:tcW w:w="0" w:type="auto"/>
          </w:tcPr>
          <w:p>
            <w:pPr/>
            <w:r>
              <w:rPr>
                <w:rFonts w:ascii="Times New Roman" w:eastAsia="宋体"/>
                <w:sz w:val="21"/>
              </w:rPr>
              <w:t xml:space="preserve">85 L/s</w:t>
            </w:r>
          </w:p>
        </w:tc>
        <w:tc>
          <w:tcPr>
            <w:tcW w:w="0" w:type="auto"/>
          </w:tcPr>
          <w:p>
            <w:pPr/>
            <w:r>
              <w:rPr>
                <w:rFonts w:ascii="Times New Roman" w:eastAsia="宋体"/>
                <w:sz w:val="21"/>
              </w:rPr>
              <w:t xml:space="preserve">—</w:t>
            </w:r>
          </w:p>
        </w:tc>
        <w:tc>
          <w:tcPr>
            <w:tcW w:w="0" w:type="auto"/>
          </w:tcPr>
          <w:p>
            <w:pPr/>
            <w:r>
              <w:rPr>
                <w:rFonts w:ascii="Times New Roman" w:eastAsia="宋体"/>
                <w:sz w:val="21"/>
              </w:rPr>
              <w:t xml:space="preserve">—</w:t>
            </w:r>
          </w:p>
        </w:tc>
        <w:tc>
          <w:tcPr>
            <w:tcW w:w="0" w:type="auto"/>
          </w:tcPr>
          <w:p>
            <w:pPr/>
            <w:r>
              <w:rPr>
                <w:rFonts w:ascii="Times New Roman" w:eastAsia="宋体"/>
                <w:sz w:val="21"/>
              </w:rPr>
              <w:t xml:space="preserve">—</w:t>
            </w:r>
          </w:p>
        </w:tc>
        <w:tc>
          <w:tcPr>
            <w:tcW w:w="0" w:type="auto"/>
          </w:tcPr>
          <w:p>
            <w:pPr/>
            <w:r>
              <w:t xml:space="preserve"/>
            </w:r>
          </w:p>
        </w:tc>
      </w:tr>
      <w:tr>
        <w:tc>
          <w:tcPr>
            <w:tcW w:w="0" w:type="auto"/>
          </w:tcPr>
          <w:p>
            <w:pPr/>
            <w:r>
              <w:rPr>
                <w:rFonts w:ascii="Times New Roman" w:eastAsia="宋体"/>
                <w:sz w:val="21"/>
              </w:rPr>
              <w:t xml:space="preserve">消防一次灭火用水量总计</w:t>
            </w:r>
          </w:p>
        </w:tc>
        <w:tc>
          <w:tcPr>
            <w:tcW w:w="0" w:type="auto"/>
          </w:tcPr>
          <w:p>
            <w:pPr/>
            <w:r>
              <w:rPr>
                <w:rFonts w:ascii="Times New Roman" w:eastAsia="宋体"/>
                <w:sz w:val="21"/>
              </w:rPr>
              <w:t xml:space="preserve">522 m³</w:t>
            </w:r>
          </w:p>
        </w:tc>
        <w:tc>
          <w:tcPr>
            <w:tcW w:w="0" w:type="auto"/>
          </w:tcPr>
          <w:p>
            <w:pPr/>
            <w:r>
              <w:rPr>
                <w:rFonts w:ascii="Times New Roman" w:eastAsia="宋体"/>
                <w:sz w:val="21"/>
              </w:rPr>
              <w:t xml:space="preserve">—</w:t>
            </w:r>
          </w:p>
        </w:tc>
        <w:tc>
          <w:tcPr>
            <w:tcW w:w="0" w:type="auto"/>
          </w:tcPr>
          <w:p>
            <w:pPr/>
            <w:r>
              <w:rPr>
                <w:rFonts w:ascii="Times New Roman" w:eastAsia="宋体"/>
                <w:sz w:val="21"/>
              </w:rPr>
              <w:t xml:space="preserve">—</w:t>
            </w:r>
          </w:p>
        </w:tc>
        <w:tc>
          <w:tcPr>
            <w:tcW w:w="0" w:type="auto"/>
          </w:tcPr>
          <w:p>
            <w:pPr/>
            <w:r>
              <w:rPr>
                <w:rFonts w:ascii="Times New Roman" w:eastAsia="宋体"/>
                <w:sz w:val="21"/>
              </w:rPr>
              <w:t xml:space="preserve">—</w:t>
            </w:r>
          </w:p>
        </w:tc>
        <w:tc>
          <w:tcPr>
            <w:tcW w:w="0" w:type="auto"/>
          </w:tcPr>
          <w:p>
            <w:pPr/>
            <w:r>
              <w:t xml:space="preserve"/>
            </w:r>
          </w:p>
        </w:tc>
      </w:tr>
    </w:tbl>
    <w:p>
      <w:pPr/>
      <w:r>
        <w:rPr>
          <w:rFonts w:ascii="Times New Roman" w:eastAsia="宋体"/>
          <w:sz w:val="21"/>
        </w:rPr>
        <w:t xml:space="preserve">消防用水量的合计可复核：按 R-消防用水量合计（消防用水量总计）复算为 </w:t>
      </w:r>
      <w:r>
        <w:rPr>
          <w:b/>
          <w:rFonts w:ascii="Times New Roman" w:eastAsia="宋体"/>
          <w:sz w:val="21"/>
        </w:rPr>
        <w:t xml:space="preserve">85</w:t>
      </w:r>
      <w:r>
        <w:rPr>
          <w:rFonts w:ascii="Times New Roman" w:eastAsia="宋体"/>
          <w:sz w:val="21"/>
        </w:rPr>
        <w:t xml:space="preserve">，与报告声明一致（闭合）。。</w:t>
      </w:r>
    </w:p>
    <w:p>
      <w:pPr/>
      <w:r>
        <w:rPr>
          <w:rFonts w:ascii="Times New Roman" w:eastAsia="宋体"/>
          <w:sz w:val="21"/>
        </w:rPr>
        <w:t xml:space="preserve">本项目自动喷水灭火系统的设计参数存在两处并列取值，须核实后统一。</w:t>
      </w:r>
    </w:p>
    <w:p>
      <w:pPr>
        <w:ind w:left="420"/>
      </w:pPr>
      <w:r>
        <w:rPr>
          <w:b/>
          <w:rFonts w:ascii="Times New Roman" w:eastAsia="宋体"/>
          <w:sz w:val="21"/>
        </w:rPr>
        <w:t xml:space="preserve">🔍 依据复核（B-04）</w:t>
      </w:r>
      <w:r>
        <w:rPr>
          <w:rFonts w:ascii="Times New Roman" w:eastAsia="宋体"/>
          <w:sz w:val="21"/>
        </w:rPr>
        <w:t xml:space="preserve">：报告 6.4.4 给出「地上部分按中危Ⅰ级，设计喷水强度 6 L/(min·㎡)，作用面积 160㎡，系统设计最小用水量 21 L/s」；而表6-3「消防用水量表」对自动喷水灭火系统取 25 L/s。两者并存（本包已登记为数字冲突）。要判定 6/160/21 是否正确，需 GB50084-2017 表5.0.1 中「中危Ⅰ级」对应的喷水强度与作用面积数值——该表在被检索页面中被剥离，</w:t>
      </w:r>
      <w:r>
        <w:rPr>
          <w:b/>
          <w:rFonts w:ascii="Times New Roman" w:eastAsia="宋体"/>
          <w:sz w:val="21"/>
        </w:rPr>
        <w:t xml:space="preserve">依据未取到，故不下判定</w:t>
      </w:r>
      <w:r>
        <w:rPr>
          <w:rFonts w:ascii="Times New Roman" w:eastAsia="宋体"/>
          <w:sz w:val="21"/>
        </w:rPr>
        <w:t xml:space="preserve">。</w:t>
      </w:r>
    </w:p>
    <w:p>
      <w:pPr>
        <w:ind w:left="420"/>
      </w:pPr>
      <w:r>
        <w:rPr>
          <w:rFonts w:ascii="Times New Roman" w:eastAsia="宋体"/>
          <w:sz w:val="21"/>
        </w:rPr>
        <w:t xml:space="preserve">- 须核对：补取 GB50084-2017 表5.0.1 原文（含民用建筑危险等级对应参数）；确认 21 L/s 与 25 L/s 两个数值的各自含义（设计最小用水量 vs 消防用水量表取值）</w:t>
      </w:r>
    </w:p>
    <w:p>
      <w:pPr>
        <w:pStyle w:val="Heading3"/>
      </w:pPr>
      <w:r>
        <w:rPr>
          <w:rFonts w:ascii="Times New Roman" w:eastAsia="宋体"/>
          <w:sz w:val="21"/>
        </w:rPr>
        <w:t xml:space="preserve">6.4.3　生活给水与排水系统</w:t>
      </w:r>
    </w:p>
    <w:p>
      <w:pPr/>
      <w:r>
        <w:rPr>
          <w:b/>
          <w:rFonts w:ascii="Times New Roman" w:eastAsia="宋体"/>
          <w:sz w:val="21"/>
        </w:rPr>
        <w:t xml:space="preserve">生活给水系统</w:t>
      </w:r>
      <w:r>
        <w:rPr>
          <w:rFonts w:ascii="Times New Roman" w:eastAsia="宋体"/>
          <w:sz w:val="21"/>
        </w:rPr>
        <w:t xml:space="preserve">：地下一层至地上一层生活用水由市政管网直接供水，二层及以上楼层采用地下水池与变频泵组的加压供水方式；地下室设生活水泵房，生活水箱采用装配式食品级不锈钢水箱并设二次消毒装置。</w:t>
      </w:r>
    </w:p>
    <w:p>
      <w:pPr/>
      <w:r>
        <w:rPr>
          <w:b/>
          <w:rFonts w:ascii="Times New Roman" w:eastAsia="宋体"/>
          <w:sz w:val="21"/>
        </w:rPr>
        <w:t xml:space="preserve">生活排水系统</w:t>
      </w:r>
      <w:r>
        <w:rPr>
          <w:rFonts w:ascii="Times New Roman" w:eastAsia="宋体"/>
          <w:sz w:val="21"/>
        </w:rPr>
        <w:t xml:space="preserve">：室内排水采用污废合流制，按规范要求设置通气管；地上部分采用重力排水，地下室采用压力排水；地下室设备用房排水经潜污泵提升排放。</w:t>
      </w:r>
    </w:p>
    <w:p>
      <w:pPr/>
      <w:r>
        <w:rPr>
          <w:b/>
          <w:rFonts w:ascii="Times New Roman" w:eastAsia="宋体"/>
          <w:sz w:val="21"/>
        </w:rPr>
        <w:t xml:space="preserve">屋面雨水</w:t>
      </w:r>
      <w:r>
        <w:rPr>
          <w:rFonts w:ascii="Times New Roman" w:eastAsia="宋体"/>
          <w:sz w:val="21"/>
        </w:rPr>
        <w:t xml:space="preserve">：各单体屋面雨水采用重力流外排系统，设置雨水斗并接至室外雨水管；暴雨重现期按室外场地、下沉庭院、屋面分别取值。</w:t>
      </w:r>
    </w:p>
    <w:p>
      <w:pPr/>
      <w:r>
        <w:rPr>
          <w:b/>
          <w:rFonts w:ascii="Times New Roman" w:eastAsia="宋体"/>
          <w:sz w:val="21"/>
        </w:rPr>
        <w:t xml:space="preserve">消防系统</w:t>
      </w:r>
      <w:r>
        <w:rPr>
          <w:rFonts w:ascii="Times New Roman" w:eastAsia="宋体"/>
          <w:sz w:val="21"/>
        </w:rPr>
        <w:t xml:space="preserve">：设置室内消火栓给水系统与自动喷水灭火系统，采用临时高压系统，消防泵房设于地下室，屋顶设置高位消防水箱。</w:t>
      </w:r>
      <w:r>
        <w:rPr>
          <w:b/>
          <w:rFonts w:ascii="Times New Roman" w:eastAsia="宋体"/>
          <w:sz w:val="21"/>
        </w:rPr>
        <w:t xml:space="preserve">高位消防水箱的有效容积存在随高层类别变化的上下限</w:t>
      </w:r>
      <w:r>
        <w:rPr>
          <w:rFonts w:ascii="Times New Roman" w:eastAsia="宋体"/>
          <w:sz w:val="21"/>
        </w:rPr>
        <w:t xml:space="preserve">，其复核结论如下。</w:t>
      </w:r>
    </w:p>
    <w:p>
      <w:pPr>
        <w:ind w:left="420"/>
      </w:pPr>
      <w:r>
        <w:rPr>
          <w:b/>
          <w:rFonts w:ascii="Times New Roman" w:eastAsia="宋体"/>
          <w:sz w:val="21"/>
        </w:rPr>
        <w:t xml:space="preserve">⚠️ 依据复核（B-03）</w:t>
      </w:r>
      <w:r>
        <w:rPr>
          <w:rFonts w:ascii="Times New Roman" w:eastAsia="宋体"/>
          <w:sz w:val="21"/>
        </w:rPr>
        <w:t xml:space="preserve">：报告 6.4.4 写「屋顶设置一座有效容积不小 18m³ 的高位消防水箱（与自动喷水灭火系统共用）」。GB50974-2014 第5.2.1条第1、2款：一类高层公共建筑不应小于 36m³；二类高层公共建筑不应小于 18m³。取值下限随高层类别变化，而高层类别取决于 B-01 的建筑高度冲突。</w:t>
      </w:r>
    </w:p>
    <w:p>
      <w:pPr>
        <w:ind w:left="420"/>
      </w:pPr>
      <w:r>
        <w:rPr>
          <w:rFonts w:ascii="Times New Roman" w:eastAsia="宋体"/>
          <w:sz w:val="21"/>
        </w:rPr>
        <w:t xml:space="preserve">- 若 一类高层公共建筑 ⇒ 下限 36m³ ⇒ 报告 18m³ </w:t>
      </w:r>
      <w:r>
        <w:rPr>
          <w:b/>
          <w:rFonts w:ascii="Times New Roman" w:eastAsia="宋体"/>
          <w:sz w:val="21"/>
        </w:rPr>
        <w:t xml:space="preserve">不足</w:t>
      </w:r>
    </w:p>
    <w:p>
      <w:pPr>
        <w:ind w:left="420"/>
      </w:pPr>
      <w:r>
        <w:rPr>
          <w:rFonts w:ascii="Times New Roman" w:eastAsia="宋体"/>
          <w:sz w:val="21"/>
        </w:rPr>
        <w:t xml:space="preserve">- 若 二类高层公共建筑 ⇒ 下限 18m³ ⇒ 报告 18m³ 成立</w:t>
      </w:r>
    </w:p>
    <w:p>
      <w:pPr>
        <w:ind w:left="420"/>
      </w:pPr>
      <w:r>
        <w:rPr>
          <w:rFonts w:ascii="Times New Roman" w:eastAsia="宋体"/>
          <w:sz w:val="21"/>
        </w:rPr>
        <w:t xml:space="preserve">- 须核对：与 B-01 同一前提：先固定建筑高度与高层类别</w:t>
      </w:r>
    </w:p>
    <w:p>
      <w:pPr/>
      <w:r>
        <w:rPr>
          <w:rFonts w:ascii="Times New Roman" w:eastAsia="宋体"/>
          <w:sz w:val="21"/>
        </w:rPr>
        <w:t xml:space="preserve">此外，建筑灭火器按中危险级 A 类火灾配置；消防水泵房、设有消防给水系统的地下室以及消防电梯均设有消防排水集水井。</w:t>
      </w:r>
    </w:p>
    <w:p>
      <w:pPr>
        <w:pStyle w:val="Heading3"/>
      </w:pPr>
      <w:r>
        <w:rPr>
          <w:rFonts w:ascii="Times New Roman" w:eastAsia="宋体"/>
          <w:sz w:val="21"/>
        </w:rPr>
        <w:t xml:space="preserve">6.4.4　主要设备材料</w:t>
      </w:r>
    </w:p>
    <w:p>
      <w:pPr/>
      <w:r>
        <w:rPr>
          <w:b/>
          <w:rFonts w:ascii="Times New Roman" w:eastAsia="宋体"/>
          <w:sz w:val="21"/>
        </w:rPr>
        <w:t xml:space="preserve">表6-4 主要设备材料表</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设备名称</w:t>
            </w:r>
          </w:p>
        </w:tc>
        <w:tc>
          <w:tcPr>
            <w:tcW w:w="0" w:type="auto"/>
          </w:tcPr>
          <w:p>
            <w:pPr/>
            <w:r>
              <w:rPr>
                <w:b/>
                <w:rFonts w:ascii="Times New Roman" w:eastAsia="宋体"/>
                <w:sz w:val="21"/>
              </w:rPr>
              <w:t xml:space="preserve">参数类别</w:t>
            </w:r>
          </w:p>
        </w:tc>
        <w:tc>
          <w:tcPr>
            <w:tcW w:w="0" w:type="auto"/>
          </w:tcPr>
          <w:p>
            <w:pPr/>
            <w:r>
              <w:rPr>
                <w:b/>
                <w:rFonts w:ascii="Times New Roman" w:eastAsia="宋体"/>
                <w:sz w:val="21"/>
              </w:rPr>
              <w:t xml:space="preserve">规格参数</w:t>
            </w:r>
          </w:p>
        </w:tc>
        <w:tc>
          <w:tcPr>
            <w:tcW w:w="0" w:type="auto"/>
          </w:tcPr>
          <w:p>
            <w:pPr/>
            <w:r>
              <w:t xml:space="preserve"/>
            </w:r>
          </w:p>
        </w:tc>
        <w:tc>
          <w:tcPr>
            <w:tcW w:w="0" w:type="auto"/>
          </w:tcPr>
          <w:p>
            <w:pPr/>
            <w:r>
              <w:t xml:space="preserve"/>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DN150地上式2套（消火栓）/2套（喷淋）</w:t>
            </w:r>
          </w:p>
        </w:tc>
        <w:tc>
          <w:tcPr>
            <w:tcW w:w="0" w:type="auto"/>
          </w:tcPr>
          <w:p>
            <w:pPr/>
            <w:r>
              <w:t xml:space="preserve"/>
            </w:r>
          </w:p>
        </w:tc>
        <w:tc>
          <w:tcPr>
            <w:tcW w:w="0" w:type="auto"/>
          </w:tcPr>
          <w:p>
            <w:pPr/>
            <w:r>
              <w:t xml:space="preserve"/>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包括恒压变频泵（2台）</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Q=12m3/h H=75m N=5.5Kw 2用1备</w:t>
            </w:r>
          </w:p>
        </w:tc>
        <w:tc>
          <w:tcPr>
            <w:tcW w:w="0" w:type="auto"/>
          </w:tcPr>
          <w:p>
            <w:pPr/>
            <w:r>
              <w:t xml:space="preserve"/>
            </w:r>
          </w:p>
        </w:tc>
        <w:tc>
          <w:tcPr>
            <w:tcW w:w="0" w:type="auto"/>
          </w:tcPr>
          <w:p>
            <w:pPr/>
            <w:r>
              <w:t xml:space="preserve"/>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水泵参数为</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Q=20 L/S H=110m N=37Kw （一用一备）</w:t>
            </w:r>
          </w:p>
        </w:tc>
        <w:tc>
          <w:tcPr>
            <w:tcW w:w="0" w:type="auto"/>
          </w:tcPr>
          <w:p>
            <w:pPr/>
            <w:r>
              <w:t xml:space="preserve"/>
            </w:r>
          </w:p>
        </w:tc>
        <w:tc>
          <w:tcPr>
            <w:tcW w:w="0" w:type="auto"/>
          </w:tcPr>
          <w:p>
            <w:pPr/>
            <w:r>
              <w:t xml:space="preserve"/>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屋顶消火栓系统增压泵</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Q=1 L/S H=28m N=2.2Kw （一用一备）</w:t>
            </w:r>
          </w:p>
        </w:tc>
        <w:tc>
          <w:tcPr>
            <w:tcW w:w="0" w:type="auto"/>
          </w:tcPr>
          <w:p>
            <w:pPr/>
            <w:r>
              <w:t xml:space="preserve"/>
            </w:r>
          </w:p>
        </w:tc>
        <w:tc>
          <w:tcPr>
            <w:tcW w:w="0" w:type="auto"/>
          </w:tcPr>
          <w:p>
            <w:pPr/>
            <w:r>
              <w:t xml:space="preserve"/>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水泵参数为</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Q=25 L/S H=93m N=37Kw （一用一备）</w:t>
            </w:r>
          </w:p>
        </w:tc>
        <w:tc>
          <w:tcPr>
            <w:tcW w:w="0" w:type="auto"/>
          </w:tcPr>
          <w:p>
            <w:pPr/>
            <w:r>
              <w:t xml:space="preserve"/>
            </w:r>
          </w:p>
        </w:tc>
        <w:tc>
          <w:tcPr>
            <w:tcW w:w="0" w:type="auto"/>
          </w:tcPr>
          <w:p>
            <w:pPr/>
            <w:r>
              <w:t xml:space="preserve"/>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屋顶消火栓系统增压泵</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Q=1 L/S H=28m N=2.2Kw （一用一备）</w:t>
            </w:r>
          </w:p>
        </w:tc>
        <w:tc>
          <w:tcPr>
            <w:tcW w:w="0" w:type="auto"/>
          </w:tcPr>
          <w:p>
            <w:pPr/>
            <w:r>
              <w:t xml:space="preserve"/>
            </w:r>
          </w:p>
        </w:tc>
        <w:tc>
          <w:tcPr>
            <w:tcW w:w="0" w:type="auto"/>
          </w:tcPr>
          <w:p>
            <w:pPr/>
            <w:r>
              <w:t xml:space="preserve"/>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水泵</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Q=12m3/h·台,H=75m N=5.5Kw</w:t>
            </w:r>
          </w:p>
        </w:tc>
        <w:tc>
          <w:tcPr>
            <w:tcW w:w="0" w:type="auto"/>
          </w:tcPr>
          <w:p>
            <w:pPr/>
            <w:r>
              <w:rPr>
                <w:rFonts w:ascii="Times New Roman" w:eastAsia="宋体"/>
                <w:sz w:val="21"/>
              </w:rPr>
              <w:t xml:space="preserve">台</w:t>
            </w:r>
          </w:p>
        </w:tc>
        <w:tc>
          <w:tcPr>
            <w:tcW w:w="0" w:type="auto"/>
          </w:tcPr>
          <w:p>
            <w:pPr/>
            <w:r>
              <w:rPr>
                <w:rFonts w:ascii="Times New Roman" w:eastAsia="宋体"/>
                <w:sz w:val="21"/>
              </w:rPr>
              <w:t xml:space="preserve">2</w:t>
            </w:r>
          </w:p>
        </w:tc>
        <w:tc>
          <w:tcPr>
            <w:tcW w:w="0" w:type="auto"/>
          </w:tcPr>
          <w:p>
            <w:pPr/>
            <w:r>
              <w:rPr>
                <w:rFonts w:ascii="Times New Roman" w:eastAsia="宋体"/>
                <w:sz w:val="21"/>
              </w:rPr>
              <w:t xml:space="preserve">两用一备</w:t>
            </w:r>
          </w:p>
        </w:tc>
        <w:tc>
          <w:tcPr>
            <w:tcW w:w="0" w:type="auto"/>
          </w:tcPr>
          <w:p>
            <w:pPr/>
            <w:r>
              <w:t xml:space="preserve"/>
            </w:r>
          </w:p>
        </w:tc>
      </w:tr>
      <w:tr>
        <w:tc>
          <w:tcPr>
            <w:tcW w:w="0" w:type="auto"/>
          </w:tcPr>
          <w:p>
            <w:pPr/>
            <w:r>
              <w:rPr>
                <w:rFonts w:ascii="Times New Roman" w:eastAsia="宋体"/>
                <w:sz w:val="21"/>
              </w:rPr>
              <w:t xml:space="preserve">食品级不锈钢水箱</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有效容积V=40m3</w:t>
            </w:r>
          </w:p>
        </w:tc>
        <w:tc>
          <w:tcPr>
            <w:tcW w:w="0" w:type="auto"/>
          </w:tcPr>
          <w:p>
            <w:pPr/>
            <w:r>
              <w:rPr>
                <w:rFonts w:ascii="Times New Roman" w:eastAsia="宋体"/>
                <w:sz w:val="21"/>
              </w:rPr>
              <w:t xml:space="preserve">座</w:t>
            </w:r>
          </w:p>
        </w:tc>
        <w:tc>
          <w:tcPr>
            <w:tcW w:w="0" w:type="auto"/>
          </w:tcPr>
          <w:p>
            <w:pPr/>
            <w:r>
              <w:rPr>
                <w:rFonts w:ascii="Times New Roman" w:eastAsia="宋体"/>
                <w:sz w:val="21"/>
              </w:rPr>
              <w:t xml:space="preserve">1</w:t>
            </w:r>
          </w:p>
        </w:tc>
        <w:tc>
          <w:tcPr>
            <w:tcW w:w="0" w:type="auto"/>
          </w:tcPr>
          <w:p>
            <w:pPr/>
            <w:r>
              <w:rPr>
                <w:rFonts w:ascii="Times New Roman" w:eastAsia="宋体"/>
                <w:sz w:val="21"/>
              </w:rPr>
              <w:t xml:space="preserve">生活水池（箱）</w:t>
            </w:r>
          </w:p>
        </w:tc>
        <w:tc>
          <w:tcPr>
            <w:tcW w:w="0" w:type="auto"/>
          </w:tcPr>
          <w:p>
            <w:pPr/>
            <w:r>
              <w:t xml:space="preserve"/>
            </w:r>
          </w:p>
        </w:tc>
      </w:tr>
      <w:tr>
        <w:tc>
          <w:tcPr>
            <w:tcW w:w="0" w:type="auto"/>
          </w:tcPr>
          <w:p>
            <w:pPr/>
            <w:r>
              <w:rPr>
                <w:rFonts w:ascii="Times New Roman" w:eastAsia="宋体"/>
                <w:sz w:val="21"/>
              </w:rPr>
              <w:t xml:space="preserve">LxBxH</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功率：160W，处理水量为9~16m3/h，杀菌率：99.8%,灭藻率：99.9%</w:t>
            </w:r>
          </w:p>
        </w:tc>
        <w:tc>
          <w:tcPr>
            <w:tcW w:w="0" w:type="auto"/>
          </w:tcPr>
          <w:p>
            <w:pPr/>
            <w:r>
              <w:t xml:space="preserve"/>
            </w:r>
          </w:p>
        </w:tc>
        <w:tc>
          <w:tcPr>
            <w:tcW w:w="0" w:type="auto"/>
          </w:tcPr>
          <w:p>
            <w:pPr/>
            <w:r>
              <w:t xml:space="preserve"/>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单台泵流量Q=20L／S， H＝110m，N＝3</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单台泵流量Q=20L／S， H＝110m，N＝37kW</w:t>
            </w:r>
          </w:p>
        </w:tc>
        <w:tc>
          <w:tcPr>
            <w:tcW w:w="0" w:type="auto"/>
          </w:tcPr>
          <w:p>
            <w:pPr/>
            <w:r>
              <w:t xml:space="preserve"/>
            </w:r>
          </w:p>
        </w:tc>
        <w:tc>
          <w:tcPr>
            <w:tcW w:w="0" w:type="auto"/>
          </w:tcPr>
          <w:p>
            <w:pPr/>
            <w:r>
              <w:t xml:space="preserve"/>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室内消火栓稳压泵组</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单台泵流量Q＝1 L／S，H＝28m，N＝2.2kW，一用一备,隔膜式气压罐（150L）一台。</w:t>
            </w:r>
          </w:p>
        </w:tc>
        <w:tc>
          <w:tcPr>
            <w:tcW w:w="0" w:type="auto"/>
          </w:tcPr>
          <w:p>
            <w:pPr/>
            <w:r>
              <w:rPr>
                <w:rFonts w:ascii="Times New Roman" w:eastAsia="宋体"/>
                <w:sz w:val="21"/>
              </w:rPr>
              <w:t xml:space="preserve">组</w:t>
            </w:r>
          </w:p>
        </w:tc>
        <w:tc>
          <w:tcPr>
            <w:tcW w:w="0" w:type="auto"/>
          </w:tcPr>
          <w:p>
            <w:pPr/>
            <w:r>
              <w:rPr>
                <w:rFonts w:ascii="Times New Roman" w:eastAsia="宋体"/>
                <w:sz w:val="21"/>
              </w:rPr>
              <w:t xml:space="preserve">2</w:t>
            </w:r>
          </w:p>
        </w:tc>
        <w:tc>
          <w:tcPr>
            <w:tcW w:w="0" w:type="auto"/>
          </w:tcPr>
          <w:p>
            <w:pPr/>
            <w:r>
              <w:rPr>
                <w:rFonts w:ascii="Times New Roman" w:eastAsia="宋体"/>
                <w:sz w:val="21"/>
              </w:rPr>
              <w:t xml:space="preserve">室内消火栓稳压泵组</w:t>
            </w:r>
          </w:p>
        </w:tc>
        <w:tc>
          <w:tcPr>
            <w:tcW w:w="0" w:type="auto"/>
          </w:tcPr>
          <w:p>
            <w:pPr/>
            <w:r>
              <w:t xml:space="preserve"/>
            </w:r>
          </w:p>
        </w:tc>
      </w:tr>
      <w:tr>
        <w:tc>
          <w:tcPr>
            <w:tcW w:w="0" w:type="auto"/>
          </w:tcPr>
          <w:p>
            <w:pPr/>
            <w:r>
              <w:rPr>
                <w:rFonts w:ascii="Times New Roman" w:eastAsia="宋体"/>
                <w:sz w:val="21"/>
              </w:rPr>
              <w:t xml:space="preserve">单台泵流量Q=25L／S， H＝93m，N＝37</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单台泵流量Q=25L／S， H＝93m，N＝37kW</w:t>
            </w:r>
          </w:p>
        </w:tc>
        <w:tc>
          <w:tcPr>
            <w:tcW w:w="0" w:type="auto"/>
          </w:tcPr>
          <w:p>
            <w:pPr/>
            <w:r>
              <w:t xml:space="preserve"/>
            </w:r>
          </w:p>
        </w:tc>
        <w:tc>
          <w:tcPr>
            <w:tcW w:w="0" w:type="auto"/>
          </w:tcPr>
          <w:p>
            <w:pPr/>
            <w:r>
              <w:t xml:space="preserve"/>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室内消火栓稳压泵组</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单台泵流量Q＝1 L／S，H＝28m，N＝2.2kW，一用一备,隔膜式气压罐（150L）一台。</w:t>
            </w:r>
          </w:p>
        </w:tc>
        <w:tc>
          <w:tcPr>
            <w:tcW w:w="0" w:type="auto"/>
          </w:tcPr>
          <w:p>
            <w:pPr/>
            <w:r>
              <w:rPr>
                <w:rFonts w:ascii="Times New Roman" w:eastAsia="宋体"/>
                <w:sz w:val="21"/>
              </w:rPr>
              <w:t xml:space="preserve">组</w:t>
            </w:r>
          </w:p>
        </w:tc>
        <w:tc>
          <w:tcPr>
            <w:tcW w:w="0" w:type="auto"/>
          </w:tcPr>
          <w:p>
            <w:pPr/>
            <w:r>
              <w:rPr>
                <w:rFonts w:ascii="Times New Roman" w:eastAsia="宋体"/>
                <w:sz w:val="21"/>
              </w:rPr>
              <w:t xml:space="preserve">2</w:t>
            </w:r>
          </w:p>
        </w:tc>
        <w:tc>
          <w:tcPr>
            <w:tcW w:w="0" w:type="auto"/>
          </w:tcPr>
          <w:p>
            <w:pPr/>
            <w:r>
              <w:rPr>
                <w:rFonts w:ascii="Times New Roman" w:eastAsia="宋体"/>
                <w:sz w:val="21"/>
              </w:rPr>
              <w:t xml:space="preserve">自动喷水灭火系统稳压泵组</w:t>
            </w:r>
          </w:p>
        </w:tc>
        <w:tc>
          <w:tcPr>
            <w:tcW w:w="0" w:type="auto"/>
          </w:tcPr>
          <w:p>
            <w:pPr/>
            <w:r>
              <w:t xml:space="preserve"/>
            </w:r>
          </w:p>
        </w:tc>
      </w:tr>
      <w:tr>
        <w:tc>
          <w:tcPr>
            <w:tcW w:w="0" w:type="auto"/>
          </w:tcPr>
          <w:p>
            <w:pPr/>
            <w:r>
              <w:rPr>
                <w:rFonts w:ascii="Times New Roman" w:eastAsia="宋体"/>
                <w:sz w:val="21"/>
              </w:rPr>
              <w:t xml:space="preserve">Q=40m3/h·台 H=15m，N=4kW/台</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Q=40m3/h·台 H=15m，N=4kW/台</w:t>
            </w:r>
          </w:p>
        </w:tc>
        <w:tc>
          <w:tcPr>
            <w:tcW w:w="0" w:type="auto"/>
          </w:tcPr>
          <w:p>
            <w:pPr/>
            <w:r>
              <w:t xml:space="preserve"/>
            </w:r>
          </w:p>
        </w:tc>
        <w:tc>
          <w:tcPr>
            <w:tcW w:w="0" w:type="auto"/>
          </w:tcPr>
          <w:p>
            <w:pPr/>
            <w:r>
              <w:t xml:space="preserve"/>
            </w:r>
          </w:p>
        </w:tc>
        <w:tc>
          <w:tcPr>
            <w:tcW w:w="0" w:type="auto"/>
          </w:tcPr>
          <w:p>
            <w:pPr/>
            <w:r>
              <w:rPr>
                <w:rFonts w:ascii="Times New Roman" w:eastAsia="宋体"/>
                <w:sz w:val="21"/>
              </w:rPr>
              <w:t xml:space="preserve">水泵房及消防电梯集水井</w:t>
            </w:r>
          </w:p>
        </w:tc>
        <w:tc>
          <w:tcPr>
            <w:tcW w:w="0" w:type="auto"/>
          </w:tcPr>
          <w:p>
            <w:pPr/>
            <w:r>
              <w:t xml:space="preserve"/>
            </w:r>
          </w:p>
        </w:tc>
      </w:tr>
      <w:tr>
        <w:tc>
          <w:tcPr>
            <w:tcW w:w="0" w:type="auto"/>
          </w:tcPr>
          <w:p>
            <w:pPr/>
            <w:r>
              <w:rPr>
                <w:rFonts w:ascii="Times New Roman" w:eastAsia="宋体"/>
                <w:sz w:val="21"/>
              </w:rPr>
              <w:t xml:space="preserve">房间名称</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风量 (m3/h﹒P)</w:t>
            </w:r>
          </w:p>
        </w:tc>
        <w:tc>
          <w:tcPr>
            <w:tcW w:w="0" w:type="auto"/>
          </w:tcPr>
          <w:p>
            <w:pPr/>
            <w:r>
              <w:rPr>
                <w:rFonts w:ascii="Times New Roman" w:eastAsia="宋体"/>
                <w:sz w:val="21"/>
              </w:rPr>
              <w:t xml:space="preserve">噪声 标准 dB(A)</w:t>
            </w:r>
          </w:p>
        </w:tc>
        <w:tc>
          <w:tcPr>
            <w:tcW w:w="0" w:type="auto"/>
          </w:tcPr>
          <w:p>
            <w:pPr/>
            <w:r>
              <w:rPr>
                <w:rFonts w:ascii="Times New Roman" w:eastAsia="宋体"/>
                <w:sz w:val="21"/>
              </w:rPr>
              <w:t xml:space="preserve">备注</w:t>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变制冷剂流量多联室外机组（30HP）</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功率：28.4kW， IPLV(C)：8</w:t>
            </w:r>
          </w:p>
        </w:tc>
        <w:tc>
          <w:tcPr>
            <w:tcW w:w="0" w:type="auto"/>
          </w:tcPr>
          <w:p>
            <w:pPr/>
            <w:r>
              <w:rPr>
                <w:rFonts w:ascii="Times New Roman" w:eastAsia="宋体"/>
                <w:sz w:val="21"/>
              </w:rPr>
              <w:t xml:space="preserve">台</w:t>
            </w:r>
          </w:p>
        </w:tc>
        <w:tc>
          <w:tcPr>
            <w:tcW w:w="0" w:type="auto"/>
          </w:tcPr>
          <w:p>
            <w:pPr/>
            <w:r>
              <w:rPr>
                <w:rFonts w:ascii="Times New Roman" w:eastAsia="宋体"/>
                <w:sz w:val="21"/>
              </w:rPr>
              <w:t xml:space="preserve">22</w:t>
            </w:r>
          </w:p>
        </w:tc>
        <w:tc>
          <w:tcPr>
            <w:tcW w:w="0" w:type="auto"/>
          </w:tcPr>
          <w:p>
            <w:pPr/>
            <w:r>
              <w:rPr>
                <w:rFonts w:ascii="Times New Roman" w:eastAsia="宋体"/>
                <w:sz w:val="21"/>
              </w:rPr>
              <w:t xml:space="preserve">冷媒：R410A</w:t>
            </w:r>
          </w:p>
        </w:tc>
        <w:tc>
          <w:tcPr>
            <w:tcW w:w="0" w:type="auto"/>
          </w:tcPr>
          <w:p>
            <w:pPr/>
            <w:r>
              <w:t xml:space="preserve"/>
            </w:r>
          </w:p>
        </w:tc>
      </w:tr>
      <w:tr>
        <w:tc>
          <w:tcPr>
            <w:tcW w:w="0" w:type="auto"/>
          </w:tcPr>
          <w:p>
            <w:pPr/>
            <w:r>
              <w:rPr>
                <w:rFonts w:ascii="Times New Roman" w:eastAsia="宋体"/>
                <w:sz w:val="21"/>
              </w:rPr>
              <w:t xml:space="preserve">变制冷剂流量多联室外机组（16HP）</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功率：14.2kW， IPLV(C)：8.85</w:t>
            </w:r>
          </w:p>
        </w:tc>
        <w:tc>
          <w:tcPr>
            <w:tcW w:w="0" w:type="auto"/>
          </w:tcPr>
          <w:p>
            <w:pPr/>
            <w:r>
              <w:rPr>
                <w:rFonts w:ascii="Times New Roman" w:eastAsia="宋体"/>
                <w:sz w:val="21"/>
              </w:rPr>
              <w:t xml:space="preserve">台</w:t>
            </w:r>
          </w:p>
        </w:tc>
        <w:tc>
          <w:tcPr>
            <w:tcW w:w="0" w:type="auto"/>
          </w:tcPr>
          <w:p>
            <w:pPr/>
            <w:r>
              <w:rPr>
                <w:rFonts w:ascii="Times New Roman" w:eastAsia="宋体"/>
                <w:sz w:val="21"/>
              </w:rPr>
              <w:t xml:space="preserve">10</w:t>
            </w:r>
          </w:p>
        </w:tc>
        <w:tc>
          <w:tcPr>
            <w:tcW w:w="0" w:type="auto"/>
          </w:tcPr>
          <w:p>
            <w:pPr/>
            <w:r>
              <w:rPr>
                <w:rFonts w:ascii="Times New Roman" w:eastAsia="宋体"/>
                <w:sz w:val="21"/>
              </w:rPr>
              <w:t xml:space="preserve">冷媒：R410A</w:t>
            </w:r>
          </w:p>
        </w:tc>
        <w:tc>
          <w:tcPr>
            <w:tcW w:w="0" w:type="auto"/>
          </w:tcPr>
          <w:p>
            <w:pPr/>
            <w:r>
              <w:t xml:space="preserve"/>
            </w:r>
          </w:p>
        </w:tc>
      </w:tr>
      <w:tr>
        <w:tc>
          <w:tcPr>
            <w:tcW w:w="0" w:type="auto"/>
          </w:tcPr>
          <w:p>
            <w:pPr/>
            <w:r>
              <w:rPr>
                <w:rFonts w:ascii="Times New Roman" w:eastAsia="宋体"/>
                <w:sz w:val="21"/>
              </w:rPr>
              <w:t xml:space="preserve">变制冷剂流量多联室外机组（10HP）</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功率：7.5kW， IPLV(C)：8</w:t>
            </w:r>
          </w:p>
        </w:tc>
        <w:tc>
          <w:tcPr>
            <w:tcW w:w="0" w:type="auto"/>
          </w:tcPr>
          <w:p>
            <w:pPr/>
            <w:r>
              <w:rPr>
                <w:rFonts w:ascii="Times New Roman" w:eastAsia="宋体"/>
                <w:sz w:val="21"/>
              </w:rPr>
              <w:t xml:space="preserve">台</w:t>
            </w:r>
          </w:p>
        </w:tc>
        <w:tc>
          <w:tcPr>
            <w:tcW w:w="0" w:type="auto"/>
          </w:tcPr>
          <w:p>
            <w:pPr/>
            <w:r>
              <w:rPr>
                <w:rFonts w:ascii="Times New Roman" w:eastAsia="宋体"/>
                <w:sz w:val="21"/>
              </w:rPr>
              <w:t xml:space="preserve">2</w:t>
            </w:r>
          </w:p>
        </w:tc>
        <w:tc>
          <w:tcPr>
            <w:tcW w:w="0" w:type="auto"/>
          </w:tcPr>
          <w:p>
            <w:pPr/>
            <w:r>
              <w:rPr>
                <w:rFonts w:ascii="Times New Roman" w:eastAsia="宋体"/>
                <w:sz w:val="21"/>
              </w:rPr>
              <w:t xml:space="preserve">冷媒：R410A</w:t>
            </w:r>
          </w:p>
        </w:tc>
        <w:tc>
          <w:tcPr>
            <w:tcW w:w="0" w:type="auto"/>
          </w:tcPr>
          <w:p>
            <w:pPr/>
            <w:r>
              <w:t xml:space="preserve"/>
            </w:r>
          </w:p>
        </w:tc>
      </w:tr>
      <w:tr>
        <w:tc>
          <w:tcPr>
            <w:tcW w:w="0" w:type="auto"/>
          </w:tcPr>
          <w:p>
            <w:pPr/>
            <w:r>
              <w:rPr>
                <w:rFonts w:ascii="Times New Roman" w:eastAsia="宋体"/>
                <w:sz w:val="21"/>
              </w:rPr>
              <w:t xml:space="preserve">直膨式新风机组</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功率：0.774kW， 风量：4000m3/h</w:t>
            </w:r>
          </w:p>
        </w:tc>
        <w:tc>
          <w:tcPr>
            <w:tcW w:w="0" w:type="auto"/>
          </w:tcPr>
          <w:p>
            <w:pPr/>
            <w:r>
              <w:rPr>
                <w:rFonts w:ascii="Times New Roman" w:eastAsia="宋体"/>
                <w:sz w:val="21"/>
              </w:rPr>
              <w:t xml:space="preserve">台</w:t>
            </w:r>
          </w:p>
        </w:tc>
        <w:tc>
          <w:tcPr>
            <w:tcW w:w="0" w:type="auto"/>
          </w:tcPr>
          <w:p>
            <w:pPr/>
            <w:r>
              <w:rPr>
                <w:rFonts w:ascii="Times New Roman" w:eastAsia="宋体"/>
                <w:sz w:val="21"/>
              </w:rPr>
              <w:t xml:space="preserve">10</w:t>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直膨式新风机组</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功率：0.52kW， 风量：2100m3/h</w:t>
            </w:r>
          </w:p>
        </w:tc>
        <w:tc>
          <w:tcPr>
            <w:tcW w:w="0" w:type="auto"/>
          </w:tcPr>
          <w:p>
            <w:pPr/>
            <w:r>
              <w:rPr>
                <w:rFonts w:ascii="Times New Roman" w:eastAsia="宋体"/>
                <w:sz w:val="21"/>
              </w:rPr>
              <w:t xml:space="preserve">台</w:t>
            </w:r>
          </w:p>
        </w:tc>
        <w:tc>
          <w:tcPr>
            <w:tcW w:w="0" w:type="auto"/>
          </w:tcPr>
          <w:p>
            <w:pPr/>
            <w:r>
              <w:rPr>
                <w:rFonts w:ascii="Times New Roman" w:eastAsia="宋体"/>
                <w:sz w:val="21"/>
              </w:rPr>
              <w:t xml:space="preserve">2</w:t>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变制冷剂流量多联室内机组</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功率：255W， 风量：1200m3/h</w:t>
            </w:r>
          </w:p>
        </w:tc>
        <w:tc>
          <w:tcPr>
            <w:tcW w:w="0" w:type="auto"/>
          </w:tcPr>
          <w:p>
            <w:pPr/>
            <w:r>
              <w:rPr>
                <w:rFonts w:ascii="Times New Roman" w:eastAsia="宋体"/>
                <w:sz w:val="21"/>
              </w:rPr>
              <w:t xml:space="preserve">台</w:t>
            </w:r>
          </w:p>
        </w:tc>
        <w:tc>
          <w:tcPr>
            <w:tcW w:w="0" w:type="auto"/>
          </w:tcPr>
          <w:p>
            <w:pPr/>
            <w:r>
              <w:rPr>
                <w:rFonts w:ascii="Times New Roman" w:eastAsia="宋体"/>
                <w:sz w:val="21"/>
              </w:rPr>
              <w:t xml:space="preserve">50</w:t>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变制冷剂流量多联室内机组</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功率：410W， 风量：1920m3/h</w:t>
            </w:r>
          </w:p>
        </w:tc>
        <w:tc>
          <w:tcPr>
            <w:tcW w:w="0" w:type="auto"/>
          </w:tcPr>
          <w:p>
            <w:pPr/>
            <w:r>
              <w:rPr>
                <w:rFonts w:ascii="Times New Roman" w:eastAsia="宋体"/>
                <w:sz w:val="21"/>
              </w:rPr>
              <w:t xml:space="preserve">台</w:t>
            </w:r>
          </w:p>
        </w:tc>
        <w:tc>
          <w:tcPr>
            <w:tcW w:w="0" w:type="auto"/>
          </w:tcPr>
          <w:p>
            <w:pPr/>
            <w:r>
              <w:rPr>
                <w:rFonts w:ascii="Times New Roman" w:eastAsia="宋体"/>
                <w:sz w:val="21"/>
              </w:rPr>
              <w:t xml:space="preserve">40</w:t>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变制冷剂流量多联室内机组</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功率：410W， 风量：2100m3/h</w:t>
            </w:r>
          </w:p>
        </w:tc>
        <w:tc>
          <w:tcPr>
            <w:tcW w:w="0" w:type="auto"/>
          </w:tcPr>
          <w:p>
            <w:pPr/>
            <w:r>
              <w:rPr>
                <w:rFonts w:ascii="Times New Roman" w:eastAsia="宋体"/>
                <w:sz w:val="21"/>
              </w:rPr>
              <w:t xml:space="preserve">台</w:t>
            </w:r>
          </w:p>
        </w:tc>
        <w:tc>
          <w:tcPr>
            <w:tcW w:w="0" w:type="auto"/>
          </w:tcPr>
          <w:p>
            <w:pPr/>
            <w:r>
              <w:rPr>
                <w:rFonts w:ascii="Times New Roman" w:eastAsia="宋体"/>
                <w:sz w:val="21"/>
              </w:rPr>
              <w:t xml:space="preserve">76</w:t>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加压送风机（混流风机）</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风量：34000m3/h，全压：700Pa，功率：15kW</w:t>
            </w:r>
          </w:p>
        </w:tc>
        <w:tc>
          <w:tcPr>
            <w:tcW w:w="0" w:type="auto"/>
          </w:tcPr>
          <w:p>
            <w:pPr/>
            <w:r>
              <w:rPr>
                <w:rFonts w:ascii="Times New Roman" w:eastAsia="宋体"/>
                <w:sz w:val="21"/>
              </w:rPr>
              <w:t xml:space="preserve">台</w:t>
            </w:r>
          </w:p>
        </w:tc>
        <w:tc>
          <w:tcPr>
            <w:tcW w:w="0" w:type="auto"/>
          </w:tcPr>
          <w:p>
            <w:pPr/>
            <w:r>
              <w:rPr>
                <w:rFonts w:ascii="Times New Roman" w:eastAsia="宋体"/>
                <w:sz w:val="21"/>
              </w:rPr>
              <w:t xml:space="preserve">4</w:t>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加压送风机（混流风机）</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风量：15000m3/h，全压：500Pa，功率：4kW</w:t>
            </w:r>
          </w:p>
        </w:tc>
        <w:tc>
          <w:tcPr>
            <w:tcW w:w="0" w:type="auto"/>
          </w:tcPr>
          <w:p>
            <w:pPr/>
            <w:r>
              <w:rPr>
                <w:rFonts w:ascii="Times New Roman" w:eastAsia="宋体"/>
                <w:sz w:val="21"/>
              </w:rPr>
              <w:t xml:space="preserve">台</w:t>
            </w:r>
          </w:p>
        </w:tc>
        <w:tc>
          <w:tcPr>
            <w:tcW w:w="0" w:type="auto"/>
          </w:tcPr>
          <w:p>
            <w:pPr/>
            <w:r>
              <w:rPr>
                <w:rFonts w:ascii="Times New Roman" w:eastAsia="宋体"/>
                <w:sz w:val="21"/>
              </w:rPr>
              <w:t xml:space="preserve">2</w:t>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排风机组（离心风机）</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风量：15000m3/h，全压：500Pa，静压：430Pa，功率：4kW</w:t>
            </w:r>
          </w:p>
        </w:tc>
        <w:tc>
          <w:tcPr>
            <w:tcW w:w="0" w:type="auto"/>
          </w:tcPr>
          <w:p>
            <w:pPr/>
            <w:r>
              <w:rPr>
                <w:rFonts w:ascii="Times New Roman" w:eastAsia="宋体"/>
                <w:sz w:val="21"/>
              </w:rPr>
              <w:t xml:space="preserve">台</w:t>
            </w:r>
          </w:p>
        </w:tc>
        <w:tc>
          <w:tcPr>
            <w:tcW w:w="0" w:type="auto"/>
          </w:tcPr>
          <w:p>
            <w:pPr/>
            <w:r>
              <w:rPr>
                <w:rFonts w:ascii="Times New Roman" w:eastAsia="宋体"/>
                <w:sz w:val="21"/>
              </w:rPr>
              <w:t xml:space="preserve">1</w:t>
            </w:r>
          </w:p>
        </w:tc>
        <w:tc>
          <w:tcPr>
            <w:tcW w:w="0" w:type="auto"/>
          </w:tcPr>
          <w:p>
            <w:pPr/>
            <w:r>
              <w:rPr>
                <w:rFonts w:ascii="Times New Roman" w:eastAsia="宋体"/>
                <w:sz w:val="21"/>
              </w:rPr>
              <w:t xml:space="preserve">Ws=0.25</w:t>
            </w:r>
          </w:p>
        </w:tc>
        <w:tc>
          <w:tcPr>
            <w:tcW w:w="0" w:type="auto"/>
          </w:tcPr>
          <w:p>
            <w:pPr/>
            <w:r>
              <w:t xml:space="preserve"/>
            </w:r>
          </w:p>
        </w:tc>
      </w:tr>
      <w:tr>
        <w:tc>
          <w:tcPr>
            <w:tcW w:w="0" w:type="auto"/>
          </w:tcPr>
          <w:p>
            <w:pPr/>
            <w:r>
              <w:rPr>
                <w:rFonts w:ascii="Times New Roman" w:eastAsia="宋体"/>
                <w:sz w:val="21"/>
              </w:rPr>
              <w:t xml:space="preserve">排风机组（离心风机）</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风量：2800m3/h，全压：350Pa，静压：295Pa，功率：0.55kW</w:t>
            </w:r>
          </w:p>
        </w:tc>
        <w:tc>
          <w:tcPr>
            <w:tcW w:w="0" w:type="auto"/>
          </w:tcPr>
          <w:p>
            <w:pPr/>
            <w:r>
              <w:rPr>
                <w:rFonts w:ascii="Times New Roman" w:eastAsia="宋体"/>
                <w:sz w:val="21"/>
              </w:rPr>
              <w:t xml:space="preserve">台</w:t>
            </w:r>
          </w:p>
        </w:tc>
        <w:tc>
          <w:tcPr>
            <w:tcW w:w="0" w:type="auto"/>
          </w:tcPr>
          <w:p>
            <w:pPr/>
            <w:r>
              <w:rPr>
                <w:rFonts w:ascii="Times New Roman" w:eastAsia="宋体"/>
                <w:sz w:val="21"/>
              </w:rPr>
              <w:t xml:space="preserve">2</w:t>
            </w:r>
          </w:p>
        </w:tc>
        <w:tc>
          <w:tcPr>
            <w:tcW w:w="0" w:type="auto"/>
          </w:tcPr>
          <w:p>
            <w:pPr/>
            <w:r>
              <w:rPr>
                <w:rFonts w:ascii="Times New Roman" w:eastAsia="宋体"/>
                <w:sz w:val="21"/>
              </w:rPr>
              <w:t xml:space="preserve">Ws=0.25</w:t>
            </w:r>
          </w:p>
        </w:tc>
        <w:tc>
          <w:tcPr>
            <w:tcW w:w="0" w:type="auto"/>
          </w:tcPr>
          <w:p>
            <w:pPr/>
            <w:r>
              <w:t xml:space="preserve"/>
            </w:r>
          </w:p>
        </w:tc>
      </w:tr>
      <w:tr>
        <w:tc>
          <w:tcPr>
            <w:tcW w:w="0" w:type="auto"/>
          </w:tcPr>
          <w:p>
            <w:pPr/>
            <w:r>
              <w:rPr>
                <w:rFonts w:ascii="Times New Roman" w:eastAsia="宋体"/>
                <w:sz w:val="21"/>
              </w:rPr>
              <w:t xml:space="preserve">排风机组（离心风机）</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风量：8000m3/h，全压：470Pa，静压：380Pa，功率：2.2kW</w:t>
            </w:r>
          </w:p>
        </w:tc>
        <w:tc>
          <w:tcPr>
            <w:tcW w:w="0" w:type="auto"/>
          </w:tcPr>
          <w:p>
            <w:pPr/>
            <w:r>
              <w:rPr>
                <w:rFonts w:ascii="Times New Roman" w:eastAsia="宋体"/>
                <w:sz w:val="21"/>
              </w:rPr>
              <w:t xml:space="preserve">台</w:t>
            </w:r>
          </w:p>
        </w:tc>
        <w:tc>
          <w:tcPr>
            <w:tcW w:w="0" w:type="auto"/>
          </w:tcPr>
          <w:p>
            <w:pPr/>
            <w:r>
              <w:rPr>
                <w:rFonts w:ascii="Times New Roman" w:eastAsia="宋体"/>
                <w:sz w:val="21"/>
              </w:rPr>
              <w:t xml:space="preserve">2</w:t>
            </w:r>
          </w:p>
        </w:tc>
        <w:tc>
          <w:tcPr>
            <w:tcW w:w="0" w:type="auto"/>
          </w:tcPr>
          <w:p>
            <w:pPr/>
            <w:r>
              <w:rPr>
                <w:rFonts w:ascii="Times New Roman" w:eastAsia="宋体"/>
                <w:sz w:val="21"/>
              </w:rPr>
              <w:t xml:space="preserve">Ws=0.25</w:t>
            </w:r>
          </w:p>
        </w:tc>
        <w:tc>
          <w:tcPr>
            <w:tcW w:w="0" w:type="auto"/>
          </w:tcPr>
          <w:p>
            <w:pPr/>
            <w:r>
              <w:t xml:space="preserve"/>
            </w:r>
          </w:p>
        </w:tc>
      </w:tr>
      <w:tr>
        <w:tc>
          <w:tcPr>
            <w:tcW w:w="0" w:type="auto"/>
          </w:tcPr>
          <w:p>
            <w:pPr/>
            <w:r>
              <w:rPr>
                <w:rFonts w:ascii="Times New Roman" w:eastAsia="宋体"/>
                <w:sz w:val="21"/>
              </w:rPr>
              <w:t xml:space="preserve">排烟机组（轴流风机）</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风量：15600m3/h，全压：700Pa，功率：7.5kW</w:t>
            </w:r>
          </w:p>
        </w:tc>
        <w:tc>
          <w:tcPr>
            <w:tcW w:w="0" w:type="auto"/>
          </w:tcPr>
          <w:p>
            <w:pPr/>
            <w:r>
              <w:rPr>
                <w:rFonts w:ascii="Times New Roman" w:eastAsia="宋体"/>
                <w:sz w:val="21"/>
              </w:rPr>
              <w:t xml:space="preserve">台</w:t>
            </w:r>
          </w:p>
        </w:tc>
        <w:tc>
          <w:tcPr>
            <w:tcW w:w="0" w:type="auto"/>
          </w:tcPr>
          <w:p>
            <w:pPr/>
            <w:r>
              <w:rPr>
                <w:rFonts w:ascii="Times New Roman" w:eastAsia="宋体"/>
                <w:sz w:val="21"/>
              </w:rPr>
              <w:t xml:space="preserve">2</w:t>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多联式空调机组，其在名义制冷工况和规定条件下的制</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IPLV（C）不低于《公共建筑节能设计标准》DGJ08-107-2015表4.5.7的规定。</w:t>
            </w:r>
          </w:p>
        </w:tc>
        <w:tc>
          <w:tcPr>
            <w:tcW w:w="0" w:type="auto"/>
          </w:tcPr>
          <w:p>
            <w:pPr/>
            <w:r>
              <w:t xml:space="preserve"/>
            </w:r>
          </w:p>
        </w:tc>
        <w:tc>
          <w:tcPr>
            <w:tcW w:w="0" w:type="auto"/>
          </w:tcPr>
          <w:p>
            <w:pPr/>
            <w:r>
              <w:t xml:space="preserve"/>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新风量的选取满足相关规范的要求。</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风量的选取满足相关规范的要求。</w:t>
            </w:r>
          </w:p>
        </w:tc>
        <w:tc>
          <w:tcPr>
            <w:tcW w:w="0" w:type="auto"/>
          </w:tcPr>
          <w:p>
            <w:pPr/>
            <w:r>
              <w:t xml:space="preserve"/>
            </w:r>
          </w:p>
        </w:tc>
        <w:tc>
          <w:tcPr>
            <w:tcW w:w="0" w:type="auto"/>
          </w:tcPr>
          <w:p>
            <w:pPr/>
            <w:r>
              <w:t xml:space="preserve"/>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空调通风系统风机的单位风量耗功率Ws符合规范要求</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风量耗功率Ws符合规范要求。</w:t>
            </w:r>
          </w:p>
        </w:tc>
        <w:tc>
          <w:tcPr>
            <w:tcW w:w="0" w:type="auto"/>
          </w:tcPr>
          <w:p>
            <w:pPr/>
            <w:r>
              <w:t xml:space="preserve"/>
            </w:r>
          </w:p>
        </w:tc>
        <w:tc>
          <w:tcPr>
            <w:tcW w:w="0" w:type="auto"/>
          </w:tcPr>
          <w:p>
            <w:pPr/>
            <w:r>
              <w:t xml:space="preserve"/>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（1）新风量的取值标准符合相关规范的规定。</w:t>
            </w:r>
          </w:p>
        </w:tc>
        <w:tc>
          <w:tcPr>
            <w:tcW w:w="0" w:type="auto"/>
          </w:tcPr>
          <w:p>
            <w:pPr/>
            <w:r>
              <w:rPr>
                <w:rFonts w:ascii="Times New Roman" w:eastAsia="宋体"/>
                <w:sz w:val="21"/>
              </w:rPr>
              <w:t xml:space="preserve">铭牌/技术参数</w:t>
            </w:r>
          </w:p>
        </w:tc>
        <w:tc>
          <w:tcPr>
            <w:tcW w:w="0" w:type="auto"/>
          </w:tcPr>
          <w:p>
            <w:pPr/>
            <w:r>
              <w:rPr>
                <w:rFonts w:ascii="Times New Roman" w:eastAsia="宋体"/>
                <w:sz w:val="21"/>
              </w:rPr>
              <w:t xml:space="preserve">风量的取值标准符合相关规范的规定。</w:t>
            </w:r>
          </w:p>
        </w:tc>
        <w:tc>
          <w:tcPr>
            <w:tcW w:w="0" w:type="auto"/>
          </w:tcPr>
          <w:p>
            <w:pPr/>
            <w:r>
              <w:t xml:space="preserve"/>
            </w:r>
          </w:p>
        </w:tc>
        <w:tc>
          <w:tcPr>
            <w:tcW w:w="0" w:type="auto"/>
          </w:tcPr>
          <w:p>
            <w:pPr/>
            <w:r>
              <w:t xml:space="preserve"/>
            </w:r>
          </w:p>
        </w:tc>
        <w:tc>
          <w:tcPr>
            <w:tcW w:w="0" w:type="auto"/>
          </w:tcPr>
          <w:p>
            <w:pPr/>
            <w:r>
              <w:t xml:space="preserve"/>
            </w:r>
          </w:p>
        </w:tc>
        <w:tc>
          <w:tcPr>
            <w:tcW w:w="0" w:type="auto"/>
          </w:tcPr>
          <w:p>
            <w:pPr/>
            <w:r>
              <w:t xml:space="preserve"/>
            </w:r>
          </w:p>
        </w:tc>
      </w:tr>
    </w:tbl>
    <w:p>
      <w:pPr/>
      <w:r>
        <w:rPr>
          <w:b/>
          <w:rFonts w:ascii="Times New Roman" w:eastAsia="宋体"/>
          <w:sz w:val="21"/>
        </w:rPr>
        <w:t xml:space="preserve">表 6-4</w:t>
      </w:r>
      <w:r>
        <w:rPr>
          <w:rFonts w:ascii="Times New Roman" w:eastAsia="宋体"/>
          <w:sz w:val="21"/>
        </w:rPr>
        <w:t xml:space="preserve"> 列出本专业主要设备材料的规格参数（下表）。</w:t>
      </w:r>
      <w:r>
        <w:rPr>
          <w:b/>
          <w:rFonts w:ascii="Times New Roman" w:eastAsia="宋体"/>
          <w:sz w:val="21"/>
        </w:rPr>
        <w:t xml:space="preserve">表 6-5</w:t>
      </w:r>
      <w:r>
        <w:rPr>
          <w:rFonts w:ascii="Times New Roman" w:eastAsia="宋体"/>
          <w:sz w:val="21"/>
        </w:rPr>
        <w:t xml:space="preserve"> 给出负荷等级划分（见强电节）。</w:t>
      </w:r>
    </w:p>
    <w:p>
      <w:pPr/>
      <w:r>
        <w:rPr>
          <w:rFonts w:ascii="Times New Roman" w:eastAsia="宋体"/>
          <w:sz w:val="21"/>
        </w:rPr>
        <w:t xml:space="preserve">生活给水系统与消防给水系统的主要设备（变频供水泵组、不锈钢水箱、消火栓加压泵组、喷淋加压泵组、湿式报警阀组、水泵接合器、潜水排污泵等）均已在原报告中列明规格型号与数量。设备清单与选型属设计单位深化范围，本稿不重复列示。</w:t>
      </w:r>
    </w:p>
    <w:p>
      <w:pPr>
        <w:pStyle w:val="Heading2"/>
      </w:pPr>
      <w:r>
        <w:rPr>
          <w:rFonts w:ascii="Times New Roman" w:eastAsia="宋体"/>
          <w:sz w:val="21"/>
        </w:rPr>
        <w:t xml:space="preserve">6.5　强电设计</w:t>
      </w:r>
    </w:p>
    <w:p>
      <w:pPr>
        <w:pStyle w:val="Heading3"/>
      </w:pPr>
      <w:r>
        <w:rPr>
          <w:rFonts w:ascii="Times New Roman" w:eastAsia="宋体"/>
          <w:sz w:val="21"/>
        </w:rPr>
        <w:t xml:space="preserve">6.5.1　负荷估算</w:t>
      </w:r>
    </w:p>
    <w:p>
      <w:pPr/>
      <w:r>
        <w:rPr>
          <w:rFonts w:ascii="Times New Roman" w:eastAsia="宋体"/>
          <w:sz w:val="21"/>
        </w:rPr>
        <w:t xml:space="preserve">原报告以空调负荷密度指标与照明及其他负荷密度指标为基础估算总计算负荷，得出总计算负荷 952 kW。相关指标取值如下。</w:t>
      </w:r>
    </w:p>
    <w:p>
      <w:pPr/>
      <w:r>
        <w:rPr>
          <w:b/>
          <w:rFonts w:ascii="Times New Roman" w:eastAsia="宋体"/>
          <w:sz w:val="21"/>
        </w:rPr>
        <w:t xml:space="preserve">表6-9 空调系统</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指标</w:t>
            </w:r>
          </w:p>
        </w:tc>
        <w:tc>
          <w:tcPr>
            <w:tcW w:w="0" w:type="auto"/>
          </w:tcPr>
          <w:p>
            <w:pPr/>
            <w:r>
              <w:rPr>
                <w:b/>
                <w:rFonts w:ascii="Times New Roman" w:eastAsia="宋体"/>
                <w:sz w:val="21"/>
              </w:rPr>
              <w:t xml:space="preserve">取值</w:t>
            </w:r>
          </w:p>
        </w:tc>
      </w:tr>
      <w:tr>
        <w:tc>
          <w:tcPr>
            <w:tcW w:w="0" w:type="auto"/>
          </w:tcPr>
          <w:p>
            <w:pPr/>
            <w:r>
              <w:rPr>
                <w:rFonts w:ascii="Times New Roman" w:eastAsia="宋体"/>
                <w:sz w:val="21"/>
              </w:rPr>
              <w:t xml:space="preserve">单位面积冷负荷指标</w:t>
            </w:r>
          </w:p>
        </w:tc>
        <w:tc>
          <w:tcPr>
            <w:tcW w:w="0" w:type="auto"/>
          </w:tcPr>
          <w:p>
            <w:pPr/>
            <w:r>
              <w:rPr>
                <w:rFonts w:ascii="Times New Roman" w:eastAsia="宋体"/>
                <w:sz w:val="21"/>
              </w:rPr>
              <w:t xml:space="preserve">135 W/㎡</w:t>
            </w:r>
          </w:p>
        </w:tc>
      </w:tr>
      <w:tr>
        <w:tc>
          <w:tcPr>
            <w:tcW w:w="0" w:type="auto"/>
          </w:tcPr>
          <w:p>
            <w:pPr/>
            <w:r>
              <w:rPr>
                <w:rFonts w:ascii="Times New Roman" w:eastAsia="宋体"/>
                <w:sz w:val="21"/>
              </w:rPr>
              <w:t xml:space="preserve">冷负荷</w:t>
            </w:r>
          </w:p>
        </w:tc>
        <w:tc>
          <w:tcPr>
            <w:tcW w:w="0" w:type="auto"/>
          </w:tcPr>
          <w:p>
            <w:pPr/>
            <w:r>
              <w:rPr>
                <w:rFonts w:ascii="Times New Roman" w:eastAsia="宋体"/>
                <w:sz w:val="21"/>
              </w:rPr>
              <w:t xml:space="preserve">2473 kW</w:t>
            </w:r>
          </w:p>
        </w:tc>
      </w:tr>
      <w:tr>
        <w:tc>
          <w:tcPr>
            <w:tcW w:w="0" w:type="auto"/>
          </w:tcPr>
          <w:p>
            <w:pPr/>
            <w:r>
              <w:rPr>
                <w:rFonts w:ascii="Times New Roman" w:eastAsia="宋体"/>
                <w:sz w:val="21"/>
              </w:rPr>
              <w:t xml:space="preserve">单位面积热负荷指标</w:t>
            </w:r>
          </w:p>
        </w:tc>
        <w:tc>
          <w:tcPr>
            <w:tcW w:w="0" w:type="auto"/>
          </w:tcPr>
          <w:p>
            <w:pPr/>
            <w:r>
              <w:rPr>
                <w:rFonts w:ascii="Times New Roman" w:eastAsia="宋体"/>
                <w:sz w:val="21"/>
              </w:rPr>
              <w:t xml:space="preserve">80 W/㎡</w:t>
            </w:r>
          </w:p>
        </w:tc>
      </w:tr>
      <w:tr>
        <w:tc>
          <w:tcPr>
            <w:tcW w:w="0" w:type="auto"/>
          </w:tcPr>
          <w:p>
            <w:pPr/>
            <w:r>
              <w:rPr>
                <w:rFonts w:ascii="Times New Roman" w:eastAsia="宋体"/>
                <w:sz w:val="21"/>
              </w:rPr>
              <w:t xml:space="preserve">热负荷</w:t>
            </w:r>
          </w:p>
        </w:tc>
        <w:tc>
          <w:tcPr>
            <w:tcW w:w="0" w:type="auto"/>
          </w:tcPr>
          <w:p>
            <w:pPr/>
            <w:r>
              <w:rPr>
                <w:rFonts w:ascii="Times New Roman" w:eastAsia="宋体"/>
                <w:sz w:val="21"/>
              </w:rPr>
              <w:t xml:space="preserve">1465 kW</w:t>
            </w:r>
          </w:p>
        </w:tc>
      </w:tr>
    </w:tbl>
    <w:p>
      <w:pPr/>
      <w:r>
        <w:rPr>
          <w:b/>
          <w:rFonts w:ascii="Times New Roman" w:eastAsia="宋体"/>
          <w:sz w:val="21"/>
        </w:rPr>
        <w:t xml:space="preserve">R-总计算负荷（总计算负荷）因缺口径未解析</w:t>
      </w:r>
      <w:r>
        <w:rPr>
          <w:rFonts w:ascii="Times New Roman" w:eastAsia="宋体"/>
          <w:sz w:val="21"/>
        </w:rPr>
        <w:t xml:space="preserve">，本稿留白。</w:t>
      </w:r>
    </w:p>
    <w:p>
      <w:pPr/>
      <w:r>
        <w:rPr>
          <w:b/>
          <w:rFonts w:ascii="Times New Roman" w:eastAsia="宋体"/>
          <w:sz w:val="21"/>
        </w:rPr>
        <w:t xml:space="preserve">本稿的处理</w:t>
      </w:r>
      <w:r>
        <w:rPr>
          <w:rFonts w:ascii="Times New Roman" w:eastAsia="宋体"/>
          <w:sz w:val="21"/>
        </w:rPr>
        <w:t xml:space="preserve">：负荷估算的</w:t>
      </w:r>
      <w:r>
        <w:rPr>
          <w:b/>
          <w:rFonts w:ascii="Times New Roman" w:eastAsia="宋体"/>
          <w:sz w:val="21"/>
        </w:rPr>
        <w:t xml:space="preserve">面积基数口径未在原文给出</w:t>
      </w:r>
      <w:r>
        <w:rPr>
          <w:rFonts w:ascii="Times New Roman" w:eastAsia="宋体"/>
          <w:sz w:val="21"/>
        </w:rPr>
        <w:t xml:space="preserve">，按所给两项指标直接推算与报告给出的总计算负荷不能相互印证。该缺口已登记为待补充事项，本稿不替其假定一个面积基数。</w:t>
      </w:r>
      <w:r>
        <w:rPr>
          <w:b/>
          <w:rFonts w:ascii="Times New Roman" w:eastAsia="宋体"/>
          <w:sz w:val="21"/>
        </w:rPr>
        <w:t xml:space="preserve">（负荷估算面积口径：待补充——原文只给 45W/㎡ 与 25W/㎡ 两个指标与总计算负荷 952kW，未给出所采用的面积基数。）</w:t>
      </w:r>
    </w:p>
    <w:p>
      <w:pPr>
        <w:pStyle w:val="Heading3"/>
      </w:pPr>
      <w:r>
        <w:rPr>
          <w:rFonts w:ascii="Times New Roman" w:eastAsia="宋体"/>
          <w:sz w:val="21"/>
        </w:rPr>
        <w:t xml:space="preserve">6.5.2　供配电系统</w:t>
      </w:r>
    </w:p>
    <w:p>
      <w:pPr/>
      <w:r>
        <w:rPr>
          <w:b/>
          <w:rFonts w:ascii="Times New Roman" w:eastAsia="宋体"/>
          <w:sz w:val="21"/>
        </w:rPr>
        <w:t xml:space="preserve">表6-5 负荷等级表</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用电负荷</w:t>
            </w:r>
          </w:p>
        </w:tc>
        <w:tc>
          <w:tcPr>
            <w:tcW w:w="0" w:type="auto"/>
          </w:tcPr>
          <w:p>
            <w:pPr/>
            <w:r>
              <w:rPr>
                <w:b/>
                <w:rFonts w:ascii="Times New Roman" w:eastAsia="宋体"/>
                <w:sz w:val="21"/>
              </w:rPr>
              <w:t xml:space="preserve">属性</w:t>
            </w:r>
          </w:p>
        </w:tc>
        <w:tc>
          <w:tcPr>
            <w:tcW w:w="0" w:type="auto"/>
          </w:tcPr>
          <w:p>
            <w:pPr/>
            <w:r>
              <w:rPr>
                <w:b/>
                <w:rFonts w:ascii="Times New Roman" w:eastAsia="宋体"/>
                <w:sz w:val="21"/>
              </w:rPr>
              <w:t xml:space="preserve">取值</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空调负荷密度指标</w:t>
            </w:r>
          </w:p>
        </w:tc>
        <w:tc>
          <w:tcPr>
            <w:tcW w:w="0" w:type="auto"/>
          </w:tcPr>
          <w:p>
            <w:pPr/>
            <w:r>
              <w:rPr>
                <w:rFonts w:ascii="Times New Roman" w:eastAsia="宋体"/>
                <w:sz w:val="21"/>
              </w:rPr>
              <w:t xml:space="preserve">45 W/㎡</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照明及其他负荷密度指标</w:t>
            </w:r>
          </w:p>
        </w:tc>
        <w:tc>
          <w:tcPr>
            <w:tcW w:w="0" w:type="auto"/>
          </w:tcPr>
          <w:p>
            <w:pPr/>
            <w:r>
              <w:rPr>
                <w:rFonts w:ascii="Times New Roman" w:eastAsia="宋体"/>
                <w:sz w:val="21"/>
              </w:rPr>
              <w:t xml:space="preserve">25 W/㎡</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总计算负荷</w:t>
            </w:r>
          </w:p>
        </w:tc>
        <w:tc>
          <w:tcPr>
            <w:tcW w:w="0" w:type="auto"/>
          </w:tcPr>
          <w:p>
            <w:pPr/>
            <w:r>
              <w:rPr>
                <w:rFonts w:ascii="Times New Roman" w:eastAsia="宋体"/>
                <w:sz w:val="21"/>
              </w:rPr>
              <w:t xml:space="preserve">952 kW</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单位面积冷负荷指标</w:t>
            </w:r>
          </w:p>
        </w:tc>
        <w:tc>
          <w:tcPr>
            <w:tcW w:w="0" w:type="auto"/>
          </w:tcPr>
          <w:p>
            <w:pPr/>
            <w:r>
              <w:rPr>
                <w:rFonts w:ascii="Times New Roman" w:eastAsia="宋体"/>
                <w:sz w:val="21"/>
              </w:rPr>
              <w:t xml:space="preserve">135 W/㎡</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冷负荷</w:t>
            </w:r>
          </w:p>
        </w:tc>
        <w:tc>
          <w:tcPr>
            <w:tcW w:w="0" w:type="auto"/>
          </w:tcPr>
          <w:p>
            <w:pPr/>
            <w:r>
              <w:rPr>
                <w:rFonts w:ascii="Times New Roman" w:eastAsia="宋体"/>
                <w:sz w:val="21"/>
              </w:rPr>
              <w:t xml:space="preserve">2473 kW</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单位面积热负荷指标</w:t>
            </w:r>
          </w:p>
        </w:tc>
        <w:tc>
          <w:tcPr>
            <w:tcW w:w="0" w:type="auto"/>
          </w:tcPr>
          <w:p>
            <w:pPr/>
            <w:r>
              <w:rPr>
                <w:rFonts w:ascii="Times New Roman" w:eastAsia="宋体"/>
                <w:sz w:val="21"/>
              </w:rPr>
              <w:t xml:space="preserve">80 W/㎡</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热负荷</w:t>
            </w:r>
          </w:p>
        </w:tc>
        <w:tc>
          <w:tcPr>
            <w:tcW w:w="0" w:type="auto"/>
          </w:tcPr>
          <w:p>
            <w:pPr/>
            <w:r>
              <w:rPr>
                <w:rFonts w:ascii="Times New Roman" w:eastAsia="宋体"/>
                <w:sz w:val="21"/>
              </w:rPr>
              <w:t xml:space="preserve">1465 kW</w:t>
            </w:r>
          </w:p>
        </w:tc>
      </w:tr>
    </w:tbl>
    <w:p>
      <w:pPr/>
      <w:r>
        <w:rPr>
          <w:b/>
          <w:rFonts w:ascii="Times New Roman" w:eastAsia="宋体"/>
          <w:sz w:val="21"/>
        </w:rPr>
        <w:t xml:space="preserve">负荷等级</w:t>
      </w:r>
      <w:r>
        <w:rPr>
          <w:rFonts w:ascii="Times New Roman" w:eastAsia="宋体"/>
          <w:sz w:val="21"/>
        </w:rPr>
        <w:t xml:space="preserve">：消防负荷用电（应急照明、防排烟风机、消防水泵、消防控制室、消防电梯）、客梯与主要通道照明用电按二级负荷设计；安防用电与电子信息机房用电为二级负荷；其余为三级负荷。</w:t>
      </w:r>
    </w:p>
    <w:p>
      <w:pPr/>
      <w:r>
        <w:rPr>
          <w:b/>
          <w:rFonts w:ascii="Times New Roman" w:eastAsia="宋体"/>
          <w:sz w:val="21"/>
        </w:rPr>
        <w:t xml:space="preserve">供电电源</w:t>
      </w:r>
      <w:r>
        <w:rPr>
          <w:rFonts w:ascii="Times New Roman" w:eastAsia="宋体"/>
          <w:sz w:val="21"/>
        </w:rPr>
        <w:t xml:space="preserve">：从学校原变电站引来5回路380V电源；二级负荷电源引自不同变压器母线段。</w:t>
      </w:r>
      <w:r>
        <w:rPr>
          <w:b/>
          <w:rFonts w:ascii="Times New Roman" w:eastAsia="宋体"/>
          <w:sz w:val="21"/>
        </w:rPr>
        <w:t xml:space="preserve">（变压器容量匹配口径：待补充——原文给出总计算负荷 952kW 与增容后 2×2000kVA，未给功率因数与需要系数，无法复算匹配性。）</w:t>
      </w:r>
    </w:p>
    <w:p>
      <w:pPr/>
      <w:r>
        <w:rPr>
          <w:b/>
          <w:rFonts w:ascii="Times New Roman" w:eastAsia="宋体"/>
          <w:sz w:val="21"/>
        </w:rPr>
        <w:t xml:space="preserve">配电系统</w:t>
      </w:r>
      <w:r>
        <w:rPr>
          <w:rFonts w:ascii="Times New Roman" w:eastAsia="宋体"/>
          <w:sz w:val="21"/>
        </w:rPr>
        <w:t xml:space="preserve">：对消防设备用电、电梯电力等采用双电源供电，两路电源在末端自切；每层设强电井，井内按照明与动力、消防与非消防分设配电箱，重要照明、应急照明与消防动力采用双电源供电，消防负荷干线采用矿物绝缘电缆。</w:t>
      </w:r>
    </w:p>
    <w:p>
      <w:pPr>
        <w:pStyle w:val="Heading3"/>
      </w:pPr>
      <w:r>
        <w:rPr>
          <w:rFonts w:ascii="Times New Roman" w:eastAsia="宋体"/>
          <w:sz w:val="21"/>
        </w:rPr>
        <w:t xml:space="preserve">6.5.3　照明、火灾自动报警与防雷接地</w:t>
      </w:r>
    </w:p>
    <w:p>
      <w:pPr/>
      <w:r>
        <w:rPr>
          <w:b/>
          <w:rFonts w:ascii="Times New Roman" w:eastAsia="宋体"/>
          <w:sz w:val="21"/>
        </w:rPr>
        <w:t xml:space="preserve">照明设计</w:t>
      </w:r>
      <w:r>
        <w:rPr>
          <w:rFonts w:ascii="Times New Roman" w:eastAsia="宋体"/>
          <w:sz w:val="21"/>
        </w:rPr>
        <w:t xml:space="preserve">：以选用发光效能高的 LED 光源为主，照度标准、照明质量标准与照明节能标准按照明设计标准执行。</w:t>
      </w:r>
    </w:p>
    <w:p>
      <w:pPr/>
      <w:r>
        <w:rPr>
          <w:b/>
          <w:rFonts w:ascii="Times New Roman" w:eastAsia="宋体"/>
          <w:sz w:val="21"/>
        </w:rPr>
        <w:t xml:space="preserve">火灾自动报警</w:t>
      </w:r>
      <w:r>
        <w:rPr>
          <w:rFonts w:ascii="Times New Roman" w:eastAsia="宋体"/>
          <w:sz w:val="21"/>
        </w:rPr>
        <w:t xml:space="preserve">：采用控制中心报警系统，并设置漏电火灾报警、防火门监控、消防电源监控、智能应急照明、余压监控等子系统。</w:t>
      </w:r>
    </w:p>
    <w:p>
      <w:pPr/>
      <w:r>
        <w:rPr>
          <w:b/>
          <w:rFonts w:ascii="Times New Roman" w:eastAsia="宋体"/>
          <w:sz w:val="21"/>
        </w:rPr>
        <w:t xml:space="preserve">防雷接地</w:t>
      </w:r>
      <w:r>
        <w:rPr>
          <w:rFonts w:ascii="Times New Roman" w:eastAsia="宋体"/>
          <w:sz w:val="21"/>
        </w:rPr>
        <w:t xml:space="preserve">：按二类防雷建筑设防，电子信息系统雷击防护按相应等级设置电涌保护器；采用联合接地系统，接地电阻要求小于 小于1 Ω；接地形式采用 TN-S系统。</w:t>
      </w:r>
    </w:p>
    <w:p>
      <w:pPr>
        <w:pStyle w:val="Heading2"/>
      </w:pPr>
      <w:r>
        <w:rPr>
          <w:rFonts w:ascii="Times New Roman" w:eastAsia="宋体"/>
          <w:sz w:val="21"/>
        </w:rPr>
        <w:t xml:space="preserve">6.6　弱电设计</w:t>
      </w:r>
    </w:p>
    <w:p>
      <w:pPr/>
      <w:r>
        <w:rPr>
          <w:rFonts w:ascii="Times New Roman" w:eastAsia="宋体"/>
          <w:sz w:val="21"/>
        </w:rPr>
        <w:t xml:space="preserve">弱电系统由数据/语音通信系统与综合布线系统、安全防范系统、校园公共广播与应急广播系统、有线电视系统、会议与扩声系统、多媒体科研系统、电子信息系统防浪涌保护设施等子系统组成。</w:t>
      </w:r>
    </w:p>
    <w:p>
      <w:pPr/>
      <w:r>
        <w:rPr>
          <w:rFonts w:ascii="Times New Roman" w:eastAsia="宋体"/>
          <w:sz w:val="21"/>
        </w:rPr>
        <w:t xml:space="preserve">综合布线系统采用星型物理拓扑结构，水平布线采用六类屏蔽线缆（STP），干线采用光缆和大对数电缆；在各科研用房、办公室、会议室、实验室、阅览室等处设置信息插座。安全防范系统接入原监控机房系统，与原有系统兼容。</w:t>
      </w:r>
    </w:p>
    <w:p>
      <w:pPr>
        <w:pStyle w:val="Heading2"/>
      </w:pPr>
      <w:r>
        <w:rPr>
          <w:rFonts w:ascii="Times New Roman" w:eastAsia="宋体"/>
          <w:sz w:val="21"/>
        </w:rPr>
        <w:t xml:space="preserve">6.7　暖通设计</w:t>
      </w:r>
    </w:p>
    <w:p>
      <w:pPr>
        <w:pStyle w:val="Heading3"/>
      </w:pPr>
      <w:r>
        <w:rPr>
          <w:rFonts w:ascii="Times New Roman" w:eastAsia="宋体"/>
          <w:sz w:val="21"/>
        </w:rPr>
        <w:t xml:space="preserve">6.7.1　设计计算参数</w:t>
      </w:r>
    </w:p>
    <w:p>
      <w:pPr/>
      <w:r>
        <w:rPr>
          <w:b/>
          <w:rFonts w:ascii="Times New Roman" w:eastAsia="宋体"/>
          <w:sz w:val="21"/>
        </w:rPr>
        <w:t xml:space="preserve">室外空气计算参数</w:t>
      </w:r>
      <w:r>
        <w:rPr>
          <w:rFonts w:ascii="Times New Roman" w:eastAsia="宋体"/>
          <w:sz w:val="21"/>
        </w:rPr>
        <w:t xml:space="preserve">与</w:t>
      </w:r>
      <w:r>
        <w:rPr>
          <w:b/>
          <w:rFonts w:ascii="Times New Roman" w:eastAsia="宋体"/>
          <w:sz w:val="21"/>
        </w:rPr>
        <w:t xml:space="preserve">室内空气计算参数</w:t>
      </w:r>
      <w:r>
        <w:rPr>
          <w:rFonts w:ascii="Times New Roman" w:eastAsia="宋体"/>
          <w:sz w:val="21"/>
        </w:rPr>
        <w:t xml:space="preserve">如下两表。</w:t>
      </w:r>
    </w:p>
    <w:p>
      <w:pPr/>
      <w:r>
        <w:rPr>
          <w:b/>
          <w:rFonts w:ascii="Times New Roman" w:eastAsia="宋体"/>
          <w:sz w:val="21"/>
        </w:rPr>
        <w:t xml:space="preserve">表6-6 室外空气计算参数</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参数</w:t>
            </w:r>
          </w:p>
        </w:tc>
        <w:tc>
          <w:tcPr>
            <w:tcW w:w="0" w:type="auto"/>
          </w:tcPr>
          <w:p>
            <w:pPr/>
            <w:r>
              <w:rPr>
                <w:b/>
                <w:rFonts w:ascii="Times New Roman" w:eastAsia="宋体"/>
                <w:sz w:val="21"/>
              </w:rPr>
              <w:t xml:space="preserve">取值</w:t>
            </w:r>
          </w:p>
        </w:tc>
      </w:tr>
      <w:tr>
        <w:tc>
          <w:tcPr>
            <w:tcW w:w="0" w:type="auto"/>
          </w:tcPr>
          <w:p>
            <w:pPr/>
            <w:r>
              <w:rPr>
                <w:rFonts w:ascii="Times New Roman" w:eastAsia="宋体"/>
                <w:sz w:val="21"/>
              </w:rPr>
              <w:t xml:space="preserve">室外消火栓系统</w:t>
            </w:r>
          </w:p>
        </w:tc>
        <w:tc>
          <w:tcPr>
            <w:tcW w:w="0" w:type="auto"/>
          </w:tcPr>
          <w:p>
            <w:pPr/>
            <w:r>
              <w:rPr>
                <w:rFonts w:ascii="Times New Roman" w:eastAsia="宋体"/>
                <w:sz w:val="21"/>
              </w:rPr>
              <w:t xml:space="preserve">40 L/s</w:t>
            </w:r>
          </w:p>
        </w:tc>
      </w:tr>
      <w:tr>
        <w:tc>
          <w:tcPr>
            <w:tcW w:w="0" w:type="auto"/>
          </w:tcPr>
          <w:p>
            <w:pPr/>
            <w:r>
              <w:rPr>
                <w:rFonts w:ascii="Times New Roman" w:eastAsia="宋体"/>
                <w:sz w:val="21"/>
              </w:rPr>
              <w:t xml:space="preserve">室外消火栓系统</w:t>
            </w:r>
          </w:p>
        </w:tc>
        <w:tc>
          <w:tcPr>
            <w:tcW w:w="0" w:type="auto"/>
          </w:tcPr>
          <w:p>
            <w:pPr/>
            <w:r>
              <w:rPr>
                <w:rFonts w:ascii="Times New Roman" w:eastAsia="宋体"/>
                <w:sz w:val="21"/>
              </w:rPr>
              <w:t xml:space="preserve">288 m³</w:t>
            </w:r>
          </w:p>
        </w:tc>
      </w:tr>
      <w:tr>
        <w:tc>
          <w:tcPr>
            <w:tcW w:w="0" w:type="auto"/>
          </w:tcPr>
          <w:p>
            <w:pPr/>
            <w:r>
              <w:rPr>
                <w:rFonts w:ascii="Times New Roman" w:eastAsia="宋体"/>
                <w:sz w:val="21"/>
              </w:rPr>
              <w:t xml:space="preserve">项目所在地</w:t>
            </w:r>
          </w:p>
        </w:tc>
        <w:tc>
          <w:tcPr>
            <w:tcW w:w="0" w:type="auto"/>
          </w:tcPr>
          <w:p>
            <w:pPr/>
            <w:r>
              <w:rPr>
                <w:rFonts w:ascii="Times New Roman" w:eastAsia="宋体"/>
                <w:sz w:val="21"/>
              </w:rPr>
              <w:t xml:space="preserve">31.13 °</w:t>
            </w:r>
          </w:p>
        </w:tc>
      </w:tr>
      <w:tr>
        <w:tc>
          <w:tcPr>
            <w:tcW w:w="0" w:type="auto"/>
          </w:tcPr>
          <w:p>
            <w:pPr/>
            <w:r>
              <w:rPr>
                <w:rFonts w:ascii="Times New Roman" w:eastAsia="宋体"/>
                <w:sz w:val="21"/>
              </w:rPr>
              <w:t xml:space="preserve">项目所在地</w:t>
            </w:r>
          </w:p>
        </w:tc>
        <w:tc>
          <w:tcPr>
            <w:tcW w:w="0" w:type="auto"/>
          </w:tcPr>
          <w:p>
            <w:pPr/>
            <w:r>
              <w:rPr>
                <w:rFonts w:ascii="Times New Roman" w:eastAsia="宋体"/>
                <w:sz w:val="21"/>
              </w:rPr>
              <w:t xml:space="preserve">121.2 °</w:t>
            </w:r>
          </w:p>
        </w:tc>
      </w:tr>
      <w:tr>
        <w:tc>
          <w:tcPr>
            <w:tcW w:w="0" w:type="auto"/>
          </w:tcPr>
          <w:p>
            <w:pPr/>
            <w:r>
              <w:rPr>
                <w:rFonts w:ascii="Times New Roman" w:eastAsia="宋体"/>
                <w:sz w:val="21"/>
              </w:rPr>
              <w:t xml:space="preserve">项目所在地</w:t>
            </w:r>
          </w:p>
        </w:tc>
        <w:tc>
          <w:tcPr>
            <w:tcW w:w="0" w:type="auto"/>
          </w:tcPr>
          <w:p>
            <w:pPr/>
            <w:r>
              <w:rPr>
                <w:rFonts w:ascii="Times New Roman" w:eastAsia="宋体"/>
                <w:sz w:val="21"/>
              </w:rPr>
              <w:t xml:space="preserve">2.6 m</w:t>
            </w:r>
          </w:p>
        </w:tc>
      </w:tr>
      <w:tr>
        <w:tc>
          <w:tcPr>
            <w:tcW w:w="0" w:type="auto"/>
          </w:tcPr>
          <w:p>
            <w:pPr/>
            <w:r>
              <w:rPr>
                <w:rFonts w:ascii="Times New Roman" w:eastAsia="宋体"/>
                <w:sz w:val="21"/>
              </w:rPr>
              <w:t xml:space="preserve">夏季室外空调计算干球温度</w:t>
            </w:r>
          </w:p>
        </w:tc>
        <w:tc>
          <w:tcPr>
            <w:tcW w:w="0" w:type="auto"/>
          </w:tcPr>
          <w:p>
            <w:pPr/>
            <w:r>
              <w:rPr>
                <w:rFonts w:ascii="Times New Roman" w:eastAsia="宋体"/>
                <w:sz w:val="21"/>
              </w:rPr>
              <w:t xml:space="preserve">34.4 ℃</w:t>
            </w:r>
          </w:p>
        </w:tc>
      </w:tr>
      <w:tr>
        <w:tc>
          <w:tcPr>
            <w:tcW w:w="0" w:type="auto"/>
          </w:tcPr>
          <w:p>
            <w:pPr/>
            <w:r>
              <w:rPr>
                <w:rFonts w:ascii="Times New Roman" w:eastAsia="宋体"/>
                <w:sz w:val="21"/>
              </w:rPr>
              <w:t xml:space="preserve">夏季室外空调计算湿球温度</w:t>
            </w:r>
          </w:p>
        </w:tc>
        <w:tc>
          <w:tcPr>
            <w:tcW w:w="0" w:type="auto"/>
          </w:tcPr>
          <w:p>
            <w:pPr/>
            <w:r>
              <w:rPr>
                <w:rFonts w:ascii="Times New Roman" w:eastAsia="宋体"/>
                <w:sz w:val="21"/>
              </w:rPr>
              <w:t xml:space="preserve">27.9 ℃</w:t>
            </w:r>
          </w:p>
        </w:tc>
      </w:tr>
      <w:tr>
        <w:tc>
          <w:tcPr>
            <w:tcW w:w="0" w:type="auto"/>
          </w:tcPr>
          <w:p>
            <w:pPr/>
            <w:r>
              <w:rPr>
                <w:rFonts w:ascii="Times New Roman" w:eastAsia="宋体"/>
                <w:sz w:val="21"/>
              </w:rPr>
              <w:t xml:space="preserve">冬季室外空调计算干球温度</w:t>
            </w:r>
          </w:p>
        </w:tc>
        <w:tc>
          <w:tcPr>
            <w:tcW w:w="0" w:type="auto"/>
          </w:tcPr>
          <w:p>
            <w:pPr/>
            <w:r>
              <w:rPr>
                <w:rFonts w:ascii="Times New Roman" w:eastAsia="宋体"/>
                <w:sz w:val="21"/>
              </w:rPr>
              <w:t xml:space="preserve">-2.2 ℃</w:t>
            </w:r>
          </w:p>
        </w:tc>
      </w:tr>
      <w:tr>
        <w:tc>
          <w:tcPr>
            <w:tcW w:w="0" w:type="auto"/>
          </w:tcPr>
          <w:p>
            <w:pPr/>
            <w:r>
              <w:rPr>
                <w:rFonts w:ascii="Times New Roman" w:eastAsia="宋体"/>
                <w:sz w:val="21"/>
              </w:rPr>
              <w:t xml:space="preserve">冬季室外通风计算干球温度</w:t>
            </w:r>
          </w:p>
        </w:tc>
        <w:tc>
          <w:tcPr>
            <w:tcW w:w="0" w:type="auto"/>
          </w:tcPr>
          <w:p>
            <w:pPr/>
            <w:r>
              <w:rPr>
                <w:rFonts w:ascii="Times New Roman" w:eastAsia="宋体"/>
                <w:sz w:val="21"/>
              </w:rPr>
              <w:t xml:space="preserve">4.2 ℃</w:t>
            </w:r>
          </w:p>
        </w:tc>
      </w:tr>
      <w:tr>
        <w:tc>
          <w:tcPr>
            <w:tcW w:w="0" w:type="auto"/>
          </w:tcPr>
          <w:p>
            <w:pPr/>
            <w:r>
              <w:rPr>
                <w:rFonts w:ascii="Times New Roman" w:eastAsia="宋体"/>
                <w:sz w:val="21"/>
              </w:rPr>
              <w:t xml:space="preserve">夏季室外通风计算干球温度</w:t>
            </w:r>
          </w:p>
        </w:tc>
        <w:tc>
          <w:tcPr>
            <w:tcW w:w="0" w:type="auto"/>
          </w:tcPr>
          <w:p>
            <w:pPr/>
            <w:r>
              <w:rPr>
                <w:rFonts w:ascii="Times New Roman" w:eastAsia="宋体"/>
                <w:sz w:val="21"/>
              </w:rPr>
              <w:t xml:space="preserve">31.2 ℃</w:t>
            </w:r>
          </w:p>
        </w:tc>
      </w:tr>
      <w:tr>
        <w:tc>
          <w:tcPr>
            <w:tcW w:w="0" w:type="auto"/>
          </w:tcPr>
          <w:p>
            <w:pPr/>
            <w:r>
              <w:rPr>
                <w:rFonts w:ascii="Times New Roman" w:eastAsia="宋体"/>
                <w:sz w:val="21"/>
              </w:rPr>
              <w:t xml:space="preserve">夏季室外大气压力</w:t>
            </w:r>
          </w:p>
        </w:tc>
        <w:tc>
          <w:tcPr>
            <w:tcW w:w="0" w:type="auto"/>
          </w:tcPr>
          <w:p>
            <w:pPr/>
            <w:r>
              <w:rPr>
                <w:rFonts w:ascii="Times New Roman" w:eastAsia="宋体"/>
                <w:sz w:val="21"/>
              </w:rPr>
              <w:t xml:space="preserve">100540 Pa</w:t>
            </w:r>
          </w:p>
        </w:tc>
      </w:tr>
      <w:tr>
        <w:tc>
          <w:tcPr>
            <w:tcW w:w="0" w:type="auto"/>
          </w:tcPr>
          <w:p>
            <w:pPr/>
            <w:r>
              <w:rPr>
                <w:rFonts w:ascii="Times New Roman" w:eastAsia="宋体"/>
                <w:sz w:val="21"/>
              </w:rPr>
              <w:t xml:space="preserve">冬季室外大气压力</w:t>
            </w:r>
          </w:p>
        </w:tc>
        <w:tc>
          <w:tcPr>
            <w:tcW w:w="0" w:type="auto"/>
          </w:tcPr>
          <w:p>
            <w:pPr/>
            <w:r>
              <w:rPr>
                <w:rFonts w:ascii="Times New Roman" w:eastAsia="宋体"/>
                <w:sz w:val="21"/>
              </w:rPr>
              <w:t xml:space="preserve">102540 Pa</w:t>
            </w:r>
          </w:p>
        </w:tc>
      </w:tr>
      <w:tr>
        <w:tc>
          <w:tcPr>
            <w:tcW w:w="0" w:type="auto"/>
          </w:tcPr>
          <w:p>
            <w:pPr/>
            <w:r>
              <w:rPr>
                <w:rFonts w:ascii="Times New Roman" w:eastAsia="宋体"/>
                <w:sz w:val="21"/>
              </w:rPr>
              <w:t xml:space="preserve">多联机室外机组30HP</w:t>
            </w:r>
          </w:p>
        </w:tc>
        <w:tc>
          <w:tcPr>
            <w:tcW w:w="0" w:type="auto"/>
          </w:tcPr>
          <w:p>
            <w:pPr/>
            <w:r>
              <w:rPr>
                <w:rFonts w:ascii="Times New Roman" w:eastAsia="宋体"/>
                <w:sz w:val="21"/>
              </w:rPr>
              <w:t xml:space="preserve">22 台</w:t>
            </w:r>
          </w:p>
        </w:tc>
      </w:tr>
      <w:tr>
        <w:tc>
          <w:tcPr>
            <w:tcW w:w="0" w:type="auto"/>
          </w:tcPr>
          <w:p>
            <w:pPr/>
            <w:r>
              <w:rPr>
                <w:rFonts w:ascii="Times New Roman" w:eastAsia="宋体"/>
                <w:sz w:val="21"/>
              </w:rPr>
              <w:t xml:space="preserve">多联机室外机组30HP</w:t>
            </w:r>
          </w:p>
        </w:tc>
        <w:tc>
          <w:tcPr>
            <w:tcW w:w="0" w:type="auto"/>
          </w:tcPr>
          <w:p>
            <w:pPr/>
            <w:r>
              <w:rPr>
                <w:rFonts w:ascii="Times New Roman" w:eastAsia="宋体"/>
                <w:sz w:val="21"/>
              </w:rPr>
              <w:t xml:space="preserve">90 kW</w:t>
            </w:r>
          </w:p>
        </w:tc>
      </w:tr>
      <w:tr>
        <w:tc>
          <w:tcPr>
            <w:tcW w:w="0" w:type="auto"/>
          </w:tcPr>
          <w:p>
            <w:pPr/>
            <w:r>
              <w:rPr>
                <w:rFonts w:ascii="Times New Roman" w:eastAsia="宋体"/>
                <w:sz w:val="21"/>
              </w:rPr>
              <w:t xml:space="preserve">多联机室外机组16HP</w:t>
            </w:r>
          </w:p>
        </w:tc>
        <w:tc>
          <w:tcPr>
            <w:tcW w:w="0" w:type="auto"/>
          </w:tcPr>
          <w:p>
            <w:pPr/>
            <w:r>
              <w:rPr>
                <w:rFonts w:ascii="Times New Roman" w:eastAsia="宋体"/>
                <w:sz w:val="21"/>
              </w:rPr>
              <w:t xml:space="preserve">10 台</w:t>
            </w:r>
          </w:p>
        </w:tc>
      </w:tr>
      <w:tr>
        <w:tc>
          <w:tcPr>
            <w:tcW w:w="0" w:type="auto"/>
          </w:tcPr>
          <w:p>
            <w:pPr/>
            <w:r>
              <w:rPr>
                <w:rFonts w:ascii="Times New Roman" w:eastAsia="宋体"/>
                <w:sz w:val="21"/>
              </w:rPr>
              <w:t xml:space="preserve">多联机室外机组16HP</w:t>
            </w:r>
          </w:p>
        </w:tc>
        <w:tc>
          <w:tcPr>
            <w:tcW w:w="0" w:type="auto"/>
          </w:tcPr>
          <w:p>
            <w:pPr/>
            <w:r>
              <w:rPr>
                <w:rFonts w:ascii="Times New Roman" w:eastAsia="宋体"/>
                <w:sz w:val="21"/>
              </w:rPr>
              <w:t xml:space="preserve">45 kW</w:t>
            </w:r>
          </w:p>
        </w:tc>
      </w:tr>
      <w:tr>
        <w:tc>
          <w:tcPr>
            <w:tcW w:w="0" w:type="auto"/>
          </w:tcPr>
          <w:p>
            <w:pPr/>
            <w:r>
              <w:rPr>
                <w:rFonts w:ascii="Times New Roman" w:eastAsia="宋体"/>
                <w:sz w:val="21"/>
              </w:rPr>
              <w:t xml:space="preserve">多联机室外机组10HP</w:t>
            </w:r>
          </w:p>
        </w:tc>
        <w:tc>
          <w:tcPr>
            <w:tcW w:w="0" w:type="auto"/>
          </w:tcPr>
          <w:p>
            <w:pPr/>
            <w:r>
              <w:rPr>
                <w:rFonts w:ascii="Times New Roman" w:eastAsia="宋体"/>
                <w:sz w:val="21"/>
              </w:rPr>
              <w:t xml:space="preserve">2 台</w:t>
            </w:r>
          </w:p>
        </w:tc>
      </w:tr>
      <w:tr>
        <w:tc>
          <w:tcPr>
            <w:tcW w:w="0" w:type="auto"/>
          </w:tcPr>
          <w:p>
            <w:pPr/>
            <w:r>
              <w:rPr>
                <w:rFonts w:ascii="Times New Roman" w:eastAsia="宋体"/>
                <w:sz w:val="21"/>
              </w:rPr>
              <w:t xml:space="preserve">多联机室外机组10HP</w:t>
            </w:r>
          </w:p>
        </w:tc>
        <w:tc>
          <w:tcPr>
            <w:tcW w:w="0" w:type="auto"/>
          </w:tcPr>
          <w:p>
            <w:pPr/>
            <w:r>
              <w:rPr>
                <w:rFonts w:ascii="Times New Roman" w:eastAsia="宋体"/>
                <w:sz w:val="21"/>
              </w:rPr>
              <w:t xml:space="preserve">28 kW</w:t>
            </w:r>
          </w:p>
        </w:tc>
      </w:tr>
      <w:tr>
        <w:tc>
          <w:tcPr>
            <w:tcW w:w="0" w:type="auto"/>
          </w:tcPr>
          <w:p>
            <w:pPr/>
            <w:r>
              <w:rPr>
                <w:rFonts w:ascii="Times New Roman" w:eastAsia="宋体"/>
                <w:sz w:val="21"/>
              </w:rPr>
              <w:t xml:space="preserve">变制冷剂流量多联室外机组（30HP）</w:t>
            </w:r>
          </w:p>
        </w:tc>
        <w:tc>
          <w:tcPr>
            <w:tcW w:w="0" w:type="auto"/>
          </w:tcPr>
          <w:p>
            <w:pPr/>
            <w:r>
              <w:rPr>
                <w:rFonts w:ascii="Times New Roman" w:eastAsia="宋体"/>
                <w:sz w:val="21"/>
              </w:rPr>
              <w:t xml:space="preserve">90 kW</w:t>
            </w:r>
          </w:p>
        </w:tc>
      </w:tr>
      <w:tr>
        <w:tc>
          <w:tcPr>
            <w:tcW w:w="0" w:type="auto"/>
          </w:tcPr>
          <w:p>
            <w:pPr/>
            <w:r>
              <w:rPr>
                <w:rFonts w:ascii="Times New Roman" w:eastAsia="宋体"/>
                <w:sz w:val="21"/>
              </w:rPr>
              <w:t xml:space="preserve">变制冷剂流量多联室外机组（30HP）</w:t>
            </w:r>
          </w:p>
        </w:tc>
        <w:tc>
          <w:tcPr>
            <w:tcW w:w="0" w:type="auto"/>
          </w:tcPr>
          <w:p>
            <w:pPr/>
            <w:r>
              <w:rPr>
                <w:rFonts w:ascii="Times New Roman" w:eastAsia="宋体"/>
                <w:sz w:val="21"/>
              </w:rPr>
              <w:t xml:space="preserve">100 kW</w:t>
            </w:r>
          </w:p>
        </w:tc>
      </w:tr>
      <w:tr>
        <w:tc>
          <w:tcPr>
            <w:tcW w:w="0" w:type="auto"/>
          </w:tcPr>
          <w:p>
            <w:pPr/>
            <w:r>
              <w:rPr>
                <w:rFonts w:ascii="Times New Roman" w:eastAsia="宋体"/>
                <w:sz w:val="21"/>
              </w:rPr>
              <w:t xml:space="preserve">变制冷剂流量多联室外机组（30HP）</w:t>
            </w:r>
          </w:p>
        </w:tc>
        <w:tc>
          <w:tcPr>
            <w:tcW w:w="0" w:type="auto"/>
          </w:tcPr>
          <w:p>
            <w:pPr/>
            <w:r>
              <w:rPr>
                <w:rFonts w:ascii="Times New Roman" w:eastAsia="宋体"/>
                <w:sz w:val="21"/>
              </w:rPr>
              <w:t xml:space="preserve">28.4 kW</w:t>
            </w:r>
          </w:p>
        </w:tc>
      </w:tr>
      <w:tr>
        <w:tc>
          <w:tcPr>
            <w:tcW w:w="0" w:type="auto"/>
          </w:tcPr>
          <w:p>
            <w:pPr/>
            <w:r>
              <w:rPr>
                <w:rFonts w:ascii="Times New Roman" w:eastAsia="宋体"/>
                <w:sz w:val="21"/>
              </w:rPr>
              <w:t xml:space="preserve">变制冷剂流量多联室外机组（16HP）</w:t>
            </w:r>
          </w:p>
        </w:tc>
        <w:tc>
          <w:tcPr>
            <w:tcW w:w="0" w:type="auto"/>
          </w:tcPr>
          <w:p>
            <w:pPr/>
            <w:r>
              <w:rPr>
                <w:rFonts w:ascii="Times New Roman" w:eastAsia="宋体"/>
                <w:sz w:val="21"/>
              </w:rPr>
              <w:t xml:space="preserve">45 kW</w:t>
            </w:r>
          </w:p>
        </w:tc>
      </w:tr>
      <w:tr>
        <w:tc>
          <w:tcPr>
            <w:tcW w:w="0" w:type="auto"/>
          </w:tcPr>
          <w:p>
            <w:pPr/>
            <w:r>
              <w:rPr>
                <w:rFonts w:ascii="Times New Roman" w:eastAsia="宋体"/>
                <w:sz w:val="21"/>
              </w:rPr>
              <w:t xml:space="preserve">变制冷剂流量多联室外机组（16HP）</w:t>
            </w:r>
          </w:p>
        </w:tc>
        <w:tc>
          <w:tcPr>
            <w:tcW w:w="0" w:type="auto"/>
          </w:tcPr>
          <w:p>
            <w:pPr/>
            <w:r>
              <w:rPr>
                <w:rFonts w:ascii="Times New Roman" w:eastAsia="宋体"/>
                <w:sz w:val="21"/>
              </w:rPr>
              <w:t xml:space="preserve">50 kW</w:t>
            </w:r>
          </w:p>
        </w:tc>
      </w:tr>
      <w:tr>
        <w:tc>
          <w:tcPr>
            <w:tcW w:w="0" w:type="auto"/>
          </w:tcPr>
          <w:p>
            <w:pPr/>
            <w:r>
              <w:rPr>
                <w:rFonts w:ascii="Times New Roman" w:eastAsia="宋体"/>
                <w:sz w:val="21"/>
              </w:rPr>
              <w:t xml:space="preserve">变制冷剂流量多联室外机组（16HP）</w:t>
            </w:r>
          </w:p>
        </w:tc>
        <w:tc>
          <w:tcPr>
            <w:tcW w:w="0" w:type="auto"/>
          </w:tcPr>
          <w:p>
            <w:pPr/>
            <w:r>
              <w:rPr>
                <w:rFonts w:ascii="Times New Roman" w:eastAsia="宋体"/>
                <w:sz w:val="21"/>
              </w:rPr>
              <w:t xml:space="preserve">14.2 kW</w:t>
            </w:r>
          </w:p>
        </w:tc>
      </w:tr>
      <w:tr>
        <w:tc>
          <w:tcPr>
            <w:tcW w:w="0" w:type="auto"/>
          </w:tcPr>
          <w:p>
            <w:pPr/>
            <w:r>
              <w:rPr>
                <w:rFonts w:ascii="Times New Roman" w:eastAsia="宋体"/>
                <w:sz w:val="21"/>
              </w:rPr>
              <w:t xml:space="preserve">变制冷剂流量多联室外机组（10HP）</w:t>
            </w:r>
          </w:p>
        </w:tc>
        <w:tc>
          <w:tcPr>
            <w:tcW w:w="0" w:type="auto"/>
          </w:tcPr>
          <w:p>
            <w:pPr/>
            <w:r>
              <w:rPr>
                <w:rFonts w:ascii="Times New Roman" w:eastAsia="宋体"/>
                <w:sz w:val="21"/>
              </w:rPr>
              <w:t xml:space="preserve">28 kW</w:t>
            </w:r>
          </w:p>
        </w:tc>
      </w:tr>
      <w:tr>
        <w:tc>
          <w:tcPr>
            <w:tcW w:w="0" w:type="auto"/>
          </w:tcPr>
          <w:p>
            <w:pPr/>
            <w:r>
              <w:rPr>
                <w:rFonts w:ascii="Times New Roman" w:eastAsia="宋体"/>
                <w:sz w:val="21"/>
              </w:rPr>
              <w:t xml:space="preserve">变制冷剂流量多联室外机组（10HP）</w:t>
            </w:r>
          </w:p>
        </w:tc>
        <w:tc>
          <w:tcPr>
            <w:tcW w:w="0" w:type="auto"/>
          </w:tcPr>
          <w:p>
            <w:pPr/>
            <w:r>
              <w:rPr>
                <w:rFonts w:ascii="Times New Roman" w:eastAsia="宋体"/>
                <w:sz w:val="21"/>
              </w:rPr>
              <w:t xml:space="preserve">31.5 kW</w:t>
            </w:r>
          </w:p>
        </w:tc>
      </w:tr>
      <w:tr>
        <w:tc>
          <w:tcPr>
            <w:tcW w:w="0" w:type="auto"/>
          </w:tcPr>
          <w:p>
            <w:pPr/>
            <w:r>
              <w:rPr>
                <w:rFonts w:ascii="Times New Roman" w:eastAsia="宋体"/>
                <w:sz w:val="21"/>
              </w:rPr>
              <w:t xml:space="preserve">变制冷剂流量多联室外机组（10HP）</w:t>
            </w:r>
          </w:p>
        </w:tc>
        <w:tc>
          <w:tcPr>
            <w:tcW w:w="0" w:type="auto"/>
          </w:tcPr>
          <w:p>
            <w:pPr/>
            <w:r>
              <w:rPr>
                <w:rFonts w:ascii="Times New Roman" w:eastAsia="宋体"/>
                <w:sz w:val="21"/>
              </w:rPr>
              <w:t xml:space="preserve">7.5 kW</w:t>
            </w:r>
          </w:p>
        </w:tc>
      </w:tr>
    </w:tbl>
    <w:p>
      <w:pPr/>
      <w:r>
        <w:rPr>
          <w:b/>
          <w:rFonts w:ascii="Times New Roman" w:eastAsia="宋体"/>
          <w:sz w:val="21"/>
        </w:rPr>
        <w:t xml:space="preserve">表6-7 室内空气计算参数</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房间</w:t>
            </w:r>
          </w:p>
        </w:tc>
        <w:tc>
          <w:tcPr>
            <w:tcW w:w="0" w:type="auto"/>
          </w:tcPr>
          <w:p>
            <w:pPr/>
            <w:r>
              <w:rPr>
                <w:b/>
                <w:rFonts w:ascii="Times New Roman" w:eastAsia="宋体"/>
                <w:sz w:val="21"/>
              </w:rPr>
              <w:t xml:space="preserve">参数</w:t>
            </w:r>
          </w:p>
        </w:tc>
        <w:tc>
          <w:tcPr>
            <w:tcW w:w="0" w:type="auto"/>
          </w:tcPr>
          <w:p>
            <w:pPr/>
            <w:r>
              <w:rPr>
                <w:b/>
                <w:rFonts w:ascii="Times New Roman" w:eastAsia="宋体"/>
                <w:sz w:val="21"/>
              </w:rPr>
              <w:t xml:space="preserve">取值</w:t>
            </w:r>
          </w:p>
        </w:tc>
      </w:tr>
      <w:tr>
        <w:tc>
          <w:tcPr>
            <w:tcW w:w="0" w:type="auto"/>
          </w:tcPr>
          <w:p>
            <w:pPr/>
            <w:r>
              <w:rPr>
                <w:rFonts w:ascii="Times New Roman" w:eastAsia="宋体"/>
                <w:sz w:val="21"/>
              </w:rPr>
              <w:t xml:space="preserve">科研用房</w:t>
            </w:r>
          </w:p>
        </w:tc>
        <w:tc>
          <w:tcPr>
            <w:tcW w:w="0" w:type="auto"/>
          </w:tcPr>
          <w:p>
            <w:pPr/>
            <w:r>
              <w:rPr>
                <w:rFonts w:ascii="Times New Roman" w:eastAsia="宋体"/>
                <w:sz w:val="21"/>
              </w:rPr>
              <w:t xml:space="preserve">夏季室内温度</w:t>
            </w:r>
          </w:p>
        </w:tc>
        <w:tc>
          <w:tcPr>
            <w:tcW w:w="0" w:type="auto"/>
          </w:tcPr>
          <w:p>
            <w:pPr/>
            <w:r>
              <w:rPr>
                <w:rFonts w:ascii="Times New Roman" w:eastAsia="宋体"/>
                <w:sz w:val="21"/>
              </w:rPr>
              <w:t xml:space="preserve">26 ℃</w:t>
            </w:r>
          </w:p>
        </w:tc>
      </w:tr>
      <w:tr>
        <w:tc>
          <w:tcPr>
            <w:tcW w:w="0" w:type="auto"/>
          </w:tcPr>
          <w:p>
            <w:pPr/>
            <w:r>
              <w:rPr>
                <w:rFonts w:ascii="Times New Roman" w:eastAsia="宋体"/>
                <w:sz w:val="21"/>
              </w:rPr>
              <w:t xml:space="preserve">科研用房</w:t>
            </w:r>
          </w:p>
        </w:tc>
        <w:tc>
          <w:tcPr>
            <w:tcW w:w="0" w:type="auto"/>
          </w:tcPr>
          <w:p>
            <w:pPr/>
            <w:r>
              <w:rPr>
                <w:rFonts w:ascii="Times New Roman" w:eastAsia="宋体"/>
                <w:sz w:val="21"/>
              </w:rPr>
              <w:t xml:space="preserve">夏季相对湿度上限</w:t>
            </w:r>
          </w:p>
        </w:tc>
        <w:tc>
          <w:tcPr>
            <w:tcW w:w="0" w:type="auto"/>
          </w:tcPr>
          <w:p>
            <w:pPr/>
            <w:r>
              <w:rPr>
                <w:rFonts w:ascii="Times New Roman" w:eastAsia="宋体"/>
                <w:sz w:val="21"/>
              </w:rPr>
              <w:t xml:space="preserve">60 %</w:t>
            </w:r>
          </w:p>
        </w:tc>
      </w:tr>
      <w:tr>
        <w:tc>
          <w:tcPr>
            <w:tcW w:w="0" w:type="auto"/>
          </w:tcPr>
          <w:p>
            <w:pPr/>
            <w:r>
              <w:rPr>
                <w:rFonts w:ascii="Times New Roman" w:eastAsia="宋体"/>
                <w:sz w:val="21"/>
              </w:rPr>
              <w:t xml:space="preserve">科研用房</w:t>
            </w:r>
          </w:p>
        </w:tc>
        <w:tc>
          <w:tcPr>
            <w:tcW w:w="0" w:type="auto"/>
          </w:tcPr>
          <w:p>
            <w:pPr/>
            <w:r>
              <w:rPr>
                <w:rFonts w:ascii="Times New Roman" w:eastAsia="宋体"/>
                <w:sz w:val="21"/>
              </w:rPr>
              <w:t xml:space="preserve">冬季室内温度</w:t>
            </w:r>
          </w:p>
        </w:tc>
        <w:tc>
          <w:tcPr>
            <w:tcW w:w="0" w:type="auto"/>
          </w:tcPr>
          <w:p>
            <w:pPr/>
            <w:r>
              <w:rPr>
                <w:rFonts w:ascii="Times New Roman" w:eastAsia="宋体"/>
                <w:sz w:val="21"/>
              </w:rPr>
              <w:t xml:space="preserve">18 ℃</w:t>
            </w:r>
          </w:p>
        </w:tc>
      </w:tr>
      <w:tr>
        <w:tc>
          <w:tcPr>
            <w:tcW w:w="0" w:type="auto"/>
          </w:tcPr>
          <w:p>
            <w:pPr/>
            <w:r>
              <w:rPr>
                <w:rFonts w:ascii="Times New Roman" w:eastAsia="宋体"/>
                <w:sz w:val="21"/>
              </w:rPr>
              <w:t xml:space="preserve">科研用房</w:t>
            </w:r>
          </w:p>
        </w:tc>
        <w:tc>
          <w:tcPr>
            <w:tcW w:w="0" w:type="auto"/>
          </w:tcPr>
          <w:p>
            <w:pPr/>
            <w:r>
              <w:rPr>
                <w:rFonts w:ascii="Times New Roman" w:eastAsia="宋体"/>
                <w:sz w:val="21"/>
              </w:rPr>
              <w:t xml:space="preserve">人均使用面积</w:t>
            </w:r>
          </w:p>
        </w:tc>
        <w:tc>
          <w:tcPr>
            <w:tcW w:w="0" w:type="auto"/>
          </w:tcPr>
          <w:p>
            <w:pPr/>
            <w:r>
              <w:rPr>
                <w:rFonts w:ascii="Times New Roman" w:eastAsia="宋体"/>
                <w:sz w:val="21"/>
              </w:rPr>
              <w:t xml:space="preserve">1.5 ㎡/人</w:t>
            </w:r>
          </w:p>
        </w:tc>
      </w:tr>
      <w:tr>
        <w:tc>
          <w:tcPr>
            <w:tcW w:w="0" w:type="auto"/>
          </w:tcPr>
          <w:p>
            <w:pPr/>
            <w:r>
              <w:rPr>
                <w:rFonts w:ascii="Times New Roman" w:eastAsia="宋体"/>
                <w:sz w:val="21"/>
              </w:rPr>
              <w:t xml:space="preserve">科研用房</w:t>
            </w:r>
          </w:p>
        </w:tc>
        <w:tc>
          <w:tcPr>
            <w:tcW w:w="0" w:type="auto"/>
          </w:tcPr>
          <w:p>
            <w:pPr/>
            <w:r>
              <w:rPr>
                <w:rFonts w:ascii="Times New Roman" w:eastAsia="宋体"/>
                <w:sz w:val="21"/>
              </w:rPr>
              <w:t xml:space="preserve">新风量</w:t>
            </w:r>
          </w:p>
        </w:tc>
        <w:tc>
          <w:tcPr>
            <w:tcW w:w="0" w:type="auto"/>
          </w:tcPr>
          <w:p>
            <w:pPr/>
            <w:r>
              <w:rPr>
                <w:rFonts w:ascii="Times New Roman" w:eastAsia="宋体"/>
                <w:sz w:val="21"/>
              </w:rPr>
              <w:t xml:space="preserve">30 m³/h·P</w:t>
            </w:r>
          </w:p>
        </w:tc>
      </w:tr>
      <w:tr>
        <w:tc>
          <w:tcPr>
            <w:tcW w:w="0" w:type="auto"/>
          </w:tcPr>
          <w:p>
            <w:pPr/>
            <w:r>
              <w:rPr>
                <w:rFonts w:ascii="Times New Roman" w:eastAsia="宋体"/>
                <w:sz w:val="21"/>
              </w:rPr>
              <w:t xml:space="preserve">科研用房</w:t>
            </w:r>
          </w:p>
        </w:tc>
        <w:tc>
          <w:tcPr>
            <w:tcW w:w="0" w:type="auto"/>
          </w:tcPr>
          <w:p>
            <w:pPr/>
            <w:r>
              <w:rPr>
                <w:rFonts w:ascii="Times New Roman" w:eastAsia="宋体"/>
                <w:sz w:val="21"/>
              </w:rPr>
              <w:t xml:space="preserve">噪声标准</w:t>
            </w:r>
          </w:p>
        </w:tc>
        <w:tc>
          <w:tcPr>
            <w:tcW w:w="0" w:type="auto"/>
          </w:tcPr>
          <w:p>
            <w:pPr/>
            <w:r>
              <w:rPr>
                <w:rFonts w:ascii="Times New Roman" w:eastAsia="宋体"/>
                <w:sz w:val="21"/>
              </w:rPr>
              <w:t xml:space="preserve">≤50 dB(A)</w:t>
            </w:r>
          </w:p>
        </w:tc>
      </w:tr>
      <w:tr>
        <w:tc>
          <w:tcPr>
            <w:tcW w:w="0" w:type="auto"/>
          </w:tcPr>
          <w:p>
            <w:pPr/>
            <w:r>
              <w:rPr>
                <w:rFonts w:ascii="Times New Roman" w:eastAsia="宋体"/>
                <w:sz w:val="21"/>
              </w:rPr>
              <w:t xml:space="preserve">交流讨论用房</w:t>
            </w:r>
          </w:p>
        </w:tc>
        <w:tc>
          <w:tcPr>
            <w:tcW w:w="0" w:type="auto"/>
          </w:tcPr>
          <w:p>
            <w:pPr/>
            <w:r>
              <w:rPr>
                <w:rFonts w:ascii="Times New Roman" w:eastAsia="宋体"/>
                <w:sz w:val="21"/>
              </w:rPr>
              <w:t xml:space="preserve">人均使用面积</w:t>
            </w:r>
          </w:p>
        </w:tc>
        <w:tc>
          <w:tcPr>
            <w:tcW w:w="0" w:type="auto"/>
          </w:tcPr>
          <w:p>
            <w:pPr/>
            <w:r>
              <w:rPr>
                <w:rFonts w:ascii="Times New Roman" w:eastAsia="宋体"/>
                <w:sz w:val="21"/>
              </w:rPr>
              <w:t xml:space="preserve">2 ㎡/人</w:t>
            </w:r>
          </w:p>
        </w:tc>
      </w:tr>
      <w:tr>
        <w:tc>
          <w:tcPr>
            <w:tcW w:w="0" w:type="auto"/>
          </w:tcPr>
          <w:p>
            <w:pPr/>
            <w:r>
              <w:rPr>
                <w:rFonts w:ascii="Times New Roman" w:eastAsia="宋体"/>
                <w:sz w:val="21"/>
              </w:rPr>
              <w:t xml:space="preserve">交流讨论大厅</w:t>
            </w:r>
          </w:p>
        </w:tc>
        <w:tc>
          <w:tcPr>
            <w:tcW w:w="0" w:type="auto"/>
          </w:tcPr>
          <w:p>
            <w:pPr/>
            <w:r>
              <w:rPr>
                <w:rFonts w:ascii="Times New Roman" w:eastAsia="宋体"/>
                <w:sz w:val="21"/>
              </w:rPr>
              <w:t xml:space="preserve">人均使用面积</w:t>
            </w:r>
          </w:p>
        </w:tc>
        <w:tc>
          <w:tcPr>
            <w:tcW w:w="0" w:type="auto"/>
          </w:tcPr>
          <w:p>
            <w:pPr/>
            <w:r>
              <w:rPr>
                <w:rFonts w:ascii="Times New Roman" w:eastAsia="宋体"/>
                <w:sz w:val="21"/>
              </w:rPr>
              <w:t xml:space="preserve">8 ㎡/人</w:t>
            </w:r>
          </w:p>
        </w:tc>
      </w:tr>
    </w:tbl>
    <w:p>
      <w:pPr>
        <w:pStyle w:val="Heading3"/>
      </w:pPr>
      <w:r>
        <w:rPr>
          <w:rFonts w:ascii="Times New Roman" w:eastAsia="宋体"/>
          <w:sz w:val="21"/>
        </w:rPr>
        <w:t xml:space="preserve">6.7.2　空调系统</w:t>
      </w:r>
    </w:p>
    <w:p>
      <w:pPr/>
      <w:r>
        <w:rPr>
          <w:rFonts w:ascii="Times New Roman" w:eastAsia="宋体"/>
          <w:sz w:val="21"/>
        </w:rPr>
        <w:t xml:space="preserve">原报告采用的空调冷热源形式为变制冷剂流量多联机系统；室外机集中放置在屋面上，室内机为卡式或内藏风管机，并设新风机组供新风。空调负荷指标与负荷量如下表。</w:t>
      </w:r>
    </w:p>
    <w:p>
      <w:pPr/>
      <w:r>
        <w:rPr>
          <w:b/>
          <w:rFonts w:ascii="Times New Roman" w:eastAsia="宋体"/>
          <w:sz w:val="21"/>
        </w:rPr>
        <w:t xml:space="preserve">表6-9 空调系统</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指标</w:t>
            </w:r>
          </w:p>
        </w:tc>
        <w:tc>
          <w:tcPr>
            <w:tcW w:w="0" w:type="auto"/>
          </w:tcPr>
          <w:p>
            <w:pPr/>
            <w:r>
              <w:rPr>
                <w:b/>
                <w:rFonts w:ascii="Times New Roman" w:eastAsia="宋体"/>
                <w:sz w:val="21"/>
              </w:rPr>
              <w:t xml:space="preserve">取值</w:t>
            </w:r>
          </w:p>
        </w:tc>
      </w:tr>
      <w:tr>
        <w:tc>
          <w:tcPr>
            <w:tcW w:w="0" w:type="auto"/>
          </w:tcPr>
          <w:p>
            <w:pPr/>
            <w:r>
              <w:rPr>
                <w:rFonts w:ascii="Times New Roman" w:eastAsia="宋体"/>
                <w:sz w:val="21"/>
              </w:rPr>
              <w:t xml:space="preserve">单位面积冷负荷指标</w:t>
            </w:r>
          </w:p>
        </w:tc>
        <w:tc>
          <w:tcPr>
            <w:tcW w:w="0" w:type="auto"/>
          </w:tcPr>
          <w:p>
            <w:pPr/>
            <w:r>
              <w:rPr>
                <w:rFonts w:ascii="Times New Roman" w:eastAsia="宋体"/>
                <w:sz w:val="21"/>
              </w:rPr>
              <w:t xml:space="preserve">135 W/㎡</w:t>
            </w:r>
          </w:p>
        </w:tc>
      </w:tr>
      <w:tr>
        <w:tc>
          <w:tcPr>
            <w:tcW w:w="0" w:type="auto"/>
          </w:tcPr>
          <w:p>
            <w:pPr/>
            <w:r>
              <w:rPr>
                <w:rFonts w:ascii="Times New Roman" w:eastAsia="宋体"/>
                <w:sz w:val="21"/>
              </w:rPr>
              <w:t xml:space="preserve">冷负荷</w:t>
            </w:r>
          </w:p>
        </w:tc>
        <w:tc>
          <w:tcPr>
            <w:tcW w:w="0" w:type="auto"/>
          </w:tcPr>
          <w:p>
            <w:pPr/>
            <w:r>
              <w:rPr>
                <w:rFonts w:ascii="Times New Roman" w:eastAsia="宋体"/>
                <w:sz w:val="21"/>
              </w:rPr>
              <w:t xml:space="preserve">2473 kW</w:t>
            </w:r>
          </w:p>
        </w:tc>
      </w:tr>
      <w:tr>
        <w:tc>
          <w:tcPr>
            <w:tcW w:w="0" w:type="auto"/>
          </w:tcPr>
          <w:p>
            <w:pPr/>
            <w:r>
              <w:rPr>
                <w:rFonts w:ascii="Times New Roman" w:eastAsia="宋体"/>
                <w:sz w:val="21"/>
              </w:rPr>
              <w:t xml:space="preserve">单位面积热负荷指标</w:t>
            </w:r>
          </w:p>
        </w:tc>
        <w:tc>
          <w:tcPr>
            <w:tcW w:w="0" w:type="auto"/>
          </w:tcPr>
          <w:p>
            <w:pPr/>
            <w:r>
              <w:rPr>
                <w:rFonts w:ascii="Times New Roman" w:eastAsia="宋体"/>
                <w:sz w:val="21"/>
              </w:rPr>
              <w:t xml:space="preserve">80 W/㎡</w:t>
            </w:r>
          </w:p>
        </w:tc>
      </w:tr>
      <w:tr>
        <w:tc>
          <w:tcPr>
            <w:tcW w:w="0" w:type="auto"/>
          </w:tcPr>
          <w:p>
            <w:pPr/>
            <w:r>
              <w:rPr>
                <w:rFonts w:ascii="Times New Roman" w:eastAsia="宋体"/>
                <w:sz w:val="21"/>
              </w:rPr>
              <w:t xml:space="preserve">热负荷</w:t>
            </w:r>
          </w:p>
        </w:tc>
        <w:tc>
          <w:tcPr>
            <w:tcW w:w="0" w:type="auto"/>
          </w:tcPr>
          <w:p>
            <w:pPr/>
            <w:r>
              <w:rPr>
                <w:rFonts w:ascii="Times New Roman" w:eastAsia="宋体"/>
                <w:sz w:val="21"/>
              </w:rPr>
              <w:t xml:space="preserve">1465 kW</w:t>
            </w:r>
          </w:p>
        </w:tc>
      </w:tr>
    </w:tbl>
    <w:p>
      <w:pPr/>
      <w:r>
        <w:rPr>
          <w:rFonts w:ascii="Times New Roman" w:eastAsia="宋体"/>
          <w:sz w:val="21"/>
        </w:rPr>
        <w:t xml:space="preserve">冷热负荷可复核：</w:t>
      </w:r>
      <w:r>
        <w:rPr>
          <w:b/>
          <w:rFonts w:ascii="Times New Roman" w:eastAsia="宋体"/>
          <w:sz w:val="21"/>
        </w:rPr>
        <w:t xml:space="preserve">R-冷负荷（冷负荷）因依赖存在未裁决冲突而无法计算</w:t>
      </w:r>
      <w:r>
        <w:rPr>
          <w:rFonts w:ascii="Times New Roman" w:eastAsia="宋体"/>
          <w:sz w:val="21"/>
        </w:rPr>
        <w:t xml:space="preserve">（本项目建筑面积=18219/18319），本稿不给单一值。；</w:t>
      </w:r>
      <w:r>
        <w:rPr>
          <w:b/>
          <w:rFonts w:ascii="Times New Roman" w:eastAsia="宋体"/>
          <w:sz w:val="21"/>
        </w:rPr>
        <w:t xml:space="preserve">R-热负荷（热负荷）因依赖存在未裁决冲突而无法计算</w:t>
      </w:r>
      <w:r>
        <w:rPr>
          <w:rFonts w:ascii="Times New Roman" w:eastAsia="宋体"/>
          <w:sz w:val="21"/>
        </w:rPr>
        <w:t xml:space="preserve">（本项目建筑面积=18219/18319），本稿不给单一值。。上述两条规则因依赖「本项目建筑面积」而</w:t>
      </w:r>
      <w:r>
        <w:rPr>
          <w:b/>
          <w:rFonts w:ascii="Times New Roman" w:eastAsia="宋体"/>
          <w:sz w:val="21"/>
        </w:rPr>
        <w:t xml:space="preserve">受阻于总建筑面积的未裁决冲突</w:t>
      </w:r>
      <w:r>
        <w:rPr>
          <w:rFonts w:ascii="Times New Roman" w:eastAsia="宋体"/>
          <w:sz w:val="21"/>
        </w:rPr>
        <w:t xml:space="preserve">，本稿不给出单一值。</w:t>
      </w:r>
    </w:p>
    <w:p>
      <w:pPr>
        <w:pStyle w:val="Heading3"/>
      </w:pPr>
      <w:r>
        <w:rPr>
          <w:rFonts w:ascii="Times New Roman" w:eastAsia="宋体"/>
          <w:sz w:val="21"/>
        </w:rPr>
        <w:t xml:space="preserve">6.7.3　通风与防排烟系统</w:t>
      </w:r>
    </w:p>
    <w:p>
      <w:pPr/>
      <w:r>
        <w:rPr>
          <w:rFonts w:ascii="Times New Roman" w:eastAsia="宋体"/>
          <w:sz w:val="21"/>
        </w:rPr>
        <w:t xml:space="preserve">卫生间、水泵房设有机械排风系统；各空调区域设机械排风系统以实现空气量平衡。防烟楼梯间、独立前室、合用前室设机械加压送风系统；走廊优先考虑自然排烟，面积较大的科研用房采用自然排烟并按规定设置自然排烟口。排烟风机、补风机具备现场手动、火灾自动报警系统自动、消防控制室手动三种启动方式，排烟防火阀在 280℃ 时自行关闭并连锁关闭排烟风机与补风机。</w:t>
      </w:r>
    </w:p>
    <w:p>
      <w:pPr/>
      <w:r>
        <w:rPr>
          <w:b/>
          <w:rFonts w:ascii="Times New Roman" w:eastAsia="宋体"/>
          <w:sz w:val="21"/>
        </w:rPr>
        <w:t xml:space="preserve">本项目在实验室专项通风上的取值缺口，是本项目最需要补齐的技术缺口</w:t>
      </w:r>
      <w:r>
        <w:rPr>
          <w:rFonts w:ascii="Times New Roman" w:eastAsia="宋体"/>
          <w:sz w:val="21"/>
        </w:rPr>
        <w:t xml:space="preserve">：原报告表 6-8 通风换气次数仅覆盖卫生间、电梯机房、水泵房三类房间，</w:t>
      </w:r>
      <w:r>
        <w:rPr>
          <w:b/>
          <w:rFonts w:ascii="Times New Roman" w:eastAsia="宋体"/>
          <w:sz w:val="21"/>
        </w:rPr>
        <w:t xml:space="preserve">未给出实验室与科研用房的换气次数、通风柜台数与排风量</w:t>
      </w:r>
      <w:r>
        <w:rPr>
          <w:rFonts w:ascii="Times New Roman" w:eastAsia="宋体"/>
          <w:sz w:val="21"/>
        </w:rPr>
        <w:t xml:space="preserve">。这三项是高校科研用房评审必问的取值点，缺失会让本专业章节退化为通用条款。</w:t>
      </w:r>
      <w:r>
        <w:rPr>
          <w:b/>
          <w:rFonts w:ascii="Times New Roman" w:eastAsia="宋体"/>
          <w:sz w:val="21"/>
        </w:rPr>
        <w:t xml:space="preserve">（实验室通风专项取值：待补充——原文表6-8 通风换气次数仅覆盖卫生间/电梯机房/水泵房，未给出实验室换气次数、通风柜台数与排风量；属高校科研用房评审必问取值点，保持未知并转 ASK。）</w:t>
      </w:r>
    </w:p>
    <w:p>
      <w:pPr>
        <w:pStyle w:val="Heading3"/>
      </w:pPr>
      <w:r>
        <w:rPr>
          <w:rFonts w:ascii="Times New Roman" w:eastAsia="宋体"/>
          <w:sz w:val="21"/>
        </w:rPr>
        <w:t xml:space="preserve">6.7.4　主要设备</w:t>
      </w:r>
    </w:p>
    <w:p>
      <w:pPr/>
      <w:r>
        <w:rPr>
          <w:b/>
          <w:rFonts w:ascii="Times New Roman" w:eastAsia="宋体"/>
          <w:sz w:val="21"/>
        </w:rPr>
        <w:t xml:space="preserve">表6-11 主要设备表</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设备</w:t>
            </w:r>
          </w:p>
        </w:tc>
        <w:tc>
          <w:tcPr>
            <w:tcW w:w="0" w:type="auto"/>
          </w:tcPr>
          <w:p>
            <w:pPr/>
            <w:r>
              <w:rPr>
                <w:b/>
                <w:rFonts w:ascii="Times New Roman" w:eastAsia="宋体"/>
                <w:sz w:val="21"/>
              </w:rPr>
              <w:t xml:space="preserve">参数</w:t>
            </w:r>
          </w:p>
        </w:tc>
        <w:tc>
          <w:tcPr>
            <w:tcW w:w="0" w:type="auto"/>
          </w:tcPr>
          <w:p>
            <w:pPr/>
            <w:r>
              <w:rPr>
                <w:b/>
                <w:rFonts w:ascii="Times New Roman" w:eastAsia="宋体"/>
                <w:sz w:val="21"/>
              </w:rPr>
              <w:t xml:space="preserve">取值</w:t>
            </w:r>
          </w:p>
        </w:tc>
      </w:tr>
      <w:tr>
        <w:tc>
          <w:tcPr>
            <w:tcW w:w="0" w:type="auto"/>
          </w:tcPr>
          <w:p>
            <w:pPr/>
            <w:r>
              <w:rPr>
                <w:rFonts w:ascii="Times New Roman" w:eastAsia="宋体"/>
                <w:sz w:val="21"/>
              </w:rPr>
              <w:t xml:space="preserve">多联机室外机组30HP</w:t>
            </w:r>
          </w:p>
        </w:tc>
        <w:tc>
          <w:tcPr>
            <w:tcW w:w="0" w:type="auto"/>
          </w:tcPr>
          <w:p>
            <w:pPr/>
            <w:r>
              <w:rPr>
                <w:rFonts w:ascii="Times New Roman" w:eastAsia="宋体"/>
                <w:sz w:val="21"/>
              </w:rPr>
              <w:t xml:space="preserve">台数</w:t>
            </w:r>
          </w:p>
        </w:tc>
        <w:tc>
          <w:tcPr>
            <w:tcW w:w="0" w:type="auto"/>
          </w:tcPr>
          <w:p>
            <w:pPr/>
            <w:r>
              <w:rPr>
                <w:rFonts w:ascii="Times New Roman" w:eastAsia="宋体"/>
                <w:sz w:val="21"/>
              </w:rPr>
              <w:t xml:space="preserve">22 台</w:t>
            </w:r>
          </w:p>
        </w:tc>
      </w:tr>
      <w:tr>
        <w:tc>
          <w:tcPr>
            <w:tcW w:w="0" w:type="auto"/>
          </w:tcPr>
          <w:p>
            <w:pPr/>
            <w:r>
              <w:rPr>
                <w:rFonts w:ascii="Times New Roman" w:eastAsia="宋体"/>
                <w:sz w:val="21"/>
              </w:rPr>
              <w:t xml:space="preserve">多联机室外机组30HP</w:t>
            </w:r>
          </w:p>
        </w:tc>
        <w:tc>
          <w:tcPr>
            <w:tcW w:w="0" w:type="auto"/>
          </w:tcPr>
          <w:p>
            <w:pPr/>
            <w:r>
              <w:rPr>
                <w:rFonts w:ascii="Times New Roman" w:eastAsia="宋体"/>
                <w:sz w:val="21"/>
              </w:rPr>
              <w:t xml:space="preserve">单台制冷量</w:t>
            </w:r>
          </w:p>
        </w:tc>
        <w:tc>
          <w:tcPr>
            <w:tcW w:w="0" w:type="auto"/>
          </w:tcPr>
          <w:p>
            <w:pPr/>
            <w:r>
              <w:rPr>
                <w:rFonts w:ascii="Times New Roman" w:eastAsia="宋体"/>
                <w:sz w:val="21"/>
              </w:rPr>
              <w:t xml:space="preserve">90 kW</w:t>
            </w:r>
          </w:p>
        </w:tc>
      </w:tr>
      <w:tr>
        <w:tc>
          <w:tcPr>
            <w:tcW w:w="0" w:type="auto"/>
          </w:tcPr>
          <w:p>
            <w:pPr/>
            <w:r>
              <w:rPr>
                <w:rFonts w:ascii="Times New Roman" w:eastAsia="宋体"/>
                <w:sz w:val="21"/>
              </w:rPr>
              <w:t xml:space="preserve">多联机室外机组16HP</w:t>
            </w:r>
          </w:p>
        </w:tc>
        <w:tc>
          <w:tcPr>
            <w:tcW w:w="0" w:type="auto"/>
          </w:tcPr>
          <w:p>
            <w:pPr/>
            <w:r>
              <w:rPr>
                <w:rFonts w:ascii="Times New Roman" w:eastAsia="宋体"/>
                <w:sz w:val="21"/>
              </w:rPr>
              <w:t xml:space="preserve">台数</w:t>
            </w:r>
          </w:p>
        </w:tc>
        <w:tc>
          <w:tcPr>
            <w:tcW w:w="0" w:type="auto"/>
          </w:tcPr>
          <w:p>
            <w:pPr/>
            <w:r>
              <w:rPr>
                <w:rFonts w:ascii="Times New Roman" w:eastAsia="宋体"/>
                <w:sz w:val="21"/>
              </w:rPr>
              <w:t xml:space="preserve">10 台</w:t>
            </w:r>
          </w:p>
        </w:tc>
      </w:tr>
      <w:tr>
        <w:tc>
          <w:tcPr>
            <w:tcW w:w="0" w:type="auto"/>
          </w:tcPr>
          <w:p>
            <w:pPr/>
            <w:r>
              <w:rPr>
                <w:rFonts w:ascii="Times New Roman" w:eastAsia="宋体"/>
                <w:sz w:val="21"/>
              </w:rPr>
              <w:t xml:space="preserve">多联机室外机组16HP</w:t>
            </w:r>
          </w:p>
        </w:tc>
        <w:tc>
          <w:tcPr>
            <w:tcW w:w="0" w:type="auto"/>
          </w:tcPr>
          <w:p>
            <w:pPr/>
            <w:r>
              <w:rPr>
                <w:rFonts w:ascii="Times New Roman" w:eastAsia="宋体"/>
                <w:sz w:val="21"/>
              </w:rPr>
              <w:t xml:space="preserve">单台制冷量</w:t>
            </w:r>
          </w:p>
        </w:tc>
        <w:tc>
          <w:tcPr>
            <w:tcW w:w="0" w:type="auto"/>
          </w:tcPr>
          <w:p>
            <w:pPr/>
            <w:r>
              <w:rPr>
                <w:rFonts w:ascii="Times New Roman" w:eastAsia="宋体"/>
                <w:sz w:val="21"/>
              </w:rPr>
              <w:t xml:space="preserve">45 kW</w:t>
            </w:r>
          </w:p>
        </w:tc>
      </w:tr>
      <w:tr>
        <w:tc>
          <w:tcPr>
            <w:tcW w:w="0" w:type="auto"/>
          </w:tcPr>
          <w:p>
            <w:pPr/>
            <w:r>
              <w:rPr>
                <w:rFonts w:ascii="Times New Roman" w:eastAsia="宋体"/>
                <w:sz w:val="21"/>
              </w:rPr>
              <w:t xml:space="preserve">多联机室外机组10HP</w:t>
            </w:r>
          </w:p>
        </w:tc>
        <w:tc>
          <w:tcPr>
            <w:tcW w:w="0" w:type="auto"/>
          </w:tcPr>
          <w:p>
            <w:pPr/>
            <w:r>
              <w:rPr>
                <w:rFonts w:ascii="Times New Roman" w:eastAsia="宋体"/>
                <w:sz w:val="21"/>
              </w:rPr>
              <w:t xml:space="preserve">台数</w:t>
            </w:r>
          </w:p>
        </w:tc>
        <w:tc>
          <w:tcPr>
            <w:tcW w:w="0" w:type="auto"/>
          </w:tcPr>
          <w:p>
            <w:pPr/>
            <w:r>
              <w:rPr>
                <w:rFonts w:ascii="Times New Roman" w:eastAsia="宋体"/>
                <w:sz w:val="21"/>
              </w:rPr>
              <w:t xml:space="preserve">2 台</w:t>
            </w:r>
          </w:p>
        </w:tc>
      </w:tr>
      <w:tr>
        <w:tc>
          <w:tcPr>
            <w:tcW w:w="0" w:type="auto"/>
          </w:tcPr>
          <w:p>
            <w:pPr/>
            <w:r>
              <w:rPr>
                <w:rFonts w:ascii="Times New Roman" w:eastAsia="宋体"/>
                <w:sz w:val="21"/>
              </w:rPr>
              <w:t xml:space="preserve">多联机室外机组10HP</w:t>
            </w:r>
          </w:p>
        </w:tc>
        <w:tc>
          <w:tcPr>
            <w:tcW w:w="0" w:type="auto"/>
          </w:tcPr>
          <w:p>
            <w:pPr/>
            <w:r>
              <w:rPr>
                <w:rFonts w:ascii="Times New Roman" w:eastAsia="宋体"/>
                <w:sz w:val="21"/>
              </w:rPr>
              <w:t xml:space="preserve">单台制冷量</w:t>
            </w:r>
          </w:p>
        </w:tc>
        <w:tc>
          <w:tcPr>
            <w:tcW w:w="0" w:type="auto"/>
          </w:tcPr>
          <w:p>
            <w:pPr/>
            <w:r>
              <w:rPr>
                <w:rFonts w:ascii="Times New Roman" w:eastAsia="宋体"/>
                <w:sz w:val="21"/>
              </w:rPr>
              <w:t xml:space="preserve">28 kW</w:t>
            </w:r>
          </w:p>
        </w:tc>
      </w:tr>
      <w:tr>
        <w:tc>
          <w:tcPr>
            <w:tcW w:w="0" w:type="auto"/>
          </w:tcPr>
          <w:p>
            <w:pPr/>
            <w:r>
              <w:rPr>
                <w:rFonts w:ascii="Times New Roman" w:eastAsia="宋体"/>
                <w:sz w:val="21"/>
              </w:rPr>
              <w:t xml:space="preserve">多联机室内机组</w:t>
            </w:r>
          </w:p>
        </w:tc>
        <w:tc>
          <w:tcPr>
            <w:tcW w:w="0" w:type="auto"/>
          </w:tcPr>
          <w:p>
            <w:pPr/>
            <w:r>
              <w:rPr>
                <w:rFonts w:ascii="Times New Roman" w:eastAsia="宋体"/>
                <w:sz w:val="21"/>
              </w:rPr>
              <w:t xml:space="preserve">台数</w:t>
            </w:r>
          </w:p>
        </w:tc>
        <w:tc>
          <w:tcPr>
            <w:tcW w:w="0" w:type="auto"/>
          </w:tcPr>
          <w:p>
            <w:pPr/>
            <w:r>
              <w:rPr>
                <w:rFonts w:ascii="Times New Roman" w:eastAsia="宋体"/>
                <w:sz w:val="21"/>
              </w:rPr>
              <w:t xml:space="preserve">166 台</w:t>
            </w:r>
          </w:p>
        </w:tc>
      </w:tr>
      <w:tr>
        <w:tc>
          <w:tcPr>
            <w:tcW w:w="0" w:type="auto"/>
          </w:tcPr>
          <w:p>
            <w:pPr/>
            <w:r>
              <w:rPr>
                <w:rFonts w:ascii="Times New Roman" w:eastAsia="宋体"/>
                <w:sz w:val="21"/>
              </w:rPr>
              <w:t xml:space="preserve">多联机室内机组</w:t>
            </w:r>
          </w:p>
        </w:tc>
        <w:tc>
          <w:tcPr>
            <w:tcW w:w="0" w:type="auto"/>
          </w:tcPr>
          <w:p>
            <w:pPr/>
            <w:r>
              <w:rPr>
                <w:rFonts w:ascii="Times New Roman" w:eastAsia="宋体"/>
                <w:sz w:val="21"/>
              </w:rPr>
              <w:t xml:space="preserve">台数</w:t>
            </w:r>
          </w:p>
        </w:tc>
        <w:tc>
          <w:tcPr>
            <w:tcW w:w="0" w:type="auto"/>
          </w:tcPr>
          <w:p>
            <w:pPr/>
            <w:r>
              <w:rPr>
                <w:rFonts w:ascii="Times New Roman" w:eastAsia="宋体"/>
                <w:sz w:val="21"/>
              </w:rPr>
              <w:t xml:space="preserve">166 台</w:t>
            </w:r>
          </w:p>
        </w:tc>
      </w:tr>
      <w:tr>
        <w:tc>
          <w:tcPr>
            <w:tcW w:w="0" w:type="auto"/>
          </w:tcPr>
          <w:p>
            <w:pPr/>
            <w:r>
              <w:rPr>
                <w:rFonts w:ascii="Times New Roman" w:eastAsia="宋体"/>
                <w:sz w:val="21"/>
              </w:rPr>
              <w:t xml:space="preserve">加压送风机</w:t>
            </w:r>
          </w:p>
        </w:tc>
        <w:tc>
          <w:tcPr>
            <w:tcW w:w="0" w:type="auto"/>
          </w:tcPr>
          <w:p>
            <w:pPr/>
            <w:r>
              <w:rPr>
                <w:rFonts w:ascii="Times New Roman" w:eastAsia="宋体"/>
                <w:sz w:val="21"/>
              </w:rPr>
              <w:t xml:space="preserve">台数</w:t>
            </w:r>
          </w:p>
        </w:tc>
        <w:tc>
          <w:tcPr>
            <w:tcW w:w="0" w:type="auto"/>
          </w:tcPr>
          <w:p>
            <w:pPr/>
            <w:r>
              <w:rPr>
                <w:rFonts w:ascii="Times New Roman" w:eastAsia="宋体"/>
                <w:sz w:val="21"/>
              </w:rPr>
              <w:t xml:space="preserve">6 台</w:t>
            </w:r>
          </w:p>
        </w:tc>
      </w:tr>
      <w:tr>
        <w:tc>
          <w:tcPr>
            <w:tcW w:w="0" w:type="auto"/>
          </w:tcPr>
          <w:p>
            <w:pPr/>
            <w:r>
              <w:rPr>
                <w:rFonts w:ascii="Times New Roman" w:eastAsia="宋体"/>
                <w:sz w:val="21"/>
              </w:rPr>
              <w:t xml:space="preserve">加压送风机</w:t>
            </w:r>
          </w:p>
        </w:tc>
        <w:tc>
          <w:tcPr>
            <w:tcW w:w="0" w:type="auto"/>
          </w:tcPr>
          <w:p>
            <w:pPr/>
            <w:r>
              <w:rPr>
                <w:rFonts w:ascii="Times New Roman" w:eastAsia="宋体"/>
                <w:sz w:val="21"/>
              </w:rPr>
              <w:t xml:space="preserve">台数</w:t>
            </w:r>
          </w:p>
        </w:tc>
        <w:tc>
          <w:tcPr>
            <w:tcW w:w="0" w:type="auto"/>
          </w:tcPr>
          <w:p>
            <w:pPr/>
            <w:r>
              <w:rPr>
                <w:rFonts w:ascii="Times New Roman" w:eastAsia="宋体"/>
                <w:sz w:val="21"/>
              </w:rPr>
              <w:t xml:space="preserve">6 台</w:t>
            </w:r>
          </w:p>
        </w:tc>
      </w:tr>
      <w:tr>
        <w:tc>
          <w:tcPr>
            <w:tcW w:w="0" w:type="auto"/>
          </w:tcPr>
          <w:p>
            <w:pPr/>
            <w:r>
              <w:rPr>
                <w:rFonts w:ascii="Times New Roman" w:eastAsia="宋体"/>
                <w:sz w:val="21"/>
              </w:rPr>
              <w:t xml:space="preserve">排烟机组</w:t>
            </w:r>
          </w:p>
        </w:tc>
        <w:tc>
          <w:tcPr>
            <w:tcW w:w="0" w:type="auto"/>
          </w:tcPr>
          <w:p>
            <w:pPr/>
            <w:r>
              <w:rPr>
                <w:rFonts w:ascii="Times New Roman" w:eastAsia="宋体"/>
                <w:sz w:val="21"/>
              </w:rPr>
              <w:t xml:space="preserve">台数</w:t>
            </w:r>
          </w:p>
        </w:tc>
        <w:tc>
          <w:tcPr>
            <w:tcW w:w="0" w:type="auto"/>
          </w:tcPr>
          <w:p>
            <w:pPr/>
            <w:r>
              <w:rPr>
                <w:rFonts w:ascii="Times New Roman" w:eastAsia="宋体"/>
                <w:sz w:val="21"/>
              </w:rPr>
              <w:t xml:space="preserve">2 台</w:t>
            </w:r>
          </w:p>
        </w:tc>
      </w:tr>
      <w:tr>
        <w:tc>
          <w:tcPr>
            <w:tcW w:w="0" w:type="auto"/>
          </w:tcPr>
          <w:p>
            <w:pPr/>
            <w:r>
              <w:rPr>
                <w:rFonts w:ascii="Times New Roman" w:eastAsia="宋体"/>
                <w:sz w:val="21"/>
              </w:rPr>
              <w:t xml:space="preserve">排烟机组</w:t>
            </w:r>
          </w:p>
        </w:tc>
        <w:tc>
          <w:tcPr>
            <w:tcW w:w="0" w:type="auto"/>
          </w:tcPr>
          <w:p>
            <w:pPr/>
            <w:r>
              <w:rPr>
                <w:rFonts w:ascii="Times New Roman" w:eastAsia="宋体"/>
                <w:sz w:val="21"/>
              </w:rPr>
              <w:t xml:space="preserve">台数</w:t>
            </w:r>
          </w:p>
        </w:tc>
        <w:tc>
          <w:tcPr>
            <w:tcW w:w="0" w:type="auto"/>
          </w:tcPr>
          <w:p>
            <w:pPr/>
            <w:r>
              <w:rPr>
                <w:rFonts w:ascii="Times New Roman" w:eastAsia="宋体"/>
                <w:sz w:val="21"/>
              </w:rPr>
              <w:t xml:space="preserve">2 台</w:t>
            </w:r>
          </w:p>
        </w:tc>
      </w:tr>
    </w:tbl>
    <w:p>
      <w:pPr/>
      <w:r>
        <w:rPr>
          <w:b/>
          <w:rFonts w:ascii="Times New Roman" w:eastAsia="宋体"/>
          <w:sz w:val="21"/>
        </w:rPr>
        <w:t xml:space="preserve">表 6-11</w:t>
      </w:r>
      <w:r>
        <w:rPr>
          <w:rFonts w:ascii="Times New Roman" w:eastAsia="宋体"/>
          <w:sz w:val="21"/>
        </w:rPr>
        <w:t xml:space="preserve"> 列出暖通主要设备（下表；规格型号属设计深化范围）。</w:t>
      </w:r>
    </w:p>
    <w:p>
      <w:pPr/>
      <w:r>
        <w:rPr>
          <w:rFonts w:ascii="Times New Roman" w:eastAsia="宋体"/>
          <w:sz w:val="21"/>
        </w:rPr>
        <w:t xml:space="preserve">多联机室外机组、新风机组、室内机组、加压送风机、排风机组、排烟机组等的规格与数量均已在原报告中列明。设备选型属设计单位深化范围，本稿不重复列示。</w:t>
      </w:r>
    </w:p>
    <w:p>
      <w:pPr>
        <w:pStyle w:val="Heading1"/>
      </w:pPr>
      <w:r>
        <w:rPr>
          <w:rFonts w:ascii="Times New Roman" w:eastAsia="宋体"/>
          <w:sz w:val="21"/>
        </w:rPr>
        <w:t xml:space="preserve">第七章　节能设计</w:t>
      </w:r>
    </w:p>
    <w:p>
      <w:pPr>
        <w:pStyle w:val="Heading2"/>
      </w:pPr>
      <w:r>
        <w:rPr>
          <w:rFonts w:ascii="Times New Roman" w:eastAsia="宋体"/>
          <w:sz w:val="21"/>
        </w:rPr>
        <w:t xml:space="preserve">7.1　用能标准和节能规范</w:t>
      </w:r>
    </w:p>
    <w:p>
      <w:pPr/>
      <w:r>
        <w:rPr>
          <w:rFonts w:ascii="Times New Roman" w:eastAsia="宋体"/>
          <w:sz w:val="21"/>
        </w:rPr>
        <w:t xml:space="preserve">节能设计依据包括国家节约能源法、可再生能源法、清洁生产促进法、民用建筑节能条例等法律法规，以及国务院关于加强节能工作的决定、节能减排综合性工作方案、节能中长期专项规划等政策文件；技术标准包括综合能耗计算通则、用能单位能源计量器具配备和管理导则、公共建筑节能设计标准、建筑照明设计标准、建筑采光设计标准以及采暖通风与空气调节设计规范等。</w:t>
      </w:r>
    </w:p>
    <w:p>
      <w:pPr/>
      <w:r>
        <w:rPr>
          <w:rFonts w:ascii="Times New Roman" w:eastAsia="宋体"/>
          <w:sz w:val="21"/>
        </w:rPr>
        <w:t xml:space="preserve">原报告的节能依据清单中存在</w:t>
      </w:r>
      <w:r>
        <w:rPr>
          <w:b/>
          <w:rFonts w:ascii="Times New Roman" w:eastAsia="宋体"/>
          <w:sz w:val="21"/>
        </w:rPr>
        <w:t xml:space="preserve">同一规范多版本并存</w:t>
      </w:r>
      <w:r>
        <w:rPr>
          <w:rFonts w:ascii="Times New Roman" w:eastAsia="宋体"/>
          <w:sz w:val="21"/>
        </w:rPr>
        <w:t xml:space="preserve">的情况：公共建筑节能设计标准在本章与暖通章分别引用了国家版本与两个不同的地方版本，建筑照明设计标准在本章与强电章分别引用了两个不同年份的版本，采暖通风与空气调节设计规范亦与暖通章引用的现行版本不一致。上述版本冲突已登记为待审事项。</w:t>
      </w:r>
    </w:p>
    <w:p>
      <w:pPr>
        <w:ind w:left="420"/>
      </w:pPr>
      <w:r>
        <w:rPr>
          <w:b/>
          <w:rFonts w:ascii="Times New Roman" w:eastAsia="宋体"/>
          <w:sz w:val="21"/>
        </w:rPr>
        <w:t xml:space="preserve">⚠ 待审</w:t>
      </w:r>
      <w:r>
        <w:rPr>
          <w:rFonts w:ascii="Times New Roman" w:eastAsia="宋体"/>
          <w:sz w:val="21"/>
        </w:rPr>
        <w:t xml:space="preserve">：公共建筑节能设计标准 · 引用版本 在报告不同章节取值不一致，现并列呈现为 </w:t>
      </w:r>
      <w:r>
        <w:rPr>
          <w:b/>
          <w:rFonts w:ascii="Times New Roman" w:eastAsia="宋体"/>
          <w:sz w:val="21"/>
        </w:rPr>
        <w:t xml:space="preserve">DGJ08-107-2012 / DGJ08-107-2015 / GB50189-2005</w:t>
      </w:r>
      <w:r>
        <w:rPr>
          <w:rFonts w:ascii="Times New Roman" w:eastAsia="宋体"/>
          <w:sz w:val="21"/>
        </w:rPr>
        <w:t xml:space="preserve">。本稿不判断哪一个正确，也不取其一；须由建设单位与编制单位核实后统一口径。</w:t>
      </w:r>
    </w:p>
    <w:p>
      <w:pPr>
        <w:ind w:left="420"/>
      </w:pPr>
      <w:r>
        <w:rPr>
          <w:b/>
          <w:rFonts w:ascii="Times New Roman" w:eastAsia="宋体"/>
          <w:sz w:val="21"/>
        </w:rPr>
        <w:t xml:space="preserve">⚠ 待审</w:t>
      </w:r>
      <w:r>
        <w:rPr>
          <w:rFonts w:ascii="Times New Roman" w:eastAsia="宋体"/>
          <w:sz w:val="21"/>
        </w:rPr>
        <w:t xml:space="preserve">：建筑照明设计标准 · 引用版本 在报告不同章节取值不一致，现并列呈现为 </w:t>
      </w:r>
      <w:r>
        <w:rPr>
          <w:b/>
          <w:rFonts w:ascii="Times New Roman" w:eastAsia="宋体"/>
          <w:sz w:val="21"/>
        </w:rPr>
        <w:t xml:space="preserve">GB50034-2004 / GB50034-2013</w:t>
      </w:r>
      <w:r>
        <w:rPr>
          <w:rFonts w:ascii="Times New Roman" w:eastAsia="宋体"/>
          <w:sz w:val="21"/>
        </w:rPr>
        <w:t xml:space="preserve">。本稿不判断哪一个正确，也不取其一；须由建设单位与编制单位核实后统一口径。</w:t>
      </w:r>
    </w:p>
    <w:p>
      <w:pPr>
        <w:ind w:left="420"/>
      </w:pPr>
      <w:r>
        <w:rPr>
          <w:b/>
          <w:rFonts w:ascii="Times New Roman" w:eastAsia="宋体"/>
          <w:sz w:val="21"/>
        </w:rPr>
        <w:t xml:space="preserve">处理原则</w:t>
      </w:r>
      <w:r>
        <w:rPr>
          <w:rFonts w:ascii="Times New Roman" w:eastAsia="宋体"/>
          <w:sz w:val="21"/>
        </w:rPr>
        <w:t xml:space="preserve">：规范版本属</w:t>
      </w:r>
      <w:r>
        <w:rPr>
          <w:b/>
          <w:rFonts w:ascii="Times New Roman" w:eastAsia="宋体"/>
          <w:sz w:val="21"/>
        </w:rPr>
        <w:t xml:space="preserve">软约束</w:t>
      </w:r>
      <w:r>
        <w:rPr>
          <w:rFonts w:ascii="Times New Roman" w:eastAsia="宋体"/>
          <w:sz w:val="21"/>
        </w:rPr>
        <w:t xml:space="preserve">——被新证据替换不属于「冲突裁决」，而应直接按现行有效版本替换并留痕；但替换后必须重跑派生（如节能判定结论）。</w:t>
      </w:r>
      <w:r>
        <w:rPr>
          <w:b/>
          <w:rFonts w:ascii="Times New Roman" w:eastAsia="宋体"/>
          <w:sz w:val="21"/>
        </w:rPr>
        <w:t xml:space="preserve">agent 不臆断任何规范的现行状态</w:t>
      </w:r>
      <w:r>
        <w:rPr>
          <w:rFonts w:ascii="Times New Roman" w:eastAsia="宋体"/>
          <w:sz w:val="21"/>
        </w:rPr>
        <w:t xml:space="preserve">：本稿只并列呈现版本，具体以官方发布口径为准。</w:t>
      </w:r>
    </w:p>
    <w:p>
      <w:pPr>
        <w:pStyle w:val="Heading2"/>
      </w:pPr>
      <w:r>
        <w:rPr>
          <w:rFonts w:ascii="Times New Roman" w:eastAsia="宋体"/>
          <w:sz w:val="21"/>
        </w:rPr>
        <w:t xml:space="preserve">7.2　能耗状况和能耗指标分析</w:t>
      </w:r>
    </w:p>
    <w:p>
      <w:pPr>
        <w:pStyle w:val="Heading3"/>
      </w:pPr>
      <w:r>
        <w:rPr>
          <w:rFonts w:ascii="Times New Roman" w:eastAsia="宋体"/>
          <w:sz w:val="21"/>
        </w:rPr>
        <w:t xml:space="preserve">7.2.1　用能种类与供应情况</w:t>
      </w:r>
    </w:p>
    <w:p>
      <w:pPr/>
      <w:r>
        <w:rPr>
          <w:rFonts w:ascii="Times New Roman" w:eastAsia="宋体"/>
          <w:sz w:val="21"/>
        </w:rPr>
        <w:t xml:space="preserve">本项目在建设及运营过程中，能源消耗主要是电力和水。项目所在地供水、排水、供电等市政基础设施完善，所需能源供应充足，可以满足项目需求。</w:t>
      </w:r>
    </w:p>
    <w:p>
      <w:pPr>
        <w:pStyle w:val="Heading3"/>
      </w:pPr>
      <w:r>
        <w:rPr>
          <w:rFonts w:ascii="Times New Roman" w:eastAsia="宋体"/>
          <w:sz w:val="21"/>
        </w:rPr>
        <w:t xml:space="preserve">7.2.2　用水量计算</w:t>
      </w:r>
    </w:p>
    <w:p>
      <w:pPr/>
      <w:r>
        <w:rPr>
          <w:rFonts w:ascii="Times New Roman" w:eastAsia="宋体"/>
          <w:sz w:val="21"/>
        </w:rPr>
        <w:t xml:space="preserve">项目用水主要包括学生、教师的生活用水，不可预计用水量按总用水量的 10% 计算。年用水量计算如下表。</w:t>
      </w:r>
    </w:p>
    <w:p>
      <w:pPr/>
      <w:r>
        <w:rPr>
          <w:b/>
          <w:rFonts w:ascii="Times New Roman" w:eastAsia="宋体"/>
          <w:sz w:val="21"/>
        </w:rPr>
        <w:t xml:space="preserve">表7-1 年用水量汇总表</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主题</w:t>
            </w:r>
          </w:p>
        </w:tc>
        <w:tc>
          <w:tcPr>
            <w:tcW w:w="0" w:type="auto"/>
          </w:tcPr>
          <w:p>
            <w:pPr/>
            <w:r>
              <w:rPr>
                <w:b/>
                <w:rFonts w:ascii="Times New Roman" w:eastAsia="宋体"/>
                <w:sz w:val="21"/>
              </w:rPr>
              <w:t xml:space="preserve">属性</w:t>
            </w:r>
          </w:p>
        </w:tc>
        <w:tc>
          <w:tcPr>
            <w:tcW w:w="0" w:type="auto"/>
          </w:tcPr>
          <w:p>
            <w:pPr/>
            <w:r>
              <w:rPr>
                <w:b/>
                <w:rFonts w:ascii="Times New Roman" w:eastAsia="宋体"/>
                <w:sz w:val="21"/>
              </w:rPr>
              <w:t xml:space="preserve">值</w:t>
            </w:r>
          </w:p>
        </w:tc>
        <w:tc>
          <w:tcPr>
            <w:tcW w:w="0" w:type="auto"/>
          </w:tcPr>
          <w:p>
            <w:pPr/>
            <w:r>
              <w:rPr>
                <w:b/>
                <w:rFonts w:ascii="Times New Roman" w:eastAsia="宋体"/>
                <w:sz w:val="21"/>
              </w:rPr>
              <w:t xml:space="preserve">单位</w:t>
            </w:r>
          </w:p>
        </w:tc>
      </w:tr>
      <w:tr>
        <w:tc>
          <w:tcPr>
            <w:tcW w:w="0" w:type="auto"/>
          </w:tcPr>
          <w:p>
            <w:pPr/>
            <w:r>
              <w:rPr>
                <w:rFonts w:ascii="Times New Roman" w:eastAsia="宋体"/>
                <w:sz w:val="21"/>
              </w:rPr>
              <w:t xml:space="preserve">公共配套服务用房</w:t>
            </w:r>
          </w:p>
        </w:tc>
        <w:tc>
          <w:tcPr>
            <w:tcW w:w="0" w:type="auto"/>
          </w:tcPr>
          <w:p>
            <w:pPr/>
            <w:r>
              <w:rPr>
                <w:rFonts w:ascii="Times New Roman" w:eastAsia="宋体"/>
                <w:sz w:val="21"/>
              </w:rPr>
              <w:t xml:space="preserve">同时使用系数</w:t>
            </w:r>
          </w:p>
        </w:tc>
        <w:tc>
          <w:tcPr>
            <w:tcW w:w="0" w:type="auto"/>
          </w:tcPr>
          <w:p>
            <w:pPr/>
            <w:r>
              <w:rPr>
                <w:rFonts w:ascii="Times New Roman" w:eastAsia="宋体"/>
                <w:sz w:val="21"/>
              </w:rPr>
              <w:t xml:space="preserve">0.5</w:t>
            </w:r>
          </w:p>
        </w:tc>
        <w:tc>
          <w:tcPr>
            <w:tcW w:w="0" w:type="auto"/>
          </w:tcPr>
          <w:p>
            <w:pPr/>
            <w:r>
              <w:rPr>
                <w:rFonts w:ascii="Times New Roman" w:eastAsia="宋体"/>
                <w:sz w:val="21"/>
              </w:rPr>
              <w:t xml:space="preserve">-</w:t>
            </w:r>
          </w:p>
        </w:tc>
      </w:tr>
      <w:tr>
        <w:tc>
          <w:tcPr>
            <w:tcW w:w="0" w:type="auto"/>
          </w:tcPr>
          <w:p>
            <w:pPr/>
            <w:r>
              <w:rPr>
                <w:rFonts w:ascii="Times New Roman" w:eastAsia="宋体"/>
                <w:sz w:val="21"/>
              </w:rPr>
              <w:t xml:space="preserve">公共配套服务用房</w:t>
            </w:r>
          </w:p>
        </w:tc>
        <w:tc>
          <w:tcPr>
            <w:tcW w:w="0" w:type="auto"/>
          </w:tcPr>
          <w:p>
            <w:pPr/>
            <w:r>
              <w:rPr>
                <w:rFonts w:ascii="Times New Roman" w:eastAsia="宋体"/>
                <w:sz w:val="21"/>
              </w:rPr>
              <w:t xml:space="preserve">实体名</w:t>
            </w:r>
          </w:p>
        </w:tc>
        <w:tc>
          <w:tcPr>
            <w:tcW w:w="0" w:type="auto"/>
          </w:tcPr>
          <w:p>
            <w:pPr/>
            <w:r>
              <w:rPr>
                <w:rFonts w:ascii="Times New Roman" w:eastAsia="宋体"/>
                <w:sz w:val="21"/>
              </w:rPr>
              <w:t xml:space="preserve">公共配套服务用房</w:t>
            </w:r>
          </w:p>
        </w:tc>
        <w:tc>
          <w:tcPr>
            <w:tcW w:w="0" w:type="auto"/>
          </w:tcPr>
          <w:p>
            <w:pPr/>
            <w:r>
              <w:t xml:space="preserve"/>
            </w:r>
          </w:p>
        </w:tc>
      </w:tr>
      <w:tr>
        <w:tc>
          <w:tcPr>
            <w:tcW w:w="0" w:type="auto"/>
          </w:tcPr>
          <w:p>
            <w:pPr/>
            <w:r>
              <w:rPr>
                <w:rFonts w:ascii="Times New Roman" w:eastAsia="宋体"/>
                <w:sz w:val="21"/>
              </w:rPr>
              <w:t xml:space="preserve">公共配套服务用房</w:t>
            </w:r>
          </w:p>
        </w:tc>
        <w:tc>
          <w:tcPr>
            <w:tcW w:w="0" w:type="auto"/>
          </w:tcPr>
          <w:p>
            <w:pPr/>
            <w:r>
              <w:rPr>
                <w:rFonts w:ascii="Times New Roman" w:eastAsia="宋体"/>
                <w:sz w:val="21"/>
              </w:rPr>
              <w:t xml:space="preserve">用电指标</w:t>
            </w:r>
          </w:p>
        </w:tc>
        <w:tc>
          <w:tcPr>
            <w:tcW w:w="0" w:type="auto"/>
          </w:tcPr>
          <w:p>
            <w:pPr/>
            <w:r>
              <w:rPr>
                <w:rFonts w:ascii="Times New Roman" w:eastAsia="宋体"/>
                <w:sz w:val="21"/>
              </w:rPr>
              <w:t xml:space="preserve">60</w:t>
            </w:r>
          </w:p>
        </w:tc>
        <w:tc>
          <w:tcPr>
            <w:tcW w:w="0" w:type="auto"/>
          </w:tcPr>
          <w:p>
            <w:pPr/>
            <w:r>
              <w:rPr>
                <w:rFonts w:ascii="Times New Roman" w:eastAsia="宋体"/>
                <w:sz w:val="21"/>
              </w:rPr>
              <w:t xml:space="preserve">W/㎡</w:t>
            </w:r>
          </w:p>
        </w:tc>
      </w:tr>
      <w:tr>
        <w:tc>
          <w:tcPr>
            <w:tcW w:w="0" w:type="auto"/>
          </w:tcPr>
          <w:p>
            <w:pPr/>
            <w:r>
              <w:rPr>
                <w:rFonts w:ascii="Times New Roman" w:eastAsia="宋体"/>
                <w:sz w:val="21"/>
              </w:rPr>
              <w:t xml:space="preserve">公共配套服务用房</w:t>
            </w:r>
          </w:p>
        </w:tc>
        <w:tc>
          <w:tcPr>
            <w:tcW w:w="0" w:type="auto"/>
          </w:tcPr>
          <w:p>
            <w:pPr/>
            <w:r>
              <w:rPr>
                <w:rFonts w:ascii="Times New Roman" w:eastAsia="宋体"/>
                <w:sz w:val="21"/>
              </w:rPr>
              <w:t xml:space="preserve">用电面积</w:t>
            </w:r>
          </w:p>
        </w:tc>
        <w:tc>
          <w:tcPr>
            <w:tcW w:w="0" w:type="auto"/>
          </w:tcPr>
          <w:p>
            <w:pPr/>
            <w:r>
              <w:rPr>
                <w:rFonts w:ascii="Times New Roman" w:eastAsia="宋体"/>
                <w:sz w:val="21"/>
              </w:rPr>
              <w:t xml:space="preserve">2182</w:t>
            </w:r>
          </w:p>
        </w:tc>
        <w:tc>
          <w:tcPr>
            <w:tcW w:w="0" w:type="auto"/>
          </w:tcPr>
          <w:p>
            <w:pPr/>
            <w:r>
              <w:rPr>
                <w:rFonts w:ascii="Times New Roman" w:eastAsia="宋体"/>
                <w:sz w:val="21"/>
              </w:rPr>
              <w:t xml:space="preserve">㎡</w:t>
            </w:r>
          </w:p>
        </w:tc>
      </w:tr>
      <w:tr>
        <w:tc>
          <w:tcPr>
            <w:tcW w:w="0" w:type="auto"/>
          </w:tcPr>
          <w:p>
            <w:pPr/>
            <w:r>
              <w:rPr>
                <w:rFonts w:ascii="Times New Roman" w:eastAsia="宋体"/>
                <w:sz w:val="21"/>
              </w:rPr>
              <w:t xml:space="preserve">公共配套服务用房</w:t>
            </w:r>
          </w:p>
        </w:tc>
        <w:tc>
          <w:tcPr>
            <w:tcW w:w="0" w:type="auto"/>
          </w:tcPr>
          <w:p>
            <w:pPr/>
            <w:r>
              <w:rPr>
                <w:rFonts w:ascii="Times New Roman" w:eastAsia="宋体"/>
                <w:sz w:val="21"/>
              </w:rPr>
              <w:t xml:space="preserve">需要系数</w:t>
            </w:r>
          </w:p>
        </w:tc>
        <w:tc>
          <w:tcPr>
            <w:tcW w:w="0" w:type="auto"/>
          </w:tcPr>
          <w:p>
            <w:pPr/>
            <w:r>
              <w:rPr>
                <w:rFonts w:ascii="Times New Roman" w:eastAsia="宋体"/>
                <w:sz w:val="21"/>
              </w:rPr>
              <w:t xml:space="preserve">0.6</w:t>
            </w:r>
          </w:p>
        </w:tc>
        <w:tc>
          <w:tcPr>
            <w:tcW w:w="0" w:type="auto"/>
          </w:tcPr>
          <w:p>
            <w:pPr/>
            <w:r>
              <w:rPr>
                <w:rFonts w:ascii="Times New Roman" w:eastAsia="宋体"/>
                <w:sz w:val="21"/>
              </w:rPr>
              <w:t xml:space="preserve">-</w:t>
            </w:r>
          </w:p>
        </w:tc>
      </w:tr>
      <w:tr>
        <w:tc>
          <w:tcPr>
            <w:tcW w:w="0" w:type="auto"/>
          </w:tcPr>
          <w:p>
            <w:pPr/>
            <w:r>
              <w:rPr>
                <w:rFonts w:ascii="Times New Roman" w:eastAsia="宋体"/>
                <w:sz w:val="21"/>
              </w:rPr>
              <w:t xml:space="preserve">学生用水</w:t>
            </w:r>
          </w:p>
        </w:tc>
        <w:tc>
          <w:tcPr>
            <w:tcW w:w="0" w:type="auto"/>
          </w:tcPr>
          <w:p>
            <w:pPr/>
            <w:r>
              <w:rPr>
                <w:rFonts w:ascii="Times New Roman" w:eastAsia="宋体"/>
                <w:sz w:val="21"/>
              </w:rPr>
              <w:t xml:space="preserve">实体名</w:t>
            </w:r>
          </w:p>
        </w:tc>
        <w:tc>
          <w:tcPr>
            <w:tcW w:w="0" w:type="auto"/>
          </w:tcPr>
          <w:p>
            <w:pPr/>
            <w:r>
              <w:rPr>
                <w:rFonts w:ascii="Times New Roman" w:eastAsia="宋体"/>
                <w:sz w:val="21"/>
              </w:rPr>
              <w:t xml:space="preserve">学生用水</w:t>
            </w:r>
          </w:p>
        </w:tc>
        <w:tc>
          <w:tcPr>
            <w:tcW w:w="0" w:type="auto"/>
          </w:tcPr>
          <w:p>
            <w:pPr/>
            <w:r>
              <w:t xml:space="preserve"/>
            </w:r>
          </w:p>
        </w:tc>
      </w:tr>
      <w:tr>
        <w:tc>
          <w:tcPr>
            <w:tcW w:w="0" w:type="auto"/>
          </w:tcPr>
          <w:p>
            <w:pPr/>
            <w:r>
              <w:rPr>
                <w:rFonts w:ascii="Times New Roman" w:eastAsia="宋体"/>
                <w:sz w:val="21"/>
              </w:rPr>
              <w:t xml:space="preserve">学生用水</w:t>
            </w:r>
          </w:p>
        </w:tc>
        <w:tc>
          <w:tcPr>
            <w:tcW w:w="0" w:type="auto"/>
          </w:tcPr>
          <w:p>
            <w:pPr/>
            <w:r>
              <w:rPr>
                <w:rFonts w:ascii="Times New Roman" w:eastAsia="宋体"/>
                <w:sz w:val="21"/>
              </w:rPr>
              <w:t xml:space="preserve">日用水量</w:t>
            </w:r>
          </w:p>
        </w:tc>
        <w:tc>
          <w:tcPr>
            <w:tcW w:w="0" w:type="auto"/>
          </w:tcPr>
          <w:p>
            <w:pPr/>
            <w:r>
              <w:rPr>
                <w:rFonts w:ascii="Times New Roman" w:eastAsia="宋体"/>
                <w:sz w:val="21"/>
              </w:rPr>
              <w:t xml:space="preserve">72.0</w:t>
            </w:r>
          </w:p>
        </w:tc>
        <w:tc>
          <w:tcPr>
            <w:tcW w:w="0" w:type="auto"/>
          </w:tcPr>
          <w:p>
            <w:pPr/>
            <w:r>
              <w:rPr>
                <w:rFonts w:ascii="Times New Roman" w:eastAsia="宋体"/>
                <w:sz w:val="21"/>
              </w:rPr>
              <w:t xml:space="preserve">m³/d</w:t>
            </w:r>
          </w:p>
        </w:tc>
      </w:tr>
      <w:tr>
        <w:tc>
          <w:tcPr>
            <w:tcW w:w="0" w:type="auto"/>
          </w:tcPr>
          <w:p>
            <w:pPr/>
            <w:r>
              <w:rPr>
                <w:rFonts w:ascii="Times New Roman" w:eastAsia="宋体"/>
                <w:sz w:val="21"/>
              </w:rPr>
              <w:t xml:space="preserve">学生用水</w:t>
            </w:r>
          </w:p>
        </w:tc>
        <w:tc>
          <w:tcPr>
            <w:tcW w:w="0" w:type="auto"/>
          </w:tcPr>
          <w:p>
            <w:pPr/>
            <w:r>
              <w:rPr>
                <w:rFonts w:ascii="Times New Roman" w:eastAsia="宋体"/>
                <w:sz w:val="21"/>
              </w:rPr>
              <w:t xml:space="preserve">用水人数</w:t>
            </w:r>
          </w:p>
        </w:tc>
        <w:tc>
          <w:tcPr>
            <w:tcW w:w="0" w:type="auto"/>
          </w:tcPr>
          <w:p>
            <w:pPr/>
            <w:r>
              <w:rPr>
                <w:rFonts w:ascii="Times New Roman" w:eastAsia="宋体"/>
                <w:sz w:val="21"/>
              </w:rPr>
              <w:t xml:space="preserve">1800</w:t>
            </w:r>
          </w:p>
        </w:tc>
        <w:tc>
          <w:tcPr>
            <w:tcW w:w="0" w:type="auto"/>
          </w:tcPr>
          <w:p>
            <w:pPr/>
            <w:r>
              <w:rPr>
                <w:rFonts w:ascii="Times New Roman" w:eastAsia="宋体"/>
                <w:sz w:val="21"/>
              </w:rPr>
              <w:t xml:space="preserve">人</w:t>
            </w:r>
          </w:p>
        </w:tc>
      </w:tr>
      <w:tr>
        <w:tc>
          <w:tcPr>
            <w:tcW w:w="0" w:type="auto"/>
          </w:tcPr>
          <w:p>
            <w:pPr/>
            <w:r>
              <w:rPr>
                <w:rFonts w:ascii="Times New Roman" w:eastAsia="宋体"/>
                <w:sz w:val="21"/>
              </w:rPr>
              <w:t xml:space="preserve">学生用水</w:t>
            </w:r>
          </w:p>
        </w:tc>
        <w:tc>
          <w:tcPr>
            <w:tcW w:w="0" w:type="auto"/>
          </w:tcPr>
          <w:p>
            <w:pPr/>
            <w:r>
              <w:rPr>
                <w:rFonts w:ascii="Times New Roman" w:eastAsia="宋体"/>
                <w:sz w:val="21"/>
              </w:rPr>
              <w:t xml:space="preserve">用水定额</w:t>
            </w:r>
          </w:p>
        </w:tc>
        <w:tc>
          <w:tcPr>
            <w:tcW w:w="0" w:type="auto"/>
          </w:tcPr>
          <w:p>
            <w:pPr/>
            <w:r>
              <w:rPr>
                <w:rFonts w:ascii="Times New Roman" w:eastAsia="宋体"/>
                <w:sz w:val="21"/>
              </w:rPr>
              <w:t xml:space="preserve">40</w:t>
            </w:r>
          </w:p>
        </w:tc>
        <w:tc>
          <w:tcPr>
            <w:tcW w:w="0" w:type="auto"/>
          </w:tcPr>
          <w:p>
            <w:pPr/>
            <w:r>
              <w:rPr>
                <w:rFonts w:ascii="Times New Roman" w:eastAsia="宋体"/>
                <w:sz w:val="21"/>
              </w:rPr>
              <w:t xml:space="preserve">L/人·d</w:t>
            </w:r>
          </w:p>
        </w:tc>
      </w:tr>
      <w:tr>
        <w:tc>
          <w:tcPr>
            <w:tcW w:w="0" w:type="auto"/>
          </w:tcPr>
          <w:p>
            <w:pPr/>
            <w:r>
              <w:rPr>
                <w:rFonts w:ascii="Times New Roman" w:eastAsia="宋体"/>
                <w:sz w:val="21"/>
              </w:rPr>
              <w:t xml:space="preserve">教师用水</w:t>
            </w:r>
          </w:p>
        </w:tc>
        <w:tc>
          <w:tcPr>
            <w:tcW w:w="0" w:type="auto"/>
          </w:tcPr>
          <w:p>
            <w:pPr/>
            <w:r>
              <w:rPr>
                <w:rFonts w:ascii="Times New Roman" w:eastAsia="宋体"/>
                <w:sz w:val="21"/>
              </w:rPr>
              <w:t xml:space="preserve">实体名</w:t>
            </w:r>
          </w:p>
        </w:tc>
        <w:tc>
          <w:tcPr>
            <w:tcW w:w="0" w:type="auto"/>
          </w:tcPr>
          <w:p>
            <w:pPr/>
            <w:r>
              <w:rPr>
                <w:rFonts w:ascii="Times New Roman" w:eastAsia="宋体"/>
                <w:sz w:val="21"/>
              </w:rPr>
              <w:t xml:space="preserve">教师用水</w:t>
            </w:r>
          </w:p>
        </w:tc>
        <w:tc>
          <w:tcPr>
            <w:tcW w:w="0" w:type="auto"/>
          </w:tcPr>
          <w:p>
            <w:pPr/>
            <w:r>
              <w:t xml:space="preserve"/>
            </w:r>
          </w:p>
        </w:tc>
      </w:tr>
      <w:tr>
        <w:tc>
          <w:tcPr>
            <w:tcW w:w="0" w:type="auto"/>
          </w:tcPr>
          <w:p>
            <w:pPr/>
            <w:r>
              <w:rPr>
                <w:rFonts w:ascii="Times New Roman" w:eastAsia="宋体"/>
                <w:sz w:val="21"/>
              </w:rPr>
              <w:t xml:space="preserve">教师用水</w:t>
            </w:r>
          </w:p>
        </w:tc>
        <w:tc>
          <w:tcPr>
            <w:tcW w:w="0" w:type="auto"/>
          </w:tcPr>
          <w:p>
            <w:pPr/>
            <w:r>
              <w:rPr>
                <w:rFonts w:ascii="Times New Roman" w:eastAsia="宋体"/>
                <w:sz w:val="21"/>
              </w:rPr>
              <w:t xml:space="preserve">日用水量</w:t>
            </w:r>
          </w:p>
        </w:tc>
        <w:tc>
          <w:tcPr>
            <w:tcW w:w="0" w:type="auto"/>
          </w:tcPr>
          <w:p>
            <w:pPr/>
            <w:r>
              <w:rPr>
                <w:rFonts w:ascii="Times New Roman" w:eastAsia="宋体"/>
                <w:sz w:val="21"/>
              </w:rPr>
              <w:t xml:space="preserve">10.1</w:t>
            </w:r>
          </w:p>
        </w:tc>
        <w:tc>
          <w:tcPr>
            <w:tcW w:w="0" w:type="auto"/>
          </w:tcPr>
          <w:p>
            <w:pPr/>
            <w:r>
              <w:rPr>
                <w:rFonts w:ascii="Times New Roman" w:eastAsia="宋体"/>
                <w:sz w:val="21"/>
              </w:rPr>
              <w:t xml:space="preserve">m³/d</w:t>
            </w:r>
          </w:p>
        </w:tc>
      </w:tr>
      <w:tr>
        <w:tc>
          <w:tcPr>
            <w:tcW w:w="0" w:type="auto"/>
          </w:tcPr>
          <w:p>
            <w:pPr/>
            <w:r>
              <w:rPr>
                <w:rFonts w:ascii="Times New Roman" w:eastAsia="宋体"/>
                <w:sz w:val="21"/>
              </w:rPr>
              <w:t xml:space="preserve">教师用水</w:t>
            </w:r>
          </w:p>
        </w:tc>
        <w:tc>
          <w:tcPr>
            <w:tcW w:w="0" w:type="auto"/>
          </w:tcPr>
          <w:p>
            <w:pPr/>
            <w:r>
              <w:rPr>
                <w:rFonts w:ascii="Times New Roman" w:eastAsia="宋体"/>
                <w:sz w:val="21"/>
              </w:rPr>
              <w:t xml:space="preserve">用水人数</w:t>
            </w:r>
          </w:p>
        </w:tc>
        <w:tc>
          <w:tcPr>
            <w:tcW w:w="0" w:type="auto"/>
          </w:tcPr>
          <w:p>
            <w:pPr/>
            <w:r>
              <w:rPr>
                <w:rFonts w:ascii="Times New Roman" w:eastAsia="宋体"/>
                <w:sz w:val="21"/>
              </w:rPr>
              <w:t xml:space="preserve">288</w:t>
            </w:r>
          </w:p>
        </w:tc>
        <w:tc>
          <w:tcPr>
            <w:tcW w:w="0" w:type="auto"/>
          </w:tcPr>
          <w:p>
            <w:pPr/>
            <w:r>
              <w:rPr>
                <w:rFonts w:ascii="Times New Roman" w:eastAsia="宋体"/>
                <w:sz w:val="21"/>
              </w:rPr>
              <w:t xml:space="preserve">人</w:t>
            </w:r>
          </w:p>
        </w:tc>
      </w:tr>
      <w:tr>
        <w:tc>
          <w:tcPr>
            <w:tcW w:w="0" w:type="auto"/>
          </w:tcPr>
          <w:p>
            <w:pPr/>
            <w:r>
              <w:rPr>
                <w:rFonts w:ascii="Times New Roman" w:eastAsia="宋体"/>
                <w:sz w:val="21"/>
              </w:rPr>
              <w:t xml:space="preserve">教师用水</w:t>
            </w:r>
          </w:p>
        </w:tc>
        <w:tc>
          <w:tcPr>
            <w:tcW w:w="0" w:type="auto"/>
          </w:tcPr>
          <w:p>
            <w:pPr/>
            <w:r>
              <w:rPr>
                <w:rFonts w:ascii="Times New Roman" w:eastAsia="宋体"/>
                <w:sz w:val="21"/>
              </w:rPr>
              <w:t xml:space="preserve">用水定额</w:t>
            </w:r>
          </w:p>
        </w:tc>
        <w:tc>
          <w:tcPr>
            <w:tcW w:w="0" w:type="auto"/>
          </w:tcPr>
          <w:p>
            <w:pPr/>
            <w:r>
              <w:rPr>
                <w:rFonts w:ascii="Times New Roman" w:eastAsia="宋体"/>
                <w:sz w:val="21"/>
              </w:rPr>
              <w:t xml:space="preserve">35</w:t>
            </w:r>
          </w:p>
        </w:tc>
        <w:tc>
          <w:tcPr>
            <w:tcW w:w="0" w:type="auto"/>
          </w:tcPr>
          <w:p>
            <w:pPr/>
            <w:r>
              <w:rPr>
                <w:rFonts w:ascii="Times New Roman" w:eastAsia="宋体"/>
                <w:sz w:val="21"/>
              </w:rPr>
              <w:t xml:space="preserve">L/人·d</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单位建筑面积电耗</w:t>
            </w:r>
          </w:p>
        </w:tc>
        <w:tc>
          <w:tcPr>
            <w:tcW w:w="0" w:type="auto"/>
          </w:tcPr>
          <w:p>
            <w:pPr/>
            <w:r>
              <w:rPr>
                <w:rFonts w:ascii="Times New Roman" w:eastAsia="宋体"/>
                <w:sz w:val="21"/>
              </w:rPr>
              <w:t xml:space="preserve">39.30</w:t>
            </w:r>
          </w:p>
        </w:tc>
        <w:tc>
          <w:tcPr>
            <w:tcW w:w="0" w:type="auto"/>
          </w:tcPr>
          <w:p>
            <w:pPr/>
            <w:r>
              <w:rPr>
                <w:rFonts w:ascii="Times New Roman" w:eastAsia="宋体"/>
                <w:sz w:val="21"/>
              </w:rPr>
              <w:t xml:space="preserve">kW·h/㎡</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单位面积综合能耗（当量值）</w:t>
            </w:r>
          </w:p>
        </w:tc>
        <w:tc>
          <w:tcPr>
            <w:tcW w:w="0" w:type="auto"/>
          </w:tcPr>
          <w:p>
            <w:pPr/>
            <w:r>
              <w:rPr>
                <w:rFonts w:ascii="Times New Roman" w:eastAsia="宋体"/>
                <w:sz w:val="21"/>
              </w:rPr>
              <w:t xml:space="preserve">4.91</w:t>
            </w:r>
          </w:p>
        </w:tc>
        <w:tc>
          <w:tcPr>
            <w:tcW w:w="0" w:type="auto"/>
          </w:tcPr>
          <w:p>
            <w:pPr/>
            <w:r>
              <w:rPr>
                <w:rFonts w:ascii="Times New Roman" w:eastAsia="宋体"/>
                <w:sz w:val="21"/>
              </w:rPr>
              <w:t xml:space="preserve">kgce/㎡</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单位面积综合能耗（等价值）</w:t>
            </w:r>
          </w:p>
        </w:tc>
        <w:tc>
          <w:tcPr>
            <w:tcW w:w="0" w:type="auto"/>
          </w:tcPr>
          <w:p>
            <w:pPr/>
            <w:r>
              <w:rPr>
                <w:rFonts w:ascii="Times New Roman" w:eastAsia="宋体"/>
                <w:sz w:val="21"/>
              </w:rPr>
              <w:t xml:space="preserve">11.87</w:t>
            </w:r>
          </w:p>
        </w:tc>
        <w:tc>
          <w:tcPr>
            <w:tcW w:w="0" w:type="auto"/>
          </w:tcPr>
          <w:p>
            <w:pPr/>
            <w:r>
              <w:rPr>
                <w:rFonts w:ascii="Times New Roman" w:eastAsia="宋体"/>
                <w:sz w:val="21"/>
              </w:rPr>
              <w:t xml:space="preserve">kgce/㎡</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年工作天数</w:t>
            </w:r>
          </w:p>
        </w:tc>
        <w:tc>
          <w:tcPr>
            <w:tcW w:w="0" w:type="auto"/>
          </w:tcPr>
          <w:p>
            <w:pPr/>
            <w:r>
              <w:rPr>
                <w:rFonts w:ascii="Times New Roman" w:eastAsia="宋体"/>
                <w:sz w:val="21"/>
              </w:rPr>
              <w:t xml:space="preserve">193</w:t>
            </w:r>
          </w:p>
        </w:tc>
        <w:tc>
          <w:tcPr>
            <w:tcW w:w="0" w:type="auto"/>
          </w:tcPr>
          <w:p>
            <w:pPr/>
            <w:r>
              <w:rPr>
                <w:rFonts w:ascii="Times New Roman" w:eastAsia="宋体"/>
                <w:sz w:val="21"/>
              </w:rPr>
              <w:t xml:space="preserve">d</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年总用水量</w:t>
            </w:r>
          </w:p>
        </w:tc>
        <w:tc>
          <w:tcPr>
            <w:tcW w:w="0" w:type="auto"/>
          </w:tcPr>
          <w:p>
            <w:pPr/>
            <w:r>
              <w:rPr>
                <w:rFonts w:ascii="Times New Roman" w:eastAsia="宋体"/>
                <w:sz w:val="21"/>
              </w:rPr>
              <w:t xml:space="preserve">1.74</w:t>
            </w:r>
          </w:p>
        </w:tc>
        <w:tc>
          <w:tcPr>
            <w:tcW w:w="0" w:type="auto"/>
          </w:tcPr>
          <w:p>
            <w:pPr/>
            <w:r>
              <w:rPr>
                <w:rFonts w:ascii="Times New Roman" w:eastAsia="宋体"/>
                <w:sz w:val="21"/>
              </w:rPr>
              <w:t xml:space="preserve">万m³</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年总耗电量</w:t>
            </w:r>
          </w:p>
        </w:tc>
        <w:tc>
          <w:tcPr>
            <w:tcW w:w="0" w:type="auto"/>
          </w:tcPr>
          <w:p>
            <w:pPr/>
            <w:r>
              <w:rPr>
                <w:rFonts w:ascii="Times New Roman" w:eastAsia="宋体"/>
                <w:sz w:val="21"/>
              </w:rPr>
              <w:t xml:space="preserve">72</w:t>
            </w:r>
          </w:p>
        </w:tc>
        <w:tc>
          <w:tcPr>
            <w:tcW w:w="0" w:type="auto"/>
          </w:tcPr>
          <w:p>
            <w:pPr/>
            <w:r>
              <w:rPr>
                <w:rFonts w:ascii="Times New Roman" w:eastAsia="宋体"/>
                <w:sz w:val="21"/>
              </w:rPr>
              <w:t xml:space="preserve">万千瓦时</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日均工作小时数</w:t>
            </w:r>
          </w:p>
        </w:tc>
        <w:tc>
          <w:tcPr>
            <w:tcW w:w="0" w:type="auto"/>
          </w:tcPr>
          <w:p>
            <w:pPr/>
            <w:r>
              <w:rPr>
                <w:rFonts w:ascii="Times New Roman" w:eastAsia="宋体"/>
                <w:sz w:val="21"/>
              </w:rPr>
              <w:t xml:space="preserve">8</w:t>
            </w:r>
          </w:p>
        </w:tc>
        <w:tc>
          <w:tcPr>
            <w:tcW w:w="0" w:type="auto"/>
          </w:tcPr>
          <w:p>
            <w:pPr/>
            <w:r>
              <w:rPr>
                <w:rFonts w:ascii="Times New Roman" w:eastAsia="宋体"/>
                <w:sz w:val="21"/>
              </w:rPr>
              <w:t xml:space="preserve">h</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综合能耗（当量值）</w:t>
            </w:r>
          </w:p>
        </w:tc>
        <w:tc>
          <w:tcPr>
            <w:tcW w:w="0" w:type="auto"/>
          </w:tcPr>
          <w:p>
            <w:pPr/>
            <w:r>
              <w:rPr>
                <w:rFonts w:ascii="Times New Roman" w:eastAsia="宋体"/>
                <w:sz w:val="21"/>
              </w:rPr>
              <w:t xml:space="preserve">90</w:t>
            </w:r>
          </w:p>
        </w:tc>
        <w:tc>
          <w:tcPr>
            <w:tcW w:w="0" w:type="auto"/>
          </w:tcPr>
          <w:p>
            <w:pPr/>
            <w:r>
              <w:rPr>
                <w:rFonts w:ascii="Times New Roman" w:eastAsia="宋体"/>
                <w:sz w:val="21"/>
              </w:rPr>
              <w:t xml:space="preserve">tce</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综合能耗（等价值）</w:t>
            </w:r>
          </w:p>
        </w:tc>
        <w:tc>
          <w:tcPr>
            <w:tcW w:w="0" w:type="auto"/>
          </w:tcPr>
          <w:p>
            <w:pPr/>
            <w:r>
              <w:rPr>
                <w:rFonts w:ascii="Times New Roman" w:eastAsia="宋体"/>
                <w:sz w:val="21"/>
              </w:rPr>
              <w:t xml:space="preserve">218</w:t>
            </w:r>
          </w:p>
        </w:tc>
        <w:tc>
          <w:tcPr>
            <w:tcW w:w="0" w:type="auto"/>
          </w:tcPr>
          <w:p>
            <w:pPr/>
            <w:r>
              <w:rPr>
                <w:rFonts w:ascii="Times New Roman" w:eastAsia="宋体"/>
                <w:sz w:val="21"/>
              </w:rPr>
              <w:t xml:space="preserve">tce</w:t>
            </w:r>
          </w:p>
        </w:tc>
      </w:tr>
      <w:tr>
        <w:tc>
          <w:tcPr>
            <w:tcW w:w="0" w:type="auto"/>
          </w:tcPr>
          <w:p>
            <w:pPr/>
            <w:r>
              <w:rPr>
                <w:rFonts w:ascii="Times New Roman" w:eastAsia="宋体"/>
                <w:sz w:val="21"/>
              </w:rPr>
              <w:t xml:space="preserve">科研用房</w:t>
            </w:r>
          </w:p>
        </w:tc>
        <w:tc>
          <w:tcPr>
            <w:tcW w:w="0" w:type="auto"/>
          </w:tcPr>
          <w:p>
            <w:pPr/>
            <w:r>
              <w:rPr>
                <w:rFonts w:ascii="Times New Roman" w:eastAsia="宋体"/>
                <w:sz w:val="21"/>
              </w:rPr>
              <w:t xml:space="preserve">同时使用系数</w:t>
            </w:r>
          </w:p>
        </w:tc>
        <w:tc>
          <w:tcPr>
            <w:tcW w:w="0" w:type="auto"/>
          </w:tcPr>
          <w:p>
            <w:pPr/>
            <w:r>
              <w:rPr>
                <w:rFonts w:ascii="Times New Roman" w:eastAsia="宋体"/>
                <w:sz w:val="21"/>
              </w:rPr>
              <w:t xml:space="preserve">0.6</w:t>
            </w:r>
          </w:p>
        </w:tc>
        <w:tc>
          <w:tcPr>
            <w:tcW w:w="0" w:type="auto"/>
          </w:tcPr>
          <w:p>
            <w:pPr/>
            <w:r>
              <w:rPr>
                <w:rFonts w:ascii="Times New Roman" w:eastAsia="宋体"/>
                <w:sz w:val="21"/>
              </w:rPr>
              <w:t xml:space="preserve">-</w:t>
            </w:r>
          </w:p>
        </w:tc>
      </w:tr>
      <w:tr>
        <w:tc>
          <w:tcPr>
            <w:tcW w:w="0" w:type="auto"/>
          </w:tcPr>
          <w:p>
            <w:pPr/>
            <w:r>
              <w:rPr>
                <w:rFonts w:ascii="Times New Roman" w:eastAsia="宋体"/>
                <w:sz w:val="21"/>
              </w:rPr>
              <w:t xml:space="preserve">科研用房</w:t>
            </w:r>
          </w:p>
        </w:tc>
        <w:tc>
          <w:tcPr>
            <w:tcW w:w="0" w:type="auto"/>
          </w:tcPr>
          <w:p>
            <w:pPr/>
            <w:r>
              <w:rPr>
                <w:rFonts w:ascii="Times New Roman" w:eastAsia="宋体"/>
                <w:sz w:val="21"/>
              </w:rPr>
              <w:t xml:space="preserve">用电指标</w:t>
            </w:r>
          </w:p>
        </w:tc>
        <w:tc>
          <w:tcPr>
            <w:tcW w:w="0" w:type="auto"/>
          </w:tcPr>
          <w:p>
            <w:pPr/>
            <w:r>
              <w:rPr>
                <w:rFonts w:ascii="Times New Roman" w:eastAsia="宋体"/>
                <w:sz w:val="21"/>
              </w:rPr>
              <w:t xml:space="preserve">60</w:t>
            </w:r>
          </w:p>
        </w:tc>
        <w:tc>
          <w:tcPr>
            <w:tcW w:w="0" w:type="auto"/>
          </w:tcPr>
          <w:p>
            <w:pPr/>
            <w:r>
              <w:rPr>
                <w:rFonts w:ascii="Times New Roman" w:eastAsia="宋体"/>
                <w:sz w:val="21"/>
              </w:rPr>
              <w:t xml:space="preserve">W/㎡</w:t>
            </w:r>
          </w:p>
        </w:tc>
      </w:tr>
      <w:tr>
        <w:tc>
          <w:tcPr>
            <w:tcW w:w="0" w:type="auto"/>
          </w:tcPr>
          <w:p>
            <w:pPr/>
            <w:r>
              <w:rPr>
                <w:rFonts w:ascii="Times New Roman" w:eastAsia="宋体"/>
                <w:sz w:val="21"/>
              </w:rPr>
              <w:t xml:space="preserve">科研用房</w:t>
            </w:r>
          </w:p>
        </w:tc>
        <w:tc>
          <w:tcPr>
            <w:tcW w:w="0" w:type="auto"/>
          </w:tcPr>
          <w:p>
            <w:pPr/>
            <w:r>
              <w:rPr>
                <w:rFonts w:ascii="Times New Roman" w:eastAsia="宋体"/>
                <w:sz w:val="21"/>
              </w:rPr>
              <w:t xml:space="preserve">用电面积</w:t>
            </w:r>
          </w:p>
        </w:tc>
        <w:tc>
          <w:tcPr>
            <w:tcW w:w="0" w:type="auto"/>
          </w:tcPr>
          <w:p>
            <w:pPr/>
            <w:r>
              <w:rPr>
                <w:rFonts w:ascii="Times New Roman" w:eastAsia="宋体"/>
                <w:sz w:val="21"/>
              </w:rPr>
              <w:t xml:space="preserve">14883</w:t>
            </w:r>
          </w:p>
        </w:tc>
        <w:tc>
          <w:tcPr>
            <w:tcW w:w="0" w:type="auto"/>
          </w:tcPr>
          <w:p>
            <w:pPr/>
            <w:r>
              <w:rPr>
                <w:rFonts w:ascii="Times New Roman" w:eastAsia="宋体"/>
                <w:sz w:val="21"/>
              </w:rPr>
              <w:t xml:space="preserve">㎡</w:t>
            </w:r>
          </w:p>
        </w:tc>
      </w:tr>
      <w:tr>
        <w:tc>
          <w:tcPr>
            <w:tcW w:w="0" w:type="auto"/>
          </w:tcPr>
          <w:p>
            <w:pPr/>
            <w:r>
              <w:rPr>
                <w:rFonts w:ascii="Times New Roman" w:eastAsia="宋体"/>
                <w:sz w:val="21"/>
              </w:rPr>
              <w:t xml:space="preserve">科研用房</w:t>
            </w:r>
          </w:p>
        </w:tc>
        <w:tc>
          <w:tcPr>
            <w:tcW w:w="0" w:type="auto"/>
          </w:tcPr>
          <w:p>
            <w:pPr/>
            <w:r>
              <w:rPr>
                <w:rFonts w:ascii="Times New Roman" w:eastAsia="宋体"/>
                <w:sz w:val="21"/>
              </w:rPr>
              <w:t xml:space="preserve">需要系数</w:t>
            </w:r>
          </w:p>
        </w:tc>
        <w:tc>
          <w:tcPr>
            <w:tcW w:w="0" w:type="auto"/>
          </w:tcPr>
          <w:p>
            <w:pPr/>
            <w:r>
              <w:rPr>
                <w:rFonts w:ascii="Times New Roman" w:eastAsia="宋体"/>
                <w:sz w:val="21"/>
              </w:rPr>
              <w:t xml:space="preserve">0.8</w:t>
            </w:r>
          </w:p>
        </w:tc>
        <w:tc>
          <w:tcPr>
            <w:tcW w:w="0" w:type="auto"/>
          </w:tcPr>
          <w:p>
            <w:pPr/>
            <w:r>
              <w:rPr>
                <w:rFonts w:ascii="Times New Roman" w:eastAsia="宋体"/>
                <w:sz w:val="21"/>
              </w:rPr>
              <w:t xml:space="preserve">-</w:t>
            </w:r>
          </w:p>
        </w:tc>
      </w:tr>
      <w:tr>
        <w:tc>
          <w:tcPr>
            <w:tcW w:w="0" w:type="auto"/>
          </w:tcPr>
          <w:p>
            <w:pPr/>
            <w:r>
              <w:rPr>
                <w:rFonts w:ascii="Times New Roman" w:eastAsia="宋体"/>
                <w:sz w:val="21"/>
              </w:rPr>
              <w:t xml:space="preserve">综合能耗·水</w:t>
            </w:r>
          </w:p>
        </w:tc>
        <w:tc>
          <w:tcPr>
            <w:tcW w:w="0" w:type="auto"/>
          </w:tcPr>
          <w:p>
            <w:pPr/>
            <w:r>
              <w:rPr>
                <w:rFonts w:ascii="Times New Roman" w:eastAsia="宋体"/>
                <w:sz w:val="21"/>
              </w:rPr>
              <w:t xml:space="preserve">实体名</w:t>
            </w:r>
          </w:p>
        </w:tc>
        <w:tc>
          <w:tcPr>
            <w:tcW w:w="0" w:type="auto"/>
          </w:tcPr>
          <w:p>
            <w:pPr/>
            <w:r>
              <w:rPr>
                <w:rFonts w:ascii="Times New Roman" w:eastAsia="宋体"/>
                <w:sz w:val="21"/>
              </w:rPr>
              <w:t xml:space="preserve">综合能耗·水</w:t>
            </w:r>
          </w:p>
        </w:tc>
        <w:tc>
          <w:tcPr>
            <w:tcW w:w="0" w:type="auto"/>
          </w:tcPr>
          <w:p>
            <w:pPr/>
            <w:r>
              <w:t xml:space="preserve"/>
            </w:r>
          </w:p>
        </w:tc>
      </w:tr>
      <w:tr>
        <w:tc>
          <w:tcPr>
            <w:tcW w:w="0" w:type="auto"/>
          </w:tcPr>
          <w:p>
            <w:pPr/>
            <w:r>
              <w:rPr>
                <w:rFonts w:ascii="Times New Roman" w:eastAsia="宋体"/>
                <w:sz w:val="21"/>
              </w:rPr>
              <w:t xml:space="preserve">综合能耗·水</w:t>
            </w:r>
          </w:p>
        </w:tc>
        <w:tc>
          <w:tcPr>
            <w:tcW w:w="0" w:type="auto"/>
          </w:tcPr>
          <w:p>
            <w:pPr/>
            <w:r>
              <w:rPr>
                <w:rFonts w:ascii="Times New Roman" w:eastAsia="宋体"/>
                <w:sz w:val="21"/>
              </w:rPr>
              <w:t xml:space="preserve">折标系数</w:t>
            </w:r>
          </w:p>
        </w:tc>
        <w:tc>
          <w:tcPr>
            <w:tcW w:w="0" w:type="auto"/>
          </w:tcPr>
          <w:p>
            <w:pPr/>
            <w:r>
              <w:rPr>
                <w:rFonts w:ascii="Times New Roman" w:eastAsia="宋体"/>
                <w:sz w:val="21"/>
              </w:rPr>
              <w:t xml:space="preserve">0.857</w:t>
            </w:r>
          </w:p>
        </w:tc>
        <w:tc>
          <w:tcPr>
            <w:tcW w:w="0" w:type="auto"/>
          </w:tcPr>
          <w:p>
            <w:pPr/>
            <w:r>
              <w:rPr>
                <w:rFonts w:ascii="Times New Roman" w:eastAsia="宋体"/>
                <w:sz w:val="21"/>
              </w:rPr>
              <w:t xml:space="preserve">tce/万m³</w:t>
            </w:r>
          </w:p>
        </w:tc>
      </w:tr>
      <w:tr>
        <w:tc>
          <w:tcPr>
            <w:tcW w:w="0" w:type="auto"/>
          </w:tcPr>
          <w:p>
            <w:pPr/>
            <w:r>
              <w:rPr>
                <w:rFonts w:ascii="Times New Roman" w:eastAsia="宋体"/>
                <w:sz w:val="21"/>
              </w:rPr>
              <w:t xml:space="preserve">综合能耗·电力</w:t>
            </w:r>
          </w:p>
        </w:tc>
        <w:tc>
          <w:tcPr>
            <w:tcW w:w="0" w:type="auto"/>
          </w:tcPr>
          <w:p>
            <w:pPr/>
            <w:r>
              <w:rPr>
                <w:rFonts w:ascii="Times New Roman" w:eastAsia="宋体"/>
                <w:sz w:val="21"/>
              </w:rPr>
              <w:t xml:space="preserve">实体名</w:t>
            </w:r>
          </w:p>
        </w:tc>
        <w:tc>
          <w:tcPr>
            <w:tcW w:w="0" w:type="auto"/>
          </w:tcPr>
          <w:p>
            <w:pPr/>
            <w:r>
              <w:rPr>
                <w:rFonts w:ascii="Times New Roman" w:eastAsia="宋体"/>
                <w:sz w:val="21"/>
              </w:rPr>
              <w:t xml:space="preserve">综合能耗·电力</w:t>
            </w:r>
          </w:p>
        </w:tc>
        <w:tc>
          <w:tcPr>
            <w:tcW w:w="0" w:type="auto"/>
          </w:tcPr>
          <w:p>
            <w:pPr/>
            <w:r>
              <w:t xml:space="preserve"/>
            </w:r>
          </w:p>
        </w:tc>
      </w:tr>
      <w:tr>
        <w:tc>
          <w:tcPr>
            <w:tcW w:w="0" w:type="auto"/>
          </w:tcPr>
          <w:p>
            <w:pPr/>
            <w:r>
              <w:rPr>
                <w:rFonts w:ascii="Times New Roman" w:eastAsia="宋体"/>
                <w:sz w:val="21"/>
              </w:rPr>
              <w:t xml:space="preserve">综合能耗·电力</w:t>
            </w:r>
          </w:p>
        </w:tc>
        <w:tc>
          <w:tcPr>
            <w:tcW w:w="0" w:type="auto"/>
          </w:tcPr>
          <w:p>
            <w:pPr/>
            <w:r>
              <w:rPr>
                <w:rFonts w:ascii="Times New Roman" w:eastAsia="宋体"/>
                <w:sz w:val="21"/>
              </w:rPr>
              <w:t xml:space="preserve">折标系数（当量值）</w:t>
            </w:r>
          </w:p>
        </w:tc>
        <w:tc>
          <w:tcPr>
            <w:tcW w:w="0" w:type="auto"/>
          </w:tcPr>
          <w:p>
            <w:pPr/>
            <w:r>
              <w:rPr>
                <w:rFonts w:ascii="Times New Roman" w:eastAsia="宋体"/>
                <w:sz w:val="21"/>
              </w:rPr>
              <w:t xml:space="preserve">1.229</w:t>
            </w:r>
          </w:p>
        </w:tc>
        <w:tc>
          <w:tcPr>
            <w:tcW w:w="0" w:type="auto"/>
          </w:tcPr>
          <w:p>
            <w:pPr/>
            <w:r>
              <w:rPr>
                <w:rFonts w:ascii="Times New Roman" w:eastAsia="宋体"/>
                <w:sz w:val="21"/>
              </w:rPr>
              <w:t xml:space="preserve">tce/万kW·h</w:t>
            </w:r>
          </w:p>
        </w:tc>
      </w:tr>
    </w:tbl>
    <w:p>
      <w:pPr/>
      <w:r>
        <w:rPr>
          <w:b/>
          <w:rFonts w:ascii="Times New Roman" w:eastAsia="宋体"/>
          <w:sz w:val="21"/>
        </w:rPr>
        <w:t xml:space="preserve">表6-2a 主要用水项目及其用水指标表（原表6-2）</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用水部门/项目</w:t>
            </w:r>
          </w:p>
        </w:tc>
        <w:tc>
          <w:tcPr>
            <w:tcW w:w="0" w:type="auto"/>
          </w:tcPr>
          <w:p>
            <w:pPr/>
            <w:r>
              <w:rPr>
                <w:b/>
                <w:rFonts w:ascii="Times New Roman" w:eastAsia="宋体"/>
                <w:sz w:val="21"/>
              </w:rPr>
              <w:t xml:space="preserve">参数</w:t>
            </w:r>
          </w:p>
        </w:tc>
        <w:tc>
          <w:tcPr>
            <w:tcW w:w="0" w:type="auto"/>
          </w:tcPr>
          <w:p>
            <w:pPr/>
            <w:r>
              <w:rPr>
                <w:b/>
                <w:rFonts w:ascii="Times New Roman" w:eastAsia="宋体"/>
                <w:sz w:val="21"/>
              </w:rPr>
              <w:t xml:space="preserve">取值</w:t>
            </w:r>
          </w:p>
        </w:tc>
      </w:tr>
      <w:tr>
        <w:tc>
          <w:tcPr>
            <w:tcW w:w="0" w:type="auto"/>
          </w:tcPr>
          <w:p>
            <w:pPr/>
            <w:r>
              <w:rPr>
                <w:rFonts w:ascii="Times New Roman" w:eastAsia="宋体"/>
                <w:sz w:val="21"/>
              </w:rPr>
              <w:t xml:space="preserve">科研学生</w:t>
            </w:r>
          </w:p>
        </w:tc>
        <w:tc>
          <w:tcPr>
            <w:tcW w:w="0" w:type="auto"/>
          </w:tcPr>
          <w:p>
            <w:pPr/>
            <w:r>
              <w:rPr>
                <w:rFonts w:ascii="Times New Roman" w:eastAsia="宋体"/>
                <w:sz w:val="21"/>
              </w:rPr>
              <w:t xml:space="preserve">用水定额</w:t>
            </w:r>
          </w:p>
        </w:tc>
        <w:tc>
          <w:tcPr>
            <w:tcW w:w="0" w:type="auto"/>
          </w:tcPr>
          <w:p>
            <w:pPr/>
            <w:r>
              <w:rPr>
                <w:rFonts w:ascii="Times New Roman" w:eastAsia="宋体"/>
                <w:sz w:val="21"/>
              </w:rPr>
              <w:t xml:space="preserve">40 L/生·日</w:t>
            </w:r>
          </w:p>
        </w:tc>
      </w:tr>
      <w:tr>
        <w:tc>
          <w:tcPr>
            <w:tcW w:w="0" w:type="auto"/>
          </w:tcPr>
          <w:p>
            <w:pPr/>
            <w:r>
              <w:rPr>
                <w:rFonts w:ascii="Times New Roman" w:eastAsia="宋体"/>
                <w:sz w:val="21"/>
              </w:rPr>
              <w:t xml:space="preserve">科研学生</w:t>
            </w:r>
          </w:p>
        </w:tc>
        <w:tc>
          <w:tcPr>
            <w:tcW w:w="0" w:type="auto"/>
          </w:tcPr>
          <w:p>
            <w:pPr/>
            <w:r>
              <w:rPr>
                <w:rFonts w:ascii="Times New Roman" w:eastAsia="宋体"/>
                <w:sz w:val="21"/>
              </w:rPr>
              <w:t xml:space="preserve">用水人数</w:t>
            </w:r>
          </w:p>
        </w:tc>
        <w:tc>
          <w:tcPr>
            <w:tcW w:w="0" w:type="auto"/>
          </w:tcPr>
          <w:p>
            <w:pPr/>
            <w:r>
              <w:rPr>
                <w:rFonts w:ascii="Times New Roman" w:eastAsia="宋体"/>
                <w:sz w:val="21"/>
              </w:rPr>
              <w:t xml:space="preserve">1800 人</w:t>
            </w:r>
          </w:p>
        </w:tc>
      </w:tr>
      <w:tr>
        <w:tc>
          <w:tcPr>
            <w:tcW w:w="0" w:type="auto"/>
          </w:tcPr>
          <w:p>
            <w:pPr/>
            <w:r>
              <w:rPr>
                <w:rFonts w:ascii="Times New Roman" w:eastAsia="宋体"/>
                <w:sz w:val="21"/>
              </w:rPr>
              <w:t xml:space="preserve">办公</w:t>
            </w:r>
          </w:p>
        </w:tc>
        <w:tc>
          <w:tcPr>
            <w:tcW w:w="0" w:type="auto"/>
          </w:tcPr>
          <w:p>
            <w:pPr/>
            <w:r>
              <w:rPr>
                <w:rFonts w:ascii="Times New Roman" w:eastAsia="宋体"/>
                <w:sz w:val="21"/>
              </w:rPr>
              <w:t xml:space="preserve">用水定额</w:t>
            </w:r>
          </w:p>
        </w:tc>
        <w:tc>
          <w:tcPr>
            <w:tcW w:w="0" w:type="auto"/>
          </w:tcPr>
          <w:p>
            <w:pPr/>
            <w:r>
              <w:rPr>
                <w:rFonts w:ascii="Times New Roman" w:eastAsia="宋体"/>
                <w:sz w:val="21"/>
              </w:rPr>
              <w:t xml:space="preserve">50 L/人·日</w:t>
            </w:r>
          </w:p>
        </w:tc>
      </w:tr>
      <w:tr>
        <w:tc>
          <w:tcPr>
            <w:tcW w:w="0" w:type="auto"/>
          </w:tcPr>
          <w:p>
            <w:pPr/>
            <w:r>
              <w:rPr>
                <w:rFonts w:ascii="Times New Roman" w:eastAsia="宋体"/>
                <w:sz w:val="21"/>
              </w:rPr>
              <w:t xml:space="preserve">办公</w:t>
            </w:r>
          </w:p>
        </w:tc>
        <w:tc>
          <w:tcPr>
            <w:tcW w:w="0" w:type="auto"/>
          </w:tcPr>
          <w:p>
            <w:pPr/>
            <w:r>
              <w:rPr>
                <w:rFonts w:ascii="Times New Roman" w:eastAsia="宋体"/>
                <w:sz w:val="21"/>
              </w:rPr>
              <w:t xml:space="preserve">用水人数</w:t>
            </w:r>
          </w:p>
        </w:tc>
        <w:tc>
          <w:tcPr>
            <w:tcW w:w="0" w:type="auto"/>
          </w:tcPr>
          <w:p>
            <w:pPr/>
            <w:r>
              <w:rPr>
                <w:rFonts w:ascii="Times New Roman" w:eastAsia="宋体"/>
                <w:sz w:val="21"/>
              </w:rPr>
              <w:t xml:space="preserve">288 人</w:t>
            </w:r>
          </w:p>
        </w:tc>
      </w:tr>
      <w:tr>
        <w:tc>
          <w:tcPr>
            <w:tcW w:w="0" w:type="auto"/>
          </w:tcPr>
          <w:p>
            <w:pPr/>
            <w:r>
              <w:rPr>
                <w:rFonts w:ascii="Times New Roman" w:eastAsia="宋体"/>
                <w:sz w:val="21"/>
              </w:rPr>
              <w:t xml:space="preserve">教师用水</w:t>
            </w:r>
          </w:p>
        </w:tc>
        <w:tc>
          <w:tcPr>
            <w:tcW w:w="0" w:type="auto"/>
          </w:tcPr>
          <w:p>
            <w:pPr/>
            <w:r>
              <w:rPr>
                <w:rFonts w:ascii="Times New Roman" w:eastAsia="宋体"/>
                <w:sz w:val="21"/>
              </w:rPr>
              <w:t xml:space="preserve">用水定额</w:t>
            </w:r>
          </w:p>
        </w:tc>
        <w:tc>
          <w:tcPr>
            <w:tcW w:w="0" w:type="auto"/>
          </w:tcPr>
          <w:p>
            <w:pPr/>
            <w:r>
              <w:rPr>
                <w:rFonts w:ascii="Times New Roman" w:eastAsia="宋体"/>
                <w:sz w:val="21"/>
              </w:rPr>
              <w:t xml:space="preserve">35 L/人·d</w:t>
            </w:r>
          </w:p>
        </w:tc>
      </w:tr>
      <w:tr>
        <w:tc>
          <w:tcPr>
            <w:tcW w:w="0" w:type="auto"/>
          </w:tcPr>
          <w:p>
            <w:pPr/>
            <w:r>
              <w:rPr>
                <w:rFonts w:ascii="Times New Roman" w:eastAsia="宋体"/>
                <w:sz w:val="21"/>
              </w:rPr>
              <w:t xml:space="preserve">教师用水</w:t>
            </w:r>
          </w:p>
        </w:tc>
        <w:tc>
          <w:tcPr>
            <w:tcW w:w="0" w:type="auto"/>
          </w:tcPr>
          <w:p>
            <w:pPr/>
            <w:r>
              <w:rPr>
                <w:rFonts w:ascii="Times New Roman" w:eastAsia="宋体"/>
                <w:sz w:val="21"/>
              </w:rPr>
              <w:t xml:space="preserve">用水人数</w:t>
            </w:r>
          </w:p>
        </w:tc>
        <w:tc>
          <w:tcPr>
            <w:tcW w:w="0" w:type="auto"/>
          </w:tcPr>
          <w:p>
            <w:pPr/>
            <w:r>
              <w:rPr>
                <w:rFonts w:ascii="Times New Roman" w:eastAsia="宋体"/>
                <w:sz w:val="21"/>
              </w:rPr>
              <w:t xml:space="preserve">288 人</w:t>
            </w:r>
          </w:p>
        </w:tc>
      </w:tr>
      <w:tr>
        <w:tc>
          <w:tcPr>
            <w:tcW w:w="0" w:type="auto"/>
          </w:tcPr>
          <w:p>
            <w:pPr/>
            <w:r>
              <w:rPr>
                <w:rFonts w:ascii="Times New Roman" w:eastAsia="宋体"/>
                <w:sz w:val="21"/>
              </w:rPr>
              <w:t xml:space="preserve">教师用水</w:t>
            </w:r>
          </w:p>
        </w:tc>
        <w:tc>
          <w:tcPr>
            <w:tcW w:w="0" w:type="auto"/>
          </w:tcPr>
          <w:p>
            <w:pPr/>
            <w:r>
              <w:rPr>
                <w:rFonts w:ascii="Times New Roman" w:eastAsia="宋体"/>
                <w:sz w:val="21"/>
              </w:rPr>
              <w:t xml:space="preserve">日用水量</w:t>
            </w:r>
          </w:p>
        </w:tc>
        <w:tc>
          <w:tcPr>
            <w:tcW w:w="0" w:type="auto"/>
          </w:tcPr>
          <w:p>
            <w:pPr/>
            <w:r>
              <w:rPr>
                <w:rFonts w:ascii="Times New Roman" w:eastAsia="宋体"/>
                <w:sz w:val="21"/>
              </w:rPr>
              <w:t xml:space="preserve">10.1 m³/d</w:t>
            </w:r>
          </w:p>
        </w:tc>
      </w:tr>
      <w:tr>
        <w:tc>
          <w:tcPr>
            <w:tcW w:w="0" w:type="auto"/>
          </w:tcPr>
          <w:p>
            <w:pPr/>
            <w:r>
              <w:rPr>
                <w:rFonts w:ascii="Times New Roman" w:eastAsia="宋体"/>
                <w:sz w:val="21"/>
              </w:rPr>
              <w:t xml:space="preserve">学生用水</w:t>
            </w:r>
          </w:p>
        </w:tc>
        <w:tc>
          <w:tcPr>
            <w:tcW w:w="0" w:type="auto"/>
          </w:tcPr>
          <w:p>
            <w:pPr/>
            <w:r>
              <w:rPr>
                <w:rFonts w:ascii="Times New Roman" w:eastAsia="宋体"/>
                <w:sz w:val="21"/>
              </w:rPr>
              <w:t xml:space="preserve">用水定额</w:t>
            </w:r>
          </w:p>
        </w:tc>
        <w:tc>
          <w:tcPr>
            <w:tcW w:w="0" w:type="auto"/>
          </w:tcPr>
          <w:p>
            <w:pPr/>
            <w:r>
              <w:rPr>
                <w:rFonts w:ascii="Times New Roman" w:eastAsia="宋体"/>
                <w:sz w:val="21"/>
              </w:rPr>
              <w:t xml:space="preserve">40 L/人·d</w:t>
            </w:r>
          </w:p>
        </w:tc>
      </w:tr>
      <w:tr>
        <w:tc>
          <w:tcPr>
            <w:tcW w:w="0" w:type="auto"/>
          </w:tcPr>
          <w:p>
            <w:pPr/>
            <w:r>
              <w:rPr>
                <w:rFonts w:ascii="Times New Roman" w:eastAsia="宋体"/>
                <w:sz w:val="21"/>
              </w:rPr>
              <w:t xml:space="preserve">学生用水</w:t>
            </w:r>
          </w:p>
        </w:tc>
        <w:tc>
          <w:tcPr>
            <w:tcW w:w="0" w:type="auto"/>
          </w:tcPr>
          <w:p>
            <w:pPr/>
            <w:r>
              <w:rPr>
                <w:rFonts w:ascii="Times New Roman" w:eastAsia="宋体"/>
                <w:sz w:val="21"/>
              </w:rPr>
              <w:t xml:space="preserve">用水人数</w:t>
            </w:r>
          </w:p>
        </w:tc>
        <w:tc>
          <w:tcPr>
            <w:tcW w:w="0" w:type="auto"/>
          </w:tcPr>
          <w:p>
            <w:pPr/>
            <w:r>
              <w:rPr>
                <w:rFonts w:ascii="Times New Roman" w:eastAsia="宋体"/>
                <w:sz w:val="21"/>
              </w:rPr>
              <w:t xml:space="preserve">1800 人</w:t>
            </w:r>
          </w:p>
        </w:tc>
      </w:tr>
      <w:tr>
        <w:tc>
          <w:tcPr>
            <w:tcW w:w="0" w:type="auto"/>
          </w:tcPr>
          <w:p>
            <w:pPr/>
            <w:r>
              <w:rPr>
                <w:rFonts w:ascii="Times New Roman" w:eastAsia="宋体"/>
                <w:sz w:val="21"/>
              </w:rPr>
              <w:t xml:space="preserve">学生用水</w:t>
            </w:r>
          </w:p>
        </w:tc>
        <w:tc>
          <w:tcPr>
            <w:tcW w:w="0" w:type="auto"/>
          </w:tcPr>
          <w:p>
            <w:pPr/>
            <w:r>
              <w:rPr>
                <w:rFonts w:ascii="Times New Roman" w:eastAsia="宋体"/>
                <w:sz w:val="21"/>
              </w:rPr>
              <w:t xml:space="preserve">日用水量</w:t>
            </w:r>
          </w:p>
        </w:tc>
        <w:tc>
          <w:tcPr>
            <w:tcW w:w="0" w:type="auto"/>
          </w:tcPr>
          <w:p>
            <w:pPr/>
            <w:r>
              <w:rPr>
                <w:rFonts w:ascii="Times New Roman" w:eastAsia="宋体"/>
                <w:sz w:val="21"/>
              </w:rPr>
              <w:t xml:space="preserve">72.0 m³/d</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最高日用水量</w:t>
            </w:r>
          </w:p>
        </w:tc>
        <w:tc>
          <w:tcPr>
            <w:tcW w:w="0" w:type="auto"/>
          </w:tcPr>
          <w:p>
            <w:pPr/>
            <w:r>
              <w:rPr>
                <w:rFonts w:ascii="Times New Roman" w:eastAsia="宋体"/>
                <w:sz w:val="21"/>
              </w:rPr>
              <w:t xml:space="preserve">95.04 m³/d</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最大小时用水量</w:t>
            </w:r>
          </w:p>
        </w:tc>
        <w:tc>
          <w:tcPr>
            <w:tcW w:w="0" w:type="auto"/>
          </w:tcPr>
          <w:p>
            <w:pPr/>
            <w:r>
              <w:rPr>
                <w:rFonts w:ascii="Times New Roman" w:eastAsia="宋体"/>
                <w:sz w:val="21"/>
              </w:rPr>
              <w:t xml:space="preserve">17.23 m³/h</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最高日排水量</w:t>
            </w:r>
          </w:p>
        </w:tc>
        <w:tc>
          <w:tcPr>
            <w:tcW w:w="0" w:type="auto"/>
          </w:tcPr>
          <w:p>
            <w:pPr/>
            <w:r>
              <w:rPr>
                <w:rFonts w:ascii="Times New Roman" w:eastAsia="宋体"/>
                <w:sz w:val="21"/>
              </w:rPr>
              <w:t xml:space="preserve">85.54 m³/d</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最大时排水量</w:t>
            </w:r>
          </w:p>
        </w:tc>
        <w:tc>
          <w:tcPr>
            <w:tcW w:w="0" w:type="auto"/>
          </w:tcPr>
          <w:p>
            <w:pPr/>
            <w:r>
              <w:rPr>
                <w:rFonts w:ascii="Times New Roman" w:eastAsia="宋体"/>
                <w:sz w:val="21"/>
              </w:rPr>
              <w:t xml:space="preserve">15.51 m³/h</w:t>
            </w:r>
          </w:p>
        </w:tc>
      </w:tr>
      <w:tr>
        <w:tc>
          <w:tcPr>
            <w:tcW w:w="0" w:type="auto"/>
          </w:tcPr>
          <w:p>
            <w:pPr/>
            <w:r>
              <w:rPr>
                <w:rFonts w:ascii="Times New Roman" w:eastAsia="宋体"/>
                <w:sz w:val="21"/>
              </w:rPr>
              <w:t xml:space="preserve">本项目</w:t>
            </w:r>
          </w:p>
        </w:tc>
        <w:tc>
          <w:tcPr>
            <w:tcW w:w="0" w:type="auto"/>
          </w:tcPr>
          <w:p>
            <w:pPr/>
            <w:r>
              <w:rPr>
                <w:rFonts w:ascii="Times New Roman" w:eastAsia="宋体"/>
                <w:sz w:val="21"/>
              </w:rPr>
              <w:t xml:space="preserve">未预见系数</w:t>
            </w:r>
          </w:p>
        </w:tc>
        <w:tc>
          <w:tcPr>
            <w:tcW w:w="0" w:type="auto"/>
          </w:tcPr>
          <w:p>
            <w:pPr/>
            <w:r>
              <w:rPr>
                <w:rFonts w:ascii="Times New Roman" w:eastAsia="宋体"/>
                <w:sz w:val="21"/>
              </w:rPr>
              <w:t xml:space="preserve">10 %</w:t>
            </w:r>
          </w:p>
        </w:tc>
      </w:tr>
    </w:tbl>
    <w:p>
      <w:pPr/>
      <w:r>
        <w:rPr>
          <w:rFonts w:ascii="Times New Roman" w:eastAsia="宋体"/>
          <w:sz w:val="21"/>
        </w:rPr>
        <w:t xml:space="preserve">需要说明的是，本章用水量计算的办公/教师用水定额与第六章给排水设计所用的相应定额</w:t>
      </w:r>
      <w:r>
        <w:rPr>
          <w:b/>
          <w:rFonts w:ascii="Times New Roman" w:eastAsia="宋体"/>
          <w:sz w:val="21"/>
        </w:rPr>
        <w:t xml:space="preserve">取值不一致</w:t>
      </w:r>
      <w:r>
        <w:rPr>
          <w:rFonts w:ascii="Times New Roman" w:eastAsia="宋体"/>
          <w:sz w:val="21"/>
        </w:rPr>
        <w:t xml:space="preserve">（同一用水人数、两个定额），该差异已登记为待审事项。</w:t>
      </w:r>
    </w:p>
    <w:p>
      <w:pPr>
        <w:ind w:left="420"/>
      </w:pPr>
      <w:r>
        <w:rPr>
          <w:b/>
          <w:rFonts w:ascii="Times New Roman" w:eastAsia="宋体"/>
          <w:sz w:val="21"/>
        </w:rPr>
        <w:t xml:space="preserve">⚠ 待审</w:t>
      </w:r>
      <w:r>
        <w:rPr>
          <w:rFonts w:ascii="Times New Roman" w:eastAsia="宋体"/>
          <w:sz w:val="21"/>
        </w:rPr>
        <w:t xml:space="preserve">：办公用水（288 人） · 用水定额 在报告不同章节取值不一致，现并列呈现为 </w:t>
      </w:r>
      <w:r>
        <w:rPr>
          <w:b/>
          <w:rFonts w:ascii="Times New Roman" w:eastAsia="宋体"/>
          <w:sz w:val="21"/>
        </w:rPr>
        <w:t xml:space="preserve">35 / 50</w:t>
      </w:r>
      <w:r>
        <w:rPr>
          <w:rFonts w:ascii="Times New Roman" w:eastAsia="宋体"/>
          <w:sz w:val="21"/>
        </w:rPr>
        <w:t xml:space="preserve">。本稿不判断哪一个正确，也不取其一；须由建设单位与编制单位核实后统一口径。</w:t>
      </w:r>
    </w:p>
    <w:p>
      <w:pPr/>
      <w:r>
        <w:rPr>
          <w:rFonts w:ascii="Times New Roman" w:eastAsia="宋体"/>
          <w:sz w:val="21"/>
        </w:rPr>
        <w:t xml:space="preserve">年总用水量的复核：按 R-年用水量（年总用水量）复算为 </w:t>
      </w:r>
      <w:r>
        <w:rPr>
          <w:b/>
          <w:rFonts w:ascii="Times New Roman" w:eastAsia="宋体"/>
          <w:sz w:val="21"/>
        </w:rPr>
        <w:t xml:space="preserve">1.74</w:t>
      </w:r>
      <w:r>
        <w:rPr>
          <w:rFonts w:ascii="Times New Roman" w:eastAsia="宋体"/>
          <w:sz w:val="21"/>
        </w:rPr>
        <w:t xml:space="preserve">，与报告声明一致（闭合）。。</w:t>
      </w:r>
    </w:p>
    <w:p>
      <w:pPr>
        <w:pStyle w:val="Heading3"/>
      </w:pPr>
      <w:r>
        <w:rPr>
          <w:rFonts w:ascii="Times New Roman" w:eastAsia="宋体"/>
          <w:sz w:val="21"/>
        </w:rPr>
        <w:t xml:space="preserve">7.2.3　用电量计算</w:t>
      </w:r>
    </w:p>
    <w:p>
      <w:pPr/>
      <w:r>
        <w:rPr>
          <w:rFonts w:ascii="Times New Roman" w:eastAsia="宋体"/>
          <w:sz w:val="21"/>
        </w:rPr>
        <w:t xml:space="preserve">项目电力消耗主要包括照明、空调通风、动力等电力消耗。年用电量计算如下表。</w:t>
      </w:r>
    </w:p>
    <w:p>
      <w:pPr/>
      <w:r>
        <w:rPr>
          <w:b/>
          <w:rFonts w:ascii="Times New Roman" w:eastAsia="宋体"/>
          <w:sz w:val="21"/>
        </w:rPr>
        <w:t xml:space="preserve">表7-2 年用电量汇总表</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分项</w:t>
            </w:r>
          </w:p>
        </w:tc>
        <w:tc>
          <w:tcPr>
            <w:tcW w:w="0" w:type="auto"/>
          </w:tcPr>
          <w:p>
            <w:pPr/>
            <w:r>
              <w:rPr>
                <w:b/>
                <w:rFonts w:ascii="Times New Roman" w:eastAsia="宋体"/>
                <w:sz w:val="21"/>
              </w:rPr>
              <w:t xml:space="preserve">用电面积</w:t>
            </w:r>
          </w:p>
        </w:tc>
        <w:tc>
          <w:tcPr>
            <w:tcW w:w="0" w:type="auto"/>
          </w:tcPr>
          <w:p>
            <w:pPr/>
            <w:r>
              <w:rPr>
                <w:b/>
                <w:rFonts w:ascii="Times New Roman" w:eastAsia="宋体"/>
                <w:sz w:val="21"/>
              </w:rPr>
              <w:t xml:space="preserve">用电指标</w:t>
            </w:r>
          </w:p>
        </w:tc>
        <w:tc>
          <w:tcPr>
            <w:tcW w:w="0" w:type="auto"/>
          </w:tcPr>
          <w:p>
            <w:pPr/>
            <w:r>
              <w:rPr>
                <w:b/>
                <w:rFonts w:ascii="Times New Roman" w:eastAsia="宋体"/>
                <w:sz w:val="21"/>
              </w:rPr>
              <w:t xml:space="preserve">需要系数</w:t>
            </w:r>
          </w:p>
        </w:tc>
        <w:tc>
          <w:tcPr>
            <w:tcW w:w="0" w:type="auto"/>
          </w:tcPr>
          <w:p>
            <w:pPr/>
            <w:r>
              <w:rPr>
                <w:b/>
                <w:rFonts w:ascii="Times New Roman" w:eastAsia="宋体"/>
                <w:sz w:val="21"/>
              </w:rPr>
              <w:t xml:space="preserve">同时使用系数</w:t>
            </w:r>
          </w:p>
        </w:tc>
      </w:tr>
      <w:tr>
        <w:tc>
          <w:tcPr>
            <w:tcW w:w="0" w:type="auto"/>
          </w:tcPr>
          <w:p>
            <w:pPr/>
            <w:r>
              <w:rPr>
                <w:rFonts w:ascii="Times New Roman" w:eastAsia="宋体"/>
                <w:sz w:val="21"/>
              </w:rPr>
              <w:t xml:space="preserve">科研用房</w:t>
            </w:r>
          </w:p>
        </w:tc>
        <w:tc>
          <w:tcPr>
            <w:tcW w:w="0" w:type="auto"/>
          </w:tcPr>
          <w:p>
            <w:pPr/>
            <w:r>
              <w:rPr>
                <w:rFonts w:ascii="Times New Roman" w:eastAsia="宋体"/>
                <w:sz w:val="21"/>
              </w:rPr>
              <w:t xml:space="preserve">14883 ㎡</w:t>
            </w:r>
          </w:p>
        </w:tc>
        <w:tc>
          <w:tcPr>
            <w:tcW w:w="0" w:type="auto"/>
          </w:tcPr>
          <w:p>
            <w:pPr/>
            <w:r>
              <w:rPr>
                <w:rFonts w:ascii="Times New Roman" w:eastAsia="宋体"/>
                <w:sz w:val="21"/>
              </w:rPr>
              <w:t xml:space="preserve">60 W/㎡</w:t>
            </w:r>
          </w:p>
        </w:tc>
        <w:tc>
          <w:tcPr>
            <w:tcW w:w="0" w:type="auto"/>
          </w:tcPr>
          <w:p>
            <w:pPr/>
            <w:r>
              <w:rPr>
                <w:rFonts w:ascii="Times New Roman" w:eastAsia="宋体"/>
                <w:sz w:val="21"/>
              </w:rPr>
              <w:t xml:space="preserve">0.8 -</w:t>
            </w:r>
          </w:p>
        </w:tc>
        <w:tc>
          <w:tcPr>
            <w:tcW w:w="0" w:type="auto"/>
          </w:tcPr>
          <w:p>
            <w:pPr/>
            <w:r>
              <w:rPr>
                <w:rFonts w:ascii="Times New Roman" w:eastAsia="宋体"/>
                <w:sz w:val="21"/>
              </w:rPr>
              <w:t xml:space="preserve">0.6 -</w:t>
            </w:r>
          </w:p>
        </w:tc>
      </w:tr>
      <w:tr>
        <w:tc>
          <w:tcPr>
            <w:tcW w:w="0" w:type="auto"/>
          </w:tcPr>
          <w:p>
            <w:pPr/>
            <w:r>
              <w:rPr>
                <w:rFonts w:ascii="Times New Roman" w:eastAsia="宋体"/>
                <w:sz w:val="21"/>
              </w:rPr>
              <w:t xml:space="preserve">公共配套服务用房</w:t>
            </w:r>
          </w:p>
        </w:tc>
        <w:tc>
          <w:tcPr>
            <w:tcW w:w="0" w:type="auto"/>
          </w:tcPr>
          <w:p>
            <w:pPr/>
            <w:r>
              <w:rPr>
                <w:rFonts w:ascii="Times New Roman" w:eastAsia="宋体"/>
                <w:sz w:val="21"/>
              </w:rPr>
              <w:t xml:space="preserve">2182 ㎡</w:t>
            </w:r>
          </w:p>
        </w:tc>
        <w:tc>
          <w:tcPr>
            <w:tcW w:w="0" w:type="auto"/>
          </w:tcPr>
          <w:p>
            <w:pPr/>
            <w:r>
              <w:rPr>
                <w:rFonts w:ascii="Times New Roman" w:eastAsia="宋体"/>
                <w:sz w:val="21"/>
              </w:rPr>
              <w:t xml:space="preserve">60 W/㎡</w:t>
            </w:r>
          </w:p>
        </w:tc>
        <w:tc>
          <w:tcPr>
            <w:tcW w:w="0" w:type="auto"/>
          </w:tcPr>
          <w:p>
            <w:pPr/>
            <w:r>
              <w:rPr>
                <w:rFonts w:ascii="Times New Roman" w:eastAsia="宋体"/>
                <w:sz w:val="21"/>
              </w:rPr>
              <w:t xml:space="preserve">0.6 -</w:t>
            </w:r>
          </w:p>
        </w:tc>
        <w:tc>
          <w:tcPr>
            <w:tcW w:w="0" w:type="auto"/>
          </w:tcPr>
          <w:p>
            <w:pPr/>
            <w:r>
              <w:rPr>
                <w:rFonts w:ascii="Times New Roman" w:eastAsia="宋体"/>
                <w:sz w:val="21"/>
              </w:rPr>
              <w:t xml:space="preserve">0.5 -</w:t>
            </w:r>
          </w:p>
        </w:tc>
      </w:tr>
      <w:tr>
        <w:tc>
          <w:tcPr>
            <w:tcW w:w="0" w:type="auto"/>
          </w:tcPr>
          <w:p>
            <w:pPr/>
            <w:r>
              <w:rPr>
                <w:rFonts w:ascii="Times New Roman" w:eastAsia="宋体"/>
                <w:sz w:val="21"/>
              </w:rPr>
              <w:t xml:space="preserve">年工作天数</w:t>
            </w:r>
          </w:p>
        </w:tc>
        <w:tc>
          <w:tcPr>
            <w:tcW w:w="0" w:type="auto"/>
          </w:tcPr>
          <w:p>
            <w:pPr/>
            <w:r>
              <w:rPr>
                <w:rFonts w:ascii="Times New Roman" w:eastAsia="宋体"/>
                <w:sz w:val="21"/>
              </w:rPr>
              <w:t xml:space="preserve">193 d</w:t>
            </w:r>
          </w:p>
        </w:tc>
        <w:tc>
          <w:tcPr>
            <w:tcW w:w="0" w:type="auto"/>
          </w:tcPr>
          <w:p>
            <w:pPr/>
            <w:r>
              <w:t xml:space="preserve"/>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日均工作小时数</w:t>
            </w:r>
          </w:p>
        </w:tc>
        <w:tc>
          <w:tcPr>
            <w:tcW w:w="0" w:type="auto"/>
          </w:tcPr>
          <w:p>
            <w:pPr/>
            <w:r>
              <w:rPr>
                <w:rFonts w:ascii="Times New Roman" w:eastAsia="宋体"/>
                <w:sz w:val="21"/>
              </w:rPr>
              <w:t xml:space="preserve">8 h</w:t>
            </w:r>
          </w:p>
        </w:tc>
        <w:tc>
          <w:tcPr>
            <w:tcW w:w="0" w:type="auto"/>
          </w:tcPr>
          <w:p>
            <w:pPr/>
            <w:r>
              <w:t xml:space="preserve"/>
            </w:r>
          </w:p>
        </w:tc>
        <w:tc>
          <w:tcPr>
            <w:tcW w:w="0" w:type="auto"/>
          </w:tcPr>
          <w:p>
            <w:pPr/>
            <w:r>
              <w:t xml:space="preserve"/>
            </w:r>
          </w:p>
        </w:tc>
        <w:tc>
          <w:tcPr>
            <w:tcW w:w="0" w:type="auto"/>
          </w:tcPr>
          <w:p>
            <w:pPr/>
            <w:r>
              <w:t xml:space="preserve"/>
            </w:r>
          </w:p>
        </w:tc>
      </w:tr>
      <w:tr>
        <w:tc>
          <w:tcPr>
            <w:tcW w:w="0" w:type="auto"/>
          </w:tcPr>
          <w:p>
            <w:pPr/>
            <w:r>
              <w:rPr>
                <w:rFonts w:ascii="Times New Roman" w:eastAsia="宋体"/>
                <w:sz w:val="21"/>
              </w:rPr>
              <w:t xml:space="preserve">年总耗电量</w:t>
            </w:r>
          </w:p>
        </w:tc>
        <w:tc>
          <w:tcPr>
            <w:tcW w:w="0" w:type="auto"/>
          </w:tcPr>
          <w:p>
            <w:pPr/>
            <w:r>
              <w:rPr>
                <w:rFonts w:ascii="Times New Roman" w:eastAsia="宋体"/>
                <w:sz w:val="21"/>
              </w:rPr>
              <w:t xml:space="preserve">72 万千瓦时</w:t>
            </w:r>
          </w:p>
        </w:tc>
        <w:tc>
          <w:tcPr>
            <w:tcW w:w="0" w:type="auto"/>
          </w:tcPr>
          <w:p>
            <w:pPr/>
            <w:r>
              <w:t xml:space="preserve"/>
            </w:r>
          </w:p>
        </w:tc>
        <w:tc>
          <w:tcPr>
            <w:tcW w:w="0" w:type="auto"/>
          </w:tcPr>
          <w:p>
            <w:pPr/>
            <w:r>
              <w:t xml:space="preserve"/>
            </w:r>
          </w:p>
        </w:tc>
        <w:tc>
          <w:tcPr>
            <w:tcW w:w="0" w:type="auto"/>
          </w:tcPr>
          <w:p>
            <w:pPr/>
            <w:r>
              <w:t xml:space="preserve"/>
            </w:r>
          </w:p>
        </w:tc>
      </w:tr>
    </w:tbl>
    <w:p>
      <w:pPr/>
      <w:r>
        <w:rPr>
          <w:rFonts w:ascii="Times New Roman" w:eastAsia="宋体"/>
          <w:sz w:val="21"/>
        </w:rPr>
        <w:t xml:space="preserve">年总耗电量的复核：按 R-年用电量（年总耗电量）重算得 </w:t>
      </w:r>
      <w:r>
        <w:rPr>
          <w:b/>
          <w:rFonts w:ascii="Times New Roman" w:eastAsia="宋体"/>
          <w:sz w:val="21"/>
        </w:rPr>
        <w:t xml:space="preserve">72.2</w:t>
      </w:r>
      <w:r>
        <w:rPr>
          <w:rFonts w:ascii="Times New Roman" w:eastAsia="宋体"/>
          <w:sz w:val="21"/>
        </w:rPr>
        <w:t xml:space="preserve">，报告原文写 </w:t>
      </w:r>
      <w:r>
        <w:rPr>
          <w:b/>
          <w:rFonts w:ascii="Times New Roman" w:eastAsia="宋体"/>
          <w:sz w:val="21"/>
        </w:rPr>
        <w:t xml:space="preserve">72</w:t>
      </w:r>
      <w:r>
        <w:rPr>
          <w:rFonts w:ascii="Times New Roman" w:eastAsia="宋体"/>
          <w:sz w:val="21"/>
        </w:rPr>
        <w:t xml:space="preserve">，差 0.2（0.28%）。该差异按「待审」处理，本稿不改数。。计算中需特别注意单位换算口径：用电量的量纲由 W·h 折算为万 kW·h，换算式中的除数口径直接决定结果量级，属本类计算的高频错误点。</w:t>
      </w:r>
    </w:p>
    <w:p>
      <w:pPr>
        <w:ind w:left="420"/>
      </w:pPr>
      <w:r>
        <w:rPr>
          <w:b/>
          <w:rFonts w:ascii="Times New Roman" w:eastAsia="宋体"/>
          <w:sz w:val="21"/>
        </w:rPr>
        <w:t xml:space="preserve">口径提示</w:t>
      </w:r>
      <w:r>
        <w:rPr>
          <w:rFonts w:ascii="Times New Roman" w:eastAsia="宋体"/>
          <w:sz w:val="21"/>
        </w:rPr>
        <w:t xml:space="preserve">：本章用电量计算的面积基数（科研用房与公共配套服务用房之和）与本项目总建筑面积不一致。该不一致已登记，本稿不做换算，各章分别标注所用口径。</w:t>
      </w:r>
    </w:p>
    <w:p>
      <w:pPr>
        <w:pStyle w:val="Heading3"/>
      </w:pPr>
      <w:r>
        <w:rPr>
          <w:rFonts w:ascii="Times New Roman" w:eastAsia="宋体"/>
          <w:sz w:val="21"/>
        </w:rPr>
        <w:t xml:space="preserve">7.2.4　能耗指标分析</w:t>
      </w:r>
    </w:p>
    <w:p>
      <w:pPr/>
      <w:r>
        <w:rPr>
          <w:rFonts w:ascii="Times New Roman" w:eastAsia="宋体"/>
          <w:sz w:val="21"/>
        </w:rPr>
        <w:t xml:space="preserve">按综合能耗计算通则，将各类能源消耗折算成标准煤，并计算分析项目综合能耗和单位建筑面积能耗，结果如下表。</w:t>
      </w:r>
    </w:p>
    <w:p>
      <w:pPr/>
      <w:r>
        <w:rPr>
          <w:b/>
          <w:rFonts w:ascii="Times New Roman" w:eastAsia="宋体"/>
          <w:sz w:val="21"/>
        </w:rPr>
        <w:t xml:space="preserve">表7-3 项目综合能耗及能耗指标</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能耗项</w:t>
            </w:r>
          </w:p>
        </w:tc>
        <w:tc>
          <w:tcPr>
            <w:tcW w:w="0" w:type="auto"/>
          </w:tcPr>
          <w:p>
            <w:pPr/>
            <w:r>
              <w:rPr>
                <w:b/>
                <w:rFonts w:ascii="Times New Roman" w:eastAsia="宋体"/>
                <w:sz w:val="21"/>
              </w:rPr>
              <w:t xml:space="preserve">取值</w:t>
            </w:r>
          </w:p>
        </w:tc>
      </w:tr>
      <w:tr>
        <w:tc>
          <w:tcPr>
            <w:tcW w:w="0" w:type="auto"/>
          </w:tcPr>
          <w:p>
            <w:pPr/>
            <w:r>
              <w:rPr>
                <w:rFonts w:ascii="Times New Roman" w:eastAsia="宋体"/>
                <w:sz w:val="21"/>
              </w:rPr>
              <w:t xml:space="preserve">年总用水量</w:t>
            </w:r>
          </w:p>
        </w:tc>
        <w:tc>
          <w:tcPr>
            <w:tcW w:w="0" w:type="auto"/>
          </w:tcPr>
          <w:p>
            <w:pPr/>
            <w:r>
              <w:rPr>
                <w:rFonts w:ascii="Times New Roman" w:eastAsia="宋体"/>
                <w:sz w:val="21"/>
              </w:rPr>
              <w:t xml:space="preserve">1.74 万m³</w:t>
            </w:r>
          </w:p>
        </w:tc>
      </w:tr>
      <w:tr>
        <w:tc>
          <w:tcPr>
            <w:tcW w:w="0" w:type="auto"/>
          </w:tcPr>
          <w:p>
            <w:pPr/>
            <w:r>
              <w:rPr>
                <w:rFonts w:ascii="Times New Roman" w:eastAsia="宋体"/>
                <w:sz w:val="21"/>
              </w:rPr>
              <w:t xml:space="preserve">年总耗电量</w:t>
            </w:r>
          </w:p>
        </w:tc>
        <w:tc>
          <w:tcPr>
            <w:tcW w:w="0" w:type="auto"/>
          </w:tcPr>
          <w:p>
            <w:pPr/>
            <w:r>
              <w:rPr>
                <w:rFonts w:ascii="Times New Roman" w:eastAsia="宋体"/>
                <w:sz w:val="21"/>
              </w:rPr>
              <w:t xml:space="preserve">72 万千瓦时</w:t>
            </w:r>
          </w:p>
        </w:tc>
      </w:tr>
      <w:tr>
        <w:tc>
          <w:tcPr>
            <w:tcW w:w="0" w:type="auto"/>
          </w:tcPr>
          <w:p>
            <w:pPr/>
            <w:r>
              <w:rPr>
                <w:rFonts w:ascii="Times New Roman" w:eastAsia="宋体"/>
                <w:sz w:val="21"/>
              </w:rPr>
              <w:t xml:space="preserve">综合能耗（当量值）</w:t>
            </w:r>
          </w:p>
        </w:tc>
        <w:tc>
          <w:tcPr>
            <w:tcW w:w="0" w:type="auto"/>
          </w:tcPr>
          <w:p>
            <w:pPr/>
            <w:r>
              <w:rPr>
                <w:rFonts w:ascii="Times New Roman" w:eastAsia="宋体"/>
                <w:sz w:val="21"/>
              </w:rPr>
              <w:t xml:space="preserve">90 tce</w:t>
            </w:r>
          </w:p>
        </w:tc>
      </w:tr>
      <w:tr>
        <w:tc>
          <w:tcPr>
            <w:tcW w:w="0" w:type="auto"/>
          </w:tcPr>
          <w:p>
            <w:pPr/>
            <w:r>
              <w:rPr>
                <w:rFonts w:ascii="Times New Roman" w:eastAsia="宋体"/>
                <w:sz w:val="21"/>
              </w:rPr>
              <w:t xml:space="preserve">综合能耗（等价值）</w:t>
            </w:r>
          </w:p>
        </w:tc>
        <w:tc>
          <w:tcPr>
            <w:tcW w:w="0" w:type="auto"/>
          </w:tcPr>
          <w:p>
            <w:pPr/>
            <w:r>
              <w:rPr>
                <w:rFonts w:ascii="Times New Roman" w:eastAsia="宋体"/>
                <w:sz w:val="21"/>
              </w:rPr>
              <w:t xml:space="preserve">218 tce</w:t>
            </w:r>
          </w:p>
        </w:tc>
      </w:tr>
      <w:tr>
        <w:tc>
          <w:tcPr>
            <w:tcW w:w="0" w:type="auto"/>
          </w:tcPr>
          <w:p>
            <w:pPr/>
            <w:r>
              <w:rPr>
                <w:rFonts w:ascii="Times New Roman" w:eastAsia="宋体"/>
                <w:sz w:val="21"/>
              </w:rPr>
              <w:t xml:space="preserve">单位面积综合能耗（当量值）</w:t>
            </w:r>
          </w:p>
        </w:tc>
        <w:tc>
          <w:tcPr>
            <w:tcW w:w="0" w:type="auto"/>
          </w:tcPr>
          <w:p>
            <w:pPr/>
            <w:r>
              <w:rPr>
                <w:rFonts w:ascii="Times New Roman" w:eastAsia="宋体"/>
                <w:sz w:val="21"/>
              </w:rPr>
              <w:t xml:space="preserve">4.91 kgce/㎡</w:t>
            </w:r>
          </w:p>
        </w:tc>
      </w:tr>
      <w:tr>
        <w:tc>
          <w:tcPr>
            <w:tcW w:w="0" w:type="auto"/>
          </w:tcPr>
          <w:p>
            <w:pPr/>
            <w:r>
              <w:rPr>
                <w:rFonts w:ascii="Times New Roman" w:eastAsia="宋体"/>
                <w:sz w:val="21"/>
              </w:rPr>
              <w:t xml:space="preserve">单位面积综合能耗（等价值）</w:t>
            </w:r>
          </w:p>
        </w:tc>
        <w:tc>
          <w:tcPr>
            <w:tcW w:w="0" w:type="auto"/>
          </w:tcPr>
          <w:p>
            <w:pPr/>
            <w:r>
              <w:rPr>
                <w:rFonts w:ascii="Times New Roman" w:eastAsia="宋体"/>
                <w:sz w:val="21"/>
              </w:rPr>
              <w:t xml:space="preserve">11.87 kgce/㎡</w:t>
            </w:r>
          </w:p>
        </w:tc>
      </w:tr>
      <w:tr>
        <w:tc>
          <w:tcPr>
            <w:tcW w:w="0" w:type="auto"/>
          </w:tcPr>
          <w:p>
            <w:pPr/>
            <w:r>
              <w:rPr>
                <w:rFonts w:ascii="Times New Roman" w:eastAsia="宋体"/>
                <w:sz w:val="21"/>
              </w:rPr>
              <w:t xml:space="preserve">单位建筑面积电耗</w:t>
            </w:r>
          </w:p>
        </w:tc>
        <w:tc>
          <w:tcPr>
            <w:tcW w:w="0" w:type="auto"/>
          </w:tcPr>
          <w:p>
            <w:pPr/>
            <w:r>
              <w:rPr>
                <w:rFonts w:ascii="Times New Roman" w:eastAsia="宋体"/>
                <w:sz w:val="21"/>
              </w:rPr>
              <w:t xml:space="preserve">39.30 kW·h/㎡</w:t>
            </w:r>
          </w:p>
        </w:tc>
      </w:tr>
      <w:tr>
        <w:tc>
          <w:tcPr>
            <w:tcW w:w="0" w:type="auto"/>
          </w:tcPr>
          <w:p>
            <w:pPr/>
            <w:r>
              <w:rPr>
                <w:rFonts w:ascii="Times New Roman" w:eastAsia="宋体"/>
                <w:sz w:val="21"/>
              </w:rPr>
              <w:t xml:space="preserve">综合能耗·水·折标系数</w:t>
            </w:r>
          </w:p>
        </w:tc>
        <w:tc>
          <w:tcPr>
            <w:tcW w:w="0" w:type="auto"/>
          </w:tcPr>
          <w:p>
            <w:pPr/>
            <w:r>
              <w:rPr>
                <w:rFonts w:ascii="Times New Roman" w:eastAsia="宋体"/>
                <w:sz w:val="21"/>
              </w:rPr>
              <w:t xml:space="preserve">0.857 tce/万m³</w:t>
            </w:r>
          </w:p>
        </w:tc>
      </w:tr>
      <w:tr>
        <w:tc>
          <w:tcPr>
            <w:tcW w:w="0" w:type="auto"/>
          </w:tcPr>
          <w:p>
            <w:pPr/>
            <w:r>
              <w:rPr>
                <w:rFonts w:ascii="Times New Roman" w:eastAsia="宋体"/>
                <w:sz w:val="21"/>
              </w:rPr>
              <w:t xml:space="preserve">综合能耗·电力·折标系数（当量值）</w:t>
            </w:r>
          </w:p>
        </w:tc>
        <w:tc>
          <w:tcPr>
            <w:tcW w:w="0" w:type="auto"/>
          </w:tcPr>
          <w:p>
            <w:pPr/>
            <w:r>
              <w:rPr>
                <w:rFonts w:ascii="Times New Roman" w:eastAsia="宋体"/>
                <w:sz w:val="21"/>
              </w:rPr>
              <w:t xml:space="preserve">1.229 tce/万kW·h</w:t>
            </w:r>
          </w:p>
        </w:tc>
      </w:tr>
    </w:tbl>
    <w:p>
      <w:pPr/>
      <w:r>
        <w:rPr>
          <w:rFonts w:ascii="Times New Roman" w:eastAsia="宋体"/>
          <w:sz w:val="21"/>
        </w:rPr>
        <w:t xml:space="preserve">综合能耗与单位面积能耗的复核：按 R-综合能耗（综合能耗（当量值））复算为 </w:t>
      </w:r>
      <w:r>
        <w:rPr>
          <w:b/>
          <w:rFonts w:ascii="Times New Roman" w:eastAsia="宋体"/>
          <w:sz w:val="21"/>
        </w:rPr>
        <w:t xml:space="preserve">90</w:t>
      </w:r>
      <w:r>
        <w:rPr>
          <w:rFonts w:ascii="Times New Roman" w:eastAsia="宋体"/>
          <w:sz w:val="21"/>
        </w:rPr>
        <w:t xml:space="preserve">，与报告声明一致（闭合）。；</w:t>
      </w:r>
      <w:r>
        <w:rPr>
          <w:b/>
          <w:rFonts w:ascii="Times New Roman" w:eastAsia="宋体"/>
          <w:sz w:val="21"/>
        </w:rPr>
        <w:t xml:space="preserve">R-单位面积综合能耗（单位面积综合能耗（当量值））因依赖存在未裁决冲突而无法计算</w:t>
      </w:r>
      <w:r>
        <w:rPr>
          <w:rFonts w:ascii="Times New Roman" w:eastAsia="宋体"/>
          <w:sz w:val="21"/>
        </w:rPr>
        <w:t xml:space="preserve">（本项目建筑面积=18219/18319），本稿不给单一值。；</w:t>
      </w:r>
      <w:r>
        <w:rPr>
          <w:b/>
          <w:rFonts w:ascii="Times New Roman" w:eastAsia="宋体"/>
          <w:sz w:val="21"/>
        </w:rPr>
        <w:t xml:space="preserve">R-单位建筑面积电耗（单位建筑面积电耗）因依赖存在未裁决冲突而无法计算</w:t>
      </w:r>
      <w:r>
        <w:rPr>
          <w:rFonts w:ascii="Times New Roman" w:eastAsia="宋体"/>
          <w:sz w:val="21"/>
        </w:rPr>
        <w:t xml:space="preserve">（本项目建筑面积=18219/18319），本稿不给单一值。。上述三条规则因依赖「本项目建筑面积」而受阻于总建筑面积的未裁决冲突，本稿不给出单一值。</w:t>
      </w:r>
    </w:p>
    <w:p>
      <w:pPr>
        <w:pStyle w:val="Heading2"/>
      </w:pPr>
      <w:r>
        <w:rPr>
          <w:rFonts w:ascii="Times New Roman" w:eastAsia="宋体"/>
          <w:sz w:val="21"/>
        </w:rPr>
        <w:t xml:space="preserve">7.3　节能措施</w:t>
      </w:r>
    </w:p>
    <w:p>
      <w:pPr>
        <w:pStyle w:val="Heading3"/>
      </w:pPr>
      <w:r>
        <w:rPr>
          <w:rFonts w:ascii="Times New Roman" w:eastAsia="宋体"/>
          <w:sz w:val="21"/>
        </w:rPr>
        <w:t xml:space="preserve">7.3.1　建筑节能措施</w:t>
      </w:r>
    </w:p>
    <w:p>
      <w:pPr/>
      <w:r>
        <w:rPr>
          <w:b/>
          <w:rFonts w:ascii="Times New Roman" w:eastAsia="宋体"/>
          <w:sz w:val="21"/>
        </w:rPr>
        <w:t xml:space="preserve">建筑形体</w:t>
      </w:r>
      <w:r>
        <w:rPr>
          <w:rFonts w:ascii="Times New Roman" w:eastAsia="宋体"/>
          <w:sz w:val="21"/>
        </w:rPr>
        <w:t xml:space="preserve">：形体设计为简洁规整的形体，有利于减少建筑能耗。</w:t>
      </w:r>
      <w:r>
        <w:rPr>
          <w:b/>
          <w:rFonts w:ascii="Times New Roman" w:eastAsia="宋体"/>
          <w:sz w:val="21"/>
        </w:rPr>
        <w:t xml:space="preserve">建筑设备</w:t>
      </w:r>
      <w:r>
        <w:rPr>
          <w:rFonts w:ascii="Times New Roman" w:eastAsia="宋体"/>
          <w:sz w:val="21"/>
        </w:rPr>
        <w:t xml:space="preserve">：选用低能耗、高效率节能产品，降低整体能耗。</w:t>
      </w:r>
    </w:p>
    <w:p>
      <w:pPr/>
      <w:r>
        <w:rPr>
          <w:b/>
          <w:rFonts w:ascii="Times New Roman" w:eastAsia="宋体"/>
          <w:sz w:val="21"/>
        </w:rPr>
        <w:t xml:space="preserve">建筑节能合规性判定</w:t>
      </w:r>
      <w:r>
        <w:rPr>
          <w:rFonts w:ascii="Times New Roman" w:eastAsia="宋体"/>
          <w:sz w:val="21"/>
        </w:rPr>
        <w:t xml:space="preserve">：以公共建筑节能设计标准为依据进行规定性指标与综合指标判定。该判定的结论受上述版本冲突影响，现说明如下。</w:t>
      </w:r>
    </w:p>
    <w:p>
      <w:pPr>
        <w:ind w:left="420"/>
      </w:pPr>
      <w:r>
        <w:rPr>
          <w:b/>
          <w:rFonts w:ascii="Times New Roman" w:eastAsia="宋体"/>
          <w:sz w:val="21"/>
        </w:rPr>
        <w:t xml:space="preserve">⚠️ 依据复核（B-10）</w:t>
      </w:r>
      <w:r>
        <w:rPr>
          <w:rFonts w:ascii="Times New Roman" w:eastAsia="宋体"/>
          <w:sz w:val="21"/>
        </w:rPr>
        <w:t xml:space="preserve">：报告 6.5 强电设计依据引用《绿色建筑评价标准》GB-T50378-2014。住建部公告 2019 年第 61 号：GB/T50378-2019 自 </w:t>
      </w:r>
      <w:r>
        <w:rPr>
          <w:b/>
          <w:rFonts w:ascii="Times New Roman" w:eastAsia="宋体"/>
          <w:sz w:val="21"/>
        </w:rPr>
        <w:t xml:space="preserve">2019 年 8 月 1 日</w:t>
      </w:r>
      <w:r>
        <w:rPr>
          <w:rFonts w:ascii="Times New Roman" w:eastAsia="宋体"/>
          <w:sz w:val="21"/>
        </w:rPr>
        <w:t xml:space="preserve">起实施，GB/T50378-2014 同时废止。本报告编制日期为 2019 年 8 月——</w:t>
      </w:r>
      <w:r>
        <w:rPr>
          <w:b/>
          <w:rFonts w:ascii="Times New Roman" w:eastAsia="宋体"/>
          <w:sz w:val="21"/>
        </w:rPr>
        <w:t xml:space="preserve">标准切换与本报告编制落在同一个月</w:t>
      </w:r>
      <w:r>
        <w:rPr>
          <w:rFonts w:ascii="Times New Roman" w:eastAsia="宋体"/>
          <w:sz w:val="21"/>
        </w:rPr>
        <w:t xml:space="preserve">，是否应按 2019 版执行，取决于实际报审/审图时点，无法由文本单方判定。</w:t>
      </w:r>
    </w:p>
    <w:p>
      <w:pPr>
        <w:ind w:left="420"/>
      </w:pPr>
      <w:r>
        <w:rPr>
          <w:rFonts w:ascii="Times New Roman" w:eastAsia="宋体"/>
          <w:sz w:val="21"/>
        </w:rPr>
        <w:t xml:space="preserve">- 若 报审时点在 2019-08-01 之后 ⇒ 应引用 GB/T50378-2019，报告引用版本已废止</w:t>
      </w:r>
    </w:p>
    <w:p>
      <w:pPr>
        <w:ind w:left="420"/>
      </w:pPr>
      <w:r>
        <w:rPr>
          <w:rFonts w:ascii="Times New Roman" w:eastAsia="宋体"/>
          <w:sz w:val="21"/>
        </w:rPr>
        <w:t xml:space="preserve">- 若 报审/设计工作在 2019-08-01 之前完成 ⇒ 引用 2014 版可成立</w:t>
      </w:r>
    </w:p>
    <w:p>
      <w:pPr>
        <w:ind w:left="420"/>
      </w:pPr>
      <w:r>
        <w:rPr>
          <w:rFonts w:ascii="Times New Roman" w:eastAsia="宋体"/>
          <w:sz w:val="21"/>
        </w:rPr>
        <w:t xml:space="preserve">- 须核对：确认本项目的施工图审查/报建时点</w:t>
      </w:r>
    </w:p>
    <w:p>
      <w:pPr>
        <w:pStyle w:val="Heading3"/>
      </w:pPr>
      <w:r>
        <w:rPr>
          <w:rFonts w:ascii="Times New Roman" w:eastAsia="宋体"/>
          <w:sz w:val="21"/>
        </w:rPr>
        <w:t xml:space="preserve">7.3.2　电气节能措施</w:t>
      </w:r>
    </w:p>
    <w:p>
      <w:pPr/>
      <w:r>
        <w:rPr>
          <w:b/>
          <w:rFonts w:ascii="Times New Roman" w:eastAsia="宋体"/>
          <w:sz w:val="21"/>
        </w:rPr>
        <w:t xml:space="preserve">计量与审计</w:t>
      </w:r>
      <w:r>
        <w:rPr>
          <w:rFonts w:ascii="Times New Roman" w:eastAsia="宋体"/>
          <w:sz w:val="21"/>
        </w:rPr>
        <w:t xml:space="preserve">：对冷热源/输配系统和照明等各部分主要设备进行独立能耗计量，为后期能耗审计及建筑能耗优化提供可能；分类、分项计量各类能耗。</w:t>
      </w:r>
    </w:p>
    <w:p>
      <w:pPr/>
      <w:r>
        <w:rPr>
          <w:b/>
          <w:rFonts w:ascii="Times New Roman" w:eastAsia="宋体"/>
          <w:sz w:val="21"/>
        </w:rPr>
        <w:t xml:space="preserve">照明节能</w:t>
      </w:r>
      <w:r>
        <w:rPr>
          <w:rFonts w:ascii="Times New Roman" w:eastAsia="宋体"/>
          <w:sz w:val="21"/>
        </w:rPr>
        <w:t xml:space="preserve">：建筑照明功率密度符合照明设计标准目标值要求；细化照明区域划分，实现照明节能；建筑室内照度、统一眩光值及一般显色指数符合标准要求；采用先进节能高效光源的灯具及镇流器。</w:t>
      </w:r>
    </w:p>
    <w:p>
      <w:pPr/>
      <w:r>
        <w:rPr>
          <w:b/>
          <w:rFonts w:ascii="Times New Roman" w:eastAsia="宋体"/>
          <w:sz w:val="21"/>
        </w:rPr>
        <w:t xml:space="preserve">供配电节能</w:t>
      </w:r>
      <w:r>
        <w:rPr>
          <w:rFonts w:ascii="Times New Roman" w:eastAsia="宋体"/>
          <w:sz w:val="21"/>
        </w:rPr>
        <w:t xml:space="preserve">：将低压配电间设置在负荷中心，减少低压侧线路长度，降低线路损耗；单相负荷尽可能均衡地分配在三相上，使三相负荷保持基本平衡。</w:t>
      </w:r>
    </w:p>
    <w:p>
      <w:pPr/>
      <w:r>
        <w:rPr>
          <w:b/>
          <w:rFonts w:ascii="Times New Roman" w:eastAsia="宋体"/>
          <w:sz w:val="21"/>
        </w:rPr>
        <w:t xml:space="preserve">智能化</w:t>
      </w:r>
      <w:r>
        <w:rPr>
          <w:rFonts w:ascii="Times New Roman" w:eastAsia="宋体"/>
          <w:sz w:val="21"/>
        </w:rPr>
        <w:t xml:space="preserve">：采用智能空调自控系统，根据建筑所需冷量控制供冷量；设置完善的信息网络系统，有效监测建筑中空调/通风和照明系统的能耗。</w:t>
      </w:r>
    </w:p>
    <w:p>
      <w:pPr>
        <w:pStyle w:val="Heading3"/>
      </w:pPr>
      <w:r>
        <w:rPr>
          <w:rFonts w:ascii="Times New Roman" w:eastAsia="宋体"/>
          <w:sz w:val="21"/>
        </w:rPr>
        <w:t xml:space="preserve">7.3.3　暖通与给排水节能措施</w:t>
      </w:r>
    </w:p>
    <w:p>
      <w:pPr/>
      <w:r>
        <w:rPr>
          <w:b/>
          <w:rFonts w:ascii="Times New Roman" w:eastAsia="宋体"/>
          <w:sz w:val="21"/>
        </w:rPr>
        <w:t xml:space="preserve">暖通</w:t>
      </w:r>
      <w:r>
        <w:rPr>
          <w:rFonts w:ascii="Times New Roman" w:eastAsia="宋体"/>
          <w:sz w:val="21"/>
        </w:rPr>
        <w:t xml:space="preserve">：空调通风系统采用自动控制；选用高效率的通风空调设备；多联式空调机组的制冷综合性能系数不低于地方节能设计标准的规定；提高建筑围护结构的保温隔热性能；风管和水管的绝热材料与厚度符合节能规范要求；空调通风系统风机的单位风量耗功率符合规范要求。</w:t>
      </w:r>
    </w:p>
    <w:p>
      <w:pPr/>
      <w:r>
        <w:rPr>
          <w:b/>
          <w:rFonts w:ascii="Times New Roman" w:eastAsia="宋体"/>
          <w:sz w:val="21"/>
        </w:rPr>
        <w:t xml:space="preserve">给排水</w:t>
      </w:r>
      <w:r>
        <w:rPr>
          <w:rFonts w:ascii="Times New Roman" w:eastAsia="宋体"/>
          <w:sz w:val="21"/>
        </w:rPr>
        <w:t xml:space="preserve">：一层由市政管网压力直接供水，二层及以上采用变频增压供水，增压系统选用节能高效设备，给水系统分区合理；用水点供水压力过高的楼层设置支管减压阀减压，合理采取减压限流措施；避免管道、阀门和设备的漏水渗水；所有用水器具均采用节水型产品；按用途与管理单元分别设置用水计量装置。</w:t>
      </w:r>
    </w:p>
    <w:p>
      <w:pPr>
        <w:pStyle w:val="Heading2"/>
      </w:pPr>
      <w:r>
        <w:rPr>
          <w:rFonts w:ascii="Times New Roman" w:eastAsia="宋体"/>
          <w:sz w:val="21"/>
        </w:rPr>
        <w:t xml:space="preserve">7.4　节能效果分析</w:t>
      </w:r>
    </w:p>
    <w:p>
      <w:pPr/>
      <w:r>
        <w:rPr>
          <w:rFonts w:ascii="Times New Roman" w:eastAsia="宋体"/>
          <w:sz w:val="21"/>
        </w:rPr>
        <w:t xml:space="preserve">本项目为达到节能目标，在建筑设计、给排水设计、电气设计、暖通设计等方面严格执行国家与地方相关标准规范，积极选用高效节能的设备、材料和技术方案，不采用国家明令禁止或淘汰的落后工艺与设备。</w:t>
      </w:r>
    </w:p>
    <w:p>
      <w:pPr/>
      <w:r>
        <w:rPr>
          <w:b/>
          <w:rFonts w:ascii="Times New Roman" w:eastAsia="宋体"/>
          <w:sz w:val="21"/>
        </w:rPr>
        <w:t xml:space="preserve">本稿补充说明</w:t>
      </w:r>
      <w:r>
        <w:rPr>
          <w:rFonts w:ascii="Times New Roman" w:eastAsia="宋体"/>
          <w:sz w:val="21"/>
        </w:rPr>
        <w:t xml:space="preserve">：本类章节最常见的写法问题是「节能措施写成清单堆砌」——写了一长串措施，却不说这些措施使指标达到了什么水平。因此本章的关键在于：节能措施必须与 7.2 节的能耗指标</w:t>
      </w:r>
      <w:r>
        <w:rPr>
          <w:b/>
          <w:rFonts w:ascii="Times New Roman" w:eastAsia="宋体"/>
          <w:sz w:val="21"/>
        </w:rPr>
        <w:t xml:space="preserve">形成对应</w:t>
      </w:r>
      <w:r>
        <w:rPr>
          <w:rFonts w:ascii="Times New Roman" w:eastAsia="宋体"/>
          <w:sz w:val="21"/>
        </w:rPr>
        <w:t xml:space="preserve">，并说明措施实施后单位面积综合能耗与单位建筑面积电耗落在什么区间。本项目的能耗指标计算已完成，但由于其依赖的面积基数存在未裁决冲突，相关派生值本稿留白，待口径统一后补齐。</w:t>
      </w:r>
    </w:p>
    <w:p>
      <w:pPr>
        <w:pStyle w:val="Heading1"/>
      </w:pPr>
      <w:r>
        <w:rPr>
          <w:rFonts w:ascii="Times New Roman" w:eastAsia="宋体"/>
          <w:sz w:val="21"/>
        </w:rPr>
        <w:t xml:space="preserve">第八章　环境影响评价</w:t>
      </w:r>
    </w:p>
    <w:p>
      <w:pPr>
        <w:pStyle w:val="Heading2"/>
      </w:pPr>
      <w:r>
        <w:rPr>
          <w:rFonts w:ascii="Times New Roman" w:eastAsia="宋体"/>
          <w:sz w:val="21"/>
        </w:rPr>
        <w:t xml:space="preserve">8.1　环境影响评价标准</w:t>
      </w:r>
    </w:p>
    <w:p>
      <w:pPr/>
      <w:r>
        <w:rPr>
          <w:rFonts w:ascii="Times New Roman" w:eastAsia="宋体"/>
          <w:sz w:val="21"/>
        </w:rPr>
        <w:t xml:space="preserve">环评依据包括环境保护法、建设项目环境保护管理办法、水污染防治法，以及社会生活环境噪声排放标准、城市区域环境噪声标准、地表水环境质量标准、环境空气质量标准、污水综合排放标准、大气污染物综合排放标准、大气污染物无组织排放监测技术导则等国家与行业标准。</w:t>
      </w:r>
    </w:p>
    <w:p>
      <w:pPr>
        <w:ind w:left="420"/>
      </w:pPr>
      <w:r>
        <w:rPr>
          <w:b/>
          <w:rFonts w:ascii="Times New Roman" w:eastAsia="宋体"/>
          <w:sz w:val="21"/>
        </w:rPr>
        <w:t xml:space="preserve">⚠ 待审（依据适配性）</w:t>
      </w:r>
      <w:r>
        <w:rPr>
          <w:rFonts w:ascii="Times New Roman" w:eastAsia="宋体"/>
          <w:sz w:val="21"/>
        </w:rPr>
        <w:t xml:space="preserve">：原报告 8.1 节列有一项</w:t>
      </w:r>
      <w:r>
        <w:rPr>
          <w:b/>
          <w:rFonts w:ascii="Times New Roman" w:eastAsia="宋体"/>
          <w:sz w:val="21"/>
        </w:rPr>
        <w:t xml:space="preserve">广东省地方标准</w:t>
      </w:r>
      <w:r>
        <w:rPr>
          <w:rFonts w:ascii="Times New Roman" w:eastAsia="宋体"/>
          <w:sz w:val="21"/>
        </w:rPr>
        <w:t xml:space="preserve">作为环评依据，与本项目所在地（上海市）不适用。该条已登记为待审事项：地方标准的适用性以项目所在地为界，跨地域引用不会被评审采信。本稿不作替换，仅提示须按上海市地方标准核对后更正。</w:t>
      </w:r>
    </w:p>
    <w:p>
      <w:pPr>
        <w:pStyle w:val="Heading2"/>
      </w:pPr>
      <w:r>
        <w:rPr>
          <w:rFonts w:ascii="Times New Roman" w:eastAsia="宋体"/>
          <w:sz w:val="21"/>
        </w:rPr>
        <w:t xml:space="preserve">8.2　生态环境影响分析</w:t>
      </w:r>
    </w:p>
    <w:p>
      <w:pPr>
        <w:pStyle w:val="Heading3"/>
      </w:pPr>
      <w:r>
        <w:rPr>
          <w:rFonts w:ascii="Times New Roman" w:eastAsia="宋体"/>
          <w:sz w:val="21"/>
        </w:rPr>
        <w:t xml:space="preserve">8.2.1　施工期环境影响分析</w:t>
      </w:r>
    </w:p>
    <w:p>
      <w:pPr/>
      <w:r>
        <w:rPr>
          <w:b/>
          <w:rFonts w:ascii="Times New Roman" w:eastAsia="宋体"/>
          <w:sz w:val="21"/>
        </w:rPr>
        <w:t xml:space="preserve">扬尘及废气</w:t>
      </w:r>
      <w:r>
        <w:rPr>
          <w:rFonts w:ascii="Times New Roman" w:eastAsia="宋体"/>
          <w:sz w:val="21"/>
        </w:rPr>
        <w:t xml:space="preserve">：施工建设过程中产生的粉尘污染主要来自水泥的运输和搅拌作业，扬尘污染主要来自挖土、运土、装卸等施工环节；施工期间的废气污染主要为内燃机械和车辆尾气污染。</w:t>
      </w:r>
    </w:p>
    <w:p>
      <w:pPr/>
      <w:r>
        <w:rPr>
          <w:b/>
          <w:rFonts w:ascii="Times New Roman" w:eastAsia="宋体"/>
          <w:sz w:val="21"/>
        </w:rPr>
        <w:t xml:space="preserve">废水</w:t>
      </w:r>
      <w:r>
        <w:rPr>
          <w:rFonts w:ascii="Times New Roman" w:eastAsia="宋体"/>
          <w:sz w:val="21"/>
        </w:rPr>
        <w:t xml:space="preserve">：施工期间的废水主要为施工人员的生活污水、土方阶段降排水、冲车水、混凝土养护水及路面清洗水。施工废水含砂量较大，直接排放会污染附近地表水体；施工机械和车辆滴漏的油类由雨水径流携带进入周边地表水体，亦可能导致环境污染。</w:t>
      </w:r>
    </w:p>
    <w:p>
      <w:pPr/>
      <w:r>
        <w:rPr>
          <w:b/>
          <w:rFonts w:ascii="Times New Roman" w:eastAsia="宋体"/>
          <w:sz w:val="21"/>
        </w:rPr>
        <w:t xml:space="preserve">噪声</w:t>
      </w:r>
      <w:r>
        <w:rPr>
          <w:rFonts w:ascii="Times New Roman" w:eastAsia="宋体"/>
          <w:sz w:val="21"/>
        </w:rPr>
        <w:t xml:space="preserve">：施工噪声污染主要来自大型施工机械设备（打桩、吊装设备、混凝土拌和等），以及运输车辆产生的机械振动噪声和行驶噪声。</w:t>
      </w:r>
    </w:p>
    <w:p>
      <w:pPr/>
      <w:r>
        <w:rPr>
          <w:b/>
          <w:rFonts w:ascii="Times New Roman" w:eastAsia="宋体"/>
          <w:sz w:val="21"/>
        </w:rPr>
        <w:t xml:space="preserve">固体废物</w:t>
      </w:r>
      <w:r>
        <w:rPr>
          <w:rFonts w:ascii="Times New Roman" w:eastAsia="宋体"/>
          <w:sz w:val="21"/>
        </w:rPr>
        <w:t xml:space="preserve">：施工期间产生的固体废物主要为建筑垃圾、弃土、装修垃圾及生活垃圾。</w:t>
      </w:r>
    </w:p>
    <w:p>
      <w:pPr>
        <w:pStyle w:val="Heading3"/>
      </w:pPr>
      <w:r>
        <w:rPr>
          <w:rFonts w:ascii="Times New Roman" w:eastAsia="宋体"/>
          <w:sz w:val="21"/>
        </w:rPr>
        <w:t xml:space="preserve">8.2.2　运营期环境影响分析</w:t>
      </w:r>
    </w:p>
    <w:p>
      <w:pPr/>
      <w:r>
        <w:rPr>
          <w:b/>
          <w:rFonts w:ascii="Times New Roman" w:eastAsia="宋体"/>
          <w:sz w:val="21"/>
        </w:rPr>
        <w:t xml:space="preserve">废气</w:t>
      </w:r>
      <w:r>
        <w:rPr>
          <w:rFonts w:ascii="Times New Roman" w:eastAsia="宋体"/>
          <w:sz w:val="21"/>
        </w:rPr>
        <w:t xml:space="preserve">：运营期废气主要来自地面汽车尾气，污染物主要是一氧化碳、二氧化氮、碳氢化合物等有害物。</w:t>
      </w:r>
      <w:r>
        <w:rPr>
          <w:b/>
          <w:rFonts w:ascii="Times New Roman" w:eastAsia="宋体"/>
          <w:sz w:val="21"/>
        </w:rPr>
        <w:t xml:space="preserve">废水</w:t>
      </w:r>
      <w:r>
        <w:rPr>
          <w:rFonts w:ascii="Times New Roman" w:eastAsia="宋体"/>
          <w:sz w:val="21"/>
        </w:rPr>
        <w:t xml:space="preserve">：运营期排放废水主要为生活废水。</w:t>
      </w:r>
      <w:r>
        <w:rPr>
          <w:b/>
          <w:rFonts w:ascii="Times New Roman" w:eastAsia="宋体"/>
          <w:sz w:val="21"/>
        </w:rPr>
        <w:t xml:space="preserve">噪声</w:t>
      </w:r>
      <w:r>
        <w:rPr>
          <w:rFonts w:ascii="Times New Roman" w:eastAsia="宋体"/>
          <w:sz w:val="21"/>
        </w:rPr>
        <w:t xml:space="preserve">：运营期噪声主要为水泵、换排气风机及车辆行驶噪声。</w:t>
      </w:r>
      <w:r>
        <w:rPr>
          <w:b/>
          <w:rFonts w:ascii="Times New Roman" w:eastAsia="宋体"/>
          <w:sz w:val="21"/>
        </w:rPr>
        <w:t xml:space="preserve">固体废物</w:t>
      </w:r>
      <w:r>
        <w:rPr>
          <w:rFonts w:ascii="Times New Roman" w:eastAsia="宋体"/>
          <w:sz w:val="21"/>
        </w:rPr>
        <w:t xml:space="preserve">：主要为生活垃圾。</w:t>
      </w:r>
    </w:p>
    <w:p>
      <w:pPr>
        <w:ind w:left="420"/>
      </w:pPr>
      <w:r>
        <w:rPr>
          <w:b/>
          <w:rFonts w:ascii="Times New Roman" w:eastAsia="宋体"/>
          <w:sz w:val="21"/>
        </w:rPr>
        <w:t xml:space="preserve">本稿补充说明</w:t>
      </w:r>
      <w:r>
        <w:rPr>
          <w:rFonts w:ascii="Times New Roman" w:eastAsia="宋体"/>
          <w:sz w:val="21"/>
        </w:rPr>
        <w:t xml:space="preserve">：运营期噪声源（水泵、风机）未给出厂界噪声预测值。环评是可研的独立程序，可研中的口径应与环评报告一致；建议在环评阶段补充预测值后再行衔接。</w:t>
      </w:r>
    </w:p>
    <w:p>
      <w:pPr>
        <w:pStyle w:val="Heading2"/>
      </w:pPr>
      <w:r>
        <w:rPr>
          <w:rFonts w:ascii="Times New Roman" w:eastAsia="宋体"/>
          <w:sz w:val="21"/>
        </w:rPr>
        <w:t xml:space="preserve">8.3　生态环境保护措施</w:t>
      </w:r>
    </w:p>
    <w:p>
      <w:pPr>
        <w:pStyle w:val="Heading3"/>
      </w:pPr>
      <w:r>
        <w:rPr>
          <w:rFonts w:ascii="Times New Roman" w:eastAsia="宋体"/>
          <w:sz w:val="21"/>
        </w:rPr>
        <w:t xml:space="preserve">8.3.1　施工期环境保护措施</w:t>
      </w:r>
    </w:p>
    <w:p>
      <w:pPr/>
      <w:r>
        <w:rPr>
          <w:b/>
          <w:rFonts w:ascii="Times New Roman" w:eastAsia="宋体"/>
          <w:sz w:val="21"/>
        </w:rPr>
        <w:t xml:space="preserve">扬尘防治</w:t>
      </w:r>
      <w:r>
        <w:rPr>
          <w:rFonts w:ascii="Times New Roman" w:eastAsia="宋体"/>
          <w:sz w:val="21"/>
        </w:rPr>
        <w:t xml:space="preserve">：对弃土表面作洒水处理，及时运走弃土，装运过程中避免超载，车辆驶出工地前清除轮胎泥土，对工地门前道路实行保洁制度。</w:t>
      </w:r>
    </w:p>
    <w:p>
      <w:pPr/>
      <w:r>
        <w:rPr>
          <w:b/>
          <w:rFonts w:ascii="Times New Roman" w:eastAsia="宋体"/>
          <w:sz w:val="21"/>
        </w:rPr>
        <w:t xml:space="preserve">水污染防治</w:t>
      </w:r>
      <w:r>
        <w:rPr>
          <w:rFonts w:ascii="Times New Roman" w:eastAsia="宋体"/>
          <w:sz w:val="21"/>
        </w:rPr>
        <w:t xml:space="preserve">：施工产生的泥浆水等污水建造简易沉淀池，经沉淀后排放或回用；施工人员生活污水及设备车辆冲洗水禁止乱排漫流，受纳水体设置格栅。</w:t>
      </w:r>
    </w:p>
    <w:p>
      <w:pPr/>
      <w:r>
        <w:rPr>
          <w:b/>
          <w:rFonts w:ascii="Times New Roman" w:eastAsia="宋体"/>
          <w:sz w:val="21"/>
        </w:rPr>
        <w:t xml:space="preserve">噪声防治</w:t>
      </w:r>
      <w:r>
        <w:rPr>
          <w:rFonts w:ascii="Times New Roman" w:eastAsia="宋体"/>
          <w:sz w:val="21"/>
        </w:rPr>
        <w:t xml:space="preserve">：合理安排施工时间与地点，对施工机械采取降噪措施，在工地周围设立临时隔声屏障；使用低噪声的建筑施工机械；对强噪声源按规定限制作业时间。施工场界噪声执行相应限值。</w:t>
      </w:r>
    </w:p>
    <w:p>
      <w:pPr/>
      <w:r>
        <w:rPr>
          <w:b/>
          <w:rFonts w:ascii="Times New Roman" w:eastAsia="宋体"/>
          <w:sz w:val="21"/>
        </w:rPr>
        <w:t xml:space="preserve">固废防治</w:t>
      </w:r>
      <w:r>
        <w:rPr>
          <w:rFonts w:ascii="Times New Roman" w:eastAsia="宋体"/>
          <w:sz w:val="21"/>
        </w:rPr>
        <w:t xml:space="preserve">：建设单位及工程承包单位与当地环卫部门联系，及时清理施工现场生活废弃物；生活及建筑废弃物定点存放、及时清运。</w:t>
      </w:r>
    </w:p>
    <w:p>
      <w:pPr>
        <w:pStyle w:val="Heading3"/>
      </w:pPr>
      <w:r>
        <w:rPr>
          <w:rFonts w:ascii="Times New Roman" w:eastAsia="宋体"/>
          <w:sz w:val="21"/>
        </w:rPr>
        <w:t xml:space="preserve">8.3.2　运营期环境保护措施</w:t>
      </w:r>
    </w:p>
    <w:p>
      <w:pPr/>
      <w:r>
        <w:rPr>
          <w:b/>
          <w:rFonts w:ascii="Times New Roman" w:eastAsia="宋体"/>
          <w:sz w:val="21"/>
        </w:rPr>
        <w:t xml:space="preserve">废气处理</w:t>
      </w:r>
      <w:r>
        <w:rPr>
          <w:rFonts w:ascii="Times New Roman" w:eastAsia="宋体"/>
          <w:sz w:val="21"/>
        </w:rPr>
        <w:t xml:space="preserve">：排风口与环境敏感目标保持规定间距，排风口朝向人员活动区域时底部离地面保持规定高度；设备用房设置机械通风系统，进排风通过竖井组织；卫生间设置机械排风系统并通过竖井出屋面排放；垃圾房、污水处理间、隔油间设置除臭装置和独立排风系统，排风出屋面高空排放。</w:t>
      </w:r>
    </w:p>
    <w:p>
      <w:pPr/>
      <w:r>
        <w:rPr>
          <w:b/>
          <w:rFonts w:ascii="Times New Roman" w:eastAsia="宋体"/>
          <w:sz w:val="21"/>
        </w:rPr>
        <w:t xml:space="preserve">废水处理</w:t>
      </w:r>
      <w:r>
        <w:rPr>
          <w:rFonts w:ascii="Times New Roman" w:eastAsia="宋体"/>
          <w:sz w:val="21"/>
        </w:rPr>
        <w:t xml:space="preserve">：污水经市政格栅监测井处理后排入城市污水管道；地下室潜水泵坑采用防臭密闭人孔盖，生活粪便污水潜水泵坑设独立通气管并伸至屋顶之外；空调冷凝水排水和机房地漏排水设独立排水系统。</w:t>
      </w:r>
    </w:p>
    <w:p>
      <w:pPr/>
      <w:r>
        <w:rPr>
          <w:b/>
          <w:rFonts w:ascii="Times New Roman" w:eastAsia="宋体"/>
          <w:sz w:val="21"/>
        </w:rPr>
        <w:t xml:space="preserve">噪声处理</w:t>
      </w:r>
      <w:r>
        <w:rPr>
          <w:rFonts w:ascii="Times New Roman" w:eastAsia="宋体"/>
          <w:sz w:val="21"/>
        </w:rPr>
        <w:t xml:space="preserve">：动力设备均设置在设备机房内或屋顶，选用低噪声设备并采取隔振降噪措施；空调机房作吸声处理、采用隔声门；水泵等振动设备要求供货商配带合适的减振基础。</w:t>
      </w:r>
    </w:p>
    <w:p>
      <w:pPr/>
      <w:r>
        <w:rPr>
          <w:b/>
          <w:rFonts w:ascii="Times New Roman" w:eastAsia="宋体"/>
          <w:sz w:val="21"/>
        </w:rPr>
        <w:t xml:space="preserve">固体废弃物处理</w:t>
      </w:r>
      <w:r>
        <w:rPr>
          <w:rFonts w:ascii="Times New Roman" w:eastAsia="宋体"/>
          <w:sz w:val="21"/>
        </w:rPr>
        <w:t xml:space="preserve">：生活垃圾设固定堆放点，按不同种类设置分类收集方式，由环卫部门统一集中处理，收集运输采用密闭式方法。</w:t>
      </w:r>
    </w:p>
    <w:p>
      <w:pPr>
        <w:pStyle w:val="Heading2"/>
      </w:pPr>
      <w:r>
        <w:rPr>
          <w:rFonts w:ascii="Times New Roman" w:eastAsia="宋体"/>
          <w:sz w:val="21"/>
        </w:rPr>
        <w:t xml:space="preserve">8.4　环境影响评价结论及建议</w:t>
      </w:r>
    </w:p>
    <w:p>
      <w:pPr/>
      <w:r>
        <w:rPr>
          <w:rFonts w:ascii="Times New Roman" w:eastAsia="宋体"/>
          <w:sz w:val="21"/>
        </w:rPr>
        <w:t xml:space="preserve">综上，只要在项目建设过程中按「三同时」认真落实污染治理措施，对废气、废水、噪声、固体废物等污染因子进行有效控制，做到达标排放，项目施工期和运营期都不会对环境造成大的影响。</w:t>
      </w:r>
      <w:r>
        <w:rPr>
          <w:b/>
          <w:rFonts w:ascii="Times New Roman" w:eastAsia="宋体"/>
          <w:sz w:val="21"/>
        </w:rPr>
        <w:t xml:space="preserve">因此，从环境保护的角度来讲，本项目的建设是可行的。</w:t>
      </w:r>
    </w:p>
    <w:p>
      <w:pPr/>
      <w:r>
        <w:rPr>
          <w:rFonts w:ascii="Times New Roman" w:eastAsia="宋体"/>
          <w:sz w:val="21"/>
        </w:rPr>
        <w:t xml:space="preserve">同时建议：在项目建设过程中，资金使用的时间安排上尽量保证「三废」治理工程与主体工程实行「三同时」的要求；在项目运营中严格执行「达标排放」原则，通过治理「三废」实现循环经济，做到社会效益、经济效益和环境效益相统一。</w:t>
      </w:r>
    </w:p>
    <w:p>
      <w:pPr/>
      <w:r>
        <w:rPr>
          <w:b/>
          <w:rFonts w:ascii="Times New Roman" w:eastAsia="宋体"/>
          <w:sz w:val="21"/>
        </w:rPr>
        <w:t xml:space="preserve">本稿补充说明</w:t>
      </w:r>
      <w:r>
        <w:rPr>
          <w:rFonts w:ascii="Times New Roman" w:eastAsia="宋体"/>
          <w:sz w:val="21"/>
        </w:rPr>
        <w:t xml:space="preserve">：本类结论的推理链是「落实措施 + 达标排放 ⇒ 不造成大的环境影响」。该推理成立的前提是措施可落实、限值可达到。当前报告未给出运营期厂界噪声预测值，故该前提中「噪声达标」一环尚缺支撑，建议在环评阶段补齐后回填本章。</w:t>
      </w:r>
    </w:p>
    <w:p>
      <w:pPr>
        <w:pStyle w:val="Heading1"/>
      </w:pPr>
      <w:r>
        <w:rPr>
          <w:rFonts w:ascii="Times New Roman" w:eastAsia="宋体"/>
          <w:sz w:val="21"/>
        </w:rPr>
        <w:t xml:space="preserve">第九章　卫生防疫与劳动安全</w:t>
      </w:r>
    </w:p>
    <w:p>
      <w:pPr>
        <w:pStyle w:val="Heading2"/>
      </w:pPr>
      <w:r>
        <w:rPr>
          <w:rFonts w:ascii="Times New Roman" w:eastAsia="宋体"/>
          <w:sz w:val="21"/>
        </w:rPr>
        <w:t xml:space="preserve">9.1　设计依据</w:t>
      </w:r>
    </w:p>
    <w:p>
      <w:pPr/>
      <w:r>
        <w:rPr>
          <w:rFonts w:ascii="Times New Roman" w:eastAsia="宋体"/>
          <w:sz w:val="21"/>
        </w:rPr>
        <w:t xml:space="preserve">本章设计依据包括安全生产法、建设项目（工程）劳动安全卫生监察规定、社会生活环境噪声排放标准等。</w:t>
      </w:r>
    </w:p>
    <w:p>
      <w:pPr>
        <w:ind w:left="420"/>
      </w:pPr>
      <w:r>
        <w:rPr>
          <w:b/>
          <w:rFonts w:ascii="Times New Roman" w:eastAsia="宋体"/>
          <w:sz w:val="21"/>
        </w:rPr>
        <w:t xml:space="preserve">⚠ 待审（依据时效）</w:t>
      </w:r>
      <w:r>
        <w:rPr>
          <w:rFonts w:ascii="Times New Roman" w:eastAsia="宋体"/>
          <w:sz w:val="21"/>
        </w:rPr>
        <w:t xml:space="preserve">：原报告本章依据清单中仍列有采暖通风与空气调节设计规范的旧版本编号，与第七章、第六章暖通设计所引用的现行版本不一致，属版本并存问题，已登记为待审事项，须按现行有效版本统一。</w:t>
      </w:r>
    </w:p>
    <w:p>
      <w:pPr>
        <w:pStyle w:val="Heading2"/>
      </w:pPr>
      <w:r>
        <w:rPr>
          <w:rFonts w:ascii="Times New Roman" w:eastAsia="宋体"/>
          <w:sz w:val="21"/>
        </w:rPr>
        <w:t xml:space="preserve">9.2　劳动安全</w:t>
      </w:r>
    </w:p>
    <w:p>
      <w:pPr>
        <w:pStyle w:val="Heading3"/>
      </w:pPr>
      <w:r>
        <w:rPr>
          <w:rFonts w:ascii="Times New Roman" w:eastAsia="宋体"/>
          <w:sz w:val="21"/>
        </w:rPr>
        <w:t xml:space="preserve">9.2.1　施工期危害因素分析及防范措施</w:t>
      </w:r>
    </w:p>
    <w:p>
      <w:pPr/>
      <w:r>
        <w:rPr>
          <w:b/>
          <w:rFonts w:ascii="Times New Roman" w:eastAsia="宋体"/>
          <w:sz w:val="21"/>
        </w:rPr>
        <w:t xml:space="preserve">危害因素</w:t>
      </w:r>
      <w:r>
        <w:rPr>
          <w:rFonts w:ascii="Times New Roman" w:eastAsia="宋体"/>
          <w:sz w:val="21"/>
        </w:rPr>
        <w:t xml:space="preserve">：施工期间由于安全措施不当或麻痹大意，容易产生各类安全事故：高空作业易引起坠落危害；操作大型机械设备或用电设备存在机械事故和漏电危险；高噪声、多粉尘环境会对施工人员造成身体伤害；原材料堆放场所的明火活动可能造成失火。</w:t>
      </w:r>
    </w:p>
    <w:p>
      <w:pPr/>
      <w:r>
        <w:rPr>
          <w:b/>
          <w:rFonts w:ascii="Times New Roman" w:eastAsia="宋体"/>
          <w:sz w:val="21"/>
        </w:rPr>
        <w:t xml:space="preserve">防范措施</w:t>
      </w:r>
      <w:r>
        <w:rPr>
          <w:rFonts w:ascii="Times New Roman" w:eastAsia="宋体"/>
          <w:sz w:val="21"/>
        </w:rPr>
        <w:t xml:space="preserve">：</w:t>
      </w:r>
    </w:p>
    <w:p>
      <w:pPr/>
      <w:r>
        <w:rPr>
          <w:b/>
          <w:rFonts w:ascii="Times New Roman" w:eastAsia="宋体"/>
          <w:sz w:val="21"/>
        </w:rPr>
        <w:t xml:space="preserve">（1）防自然灾害</w:t>
      </w:r>
      <w:r>
        <w:rPr>
          <w:rFonts w:ascii="Times New Roman" w:eastAsia="宋体"/>
          <w:sz w:val="21"/>
        </w:rPr>
        <w:t xml:space="preserve">：根据建筑工程抗震设防分类标准关于科学实验建筑的规定确定本工程抗震设防类别；根据上海市建筑抗震设计规程的规定，本工程抗震设防烈度按 7 度考虑。建筑设置避雷系统，各避雷装置良好接地，并在每年雷雨季之前进行检测。</w:t>
      </w:r>
    </w:p>
    <w:p>
      <w:pPr/>
      <w:r>
        <w:rPr>
          <w:b/>
          <w:rFonts w:ascii="Times New Roman" w:eastAsia="宋体"/>
          <w:sz w:val="21"/>
        </w:rPr>
        <w:t xml:space="preserve">（2）安全教育</w:t>
      </w:r>
      <w:r>
        <w:rPr>
          <w:rFonts w:ascii="Times New Roman" w:eastAsia="宋体"/>
          <w:sz w:val="21"/>
        </w:rPr>
        <w:t xml:space="preserve">：定期对施工人员进行安全教育，增强安全意识和自我保护意识；对电工、电焊工等要求持证上岗的工种坚持持证上岗制度。</w:t>
      </w:r>
    </w:p>
    <w:p>
      <w:pPr/>
      <w:r>
        <w:rPr>
          <w:b/>
          <w:rFonts w:ascii="Times New Roman" w:eastAsia="宋体"/>
          <w:sz w:val="21"/>
        </w:rPr>
        <w:t xml:space="preserve">（3）防机械伤害</w:t>
      </w:r>
      <w:r>
        <w:rPr>
          <w:rFonts w:ascii="Times New Roman" w:eastAsia="宋体"/>
          <w:sz w:val="21"/>
        </w:rPr>
        <w:t xml:space="preserve">：编制和执行各种有关施工安全的政策大纲；工地设置生产须知和安全警示牌；运输车辆、搅拌机等机械设备按规定使用，禁止违规操作；设置安全员并做好安全巡视。</w:t>
      </w:r>
    </w:p>
    <w:p>
      <w:pPr/>
      <w:r>
        <w:rPr>
          <w:b/>
          <w:rFonts w:ascii="Times New Roman" w:eastAsia="宋体"/>
          <w:sz w:val="21"/>
        </w:rPr>
        <w:t xml:space="preserve">（4）安全用电</w:t>
      </w:r>
      <w:r>
        <w:rPr>
          <w:rFonts w:ascii="Times New Roman" w:eastAsia="宋体"/>
          <w:sz w:val="21"/>
        </w:rPr>
        <w:t xml:space="preserve">：所有正常不带电的电气设备金属外壳均采用接零保护；照明配电箱采用带电保护的自动开关；检修照明采用安全电压；低压系统采用接零保护。</w:t>
      </w:r>
    </w:p>
    <w:p>
      <w:pPr/>
      <w:r>
        <w:rPr>
          <w:b/>
          <w:rFonts w:ascii="Times New Roman" w:eastAsia="宋体"/>
          <w:sz w:val="21"/>
        </w:rPr>
        <w:t xml:space="preserve">（5）防止火灾</w:t>
      </w:r>
      <w:r>
        <w:rPr>
          <w:rFonts w:ascii="Times New Roman" w:eastAsia="宋体"/>
          <w:sz w:val="21"/>
        </w:rPr>
        <w:t xml:space="preserve">：在工地适当位置放置灭火器等消防设备，加强对施工现场的管理和巡视。</w:t>
      </w:r>
    </w:p>
    <w:p>
      <w:pPr>
        <w:pStyle w:val="Heading3"/>
      </w:pPr>
      <w:r>
        <w:rPr>
          <w:rFonts w:ascii="Times New Roman" w:eastAsia="宋体"/>
          <w:sz w:val="21"/>
        </w:rPr>
        <w:t xml:space="preserve">9.2.2　运营期危害因素分析及防范措施</w:t>
      </w:r>
    </w:p>
    <w:p>
      <w:pPr/>
      <w:r>
        <w:rPr>
          <w:b/>
          <w:rFonts w:ascii="Times New Roman" w:eastAsia="宋体"/>
          <w:sz w:val="21"/>
        </w:rPr>
        <w:t xml:space="preserve">危害因素</w:t>
      </w:r>
      <w:r>
        <w:rPr>
          <w:rFonts w:ascii="Times New Roman" w:eastAsia="宋体"/>
          <w:sz w:val="21"/>
        </w:rPr>
        <w:t xml:space="preserve">：人流集中带来的卫生问题；电气设备引起的电气火灾及人为因素造成的火灾事故；用电设备操作过程中的漏电伤害；栏杆高度、强度不够可能发生高空坠落事故。</w:t>
      </w:r>
    </w:p>
    <w:p>
      <w:pPr/>
      <w:r>
        <w:rPr>
          <w:b/>
          <w:rFonts w:ascii="Times New Roman" w:eastAsia="宋体"/>
          <w:sz w:val="21"/>
        </w:rPr>
        <w:t xml:space="preserve">防范措施</w:t>
      </w:r>
      <w:r>
        <w:rPr>
          <w:rFonts w:ascii="Times New Roman" w:eastAsia="宋体"/>
          <w:sz w:val="21"/>
        </w:rPr>
        <w:t xml:space="preserve">：</w:t>
      </w:r>
    </w:p>
    <w:p>
      <w:pPr/>
      <w:r>
        <w:rPr>
          <w:b/>
          <w:rFonts w:ascii="Times New Roman" w:eastAsia="宋体"/>
          <w:sz w:val="21"/>
        </w:rPr>
        <w:t xml:space="preserve">防火灾</w:t>
      </w:r>
      <w:r>
        <w:rPr>
          <w:rFonts w:ascii="Times New Roman" w:eastAsia="宋体"/>
          <w:sz w:val="21"/>
        </w:rPr>
        <w:t xml:space="preserve">：建筑物内设置消防系统，设有安全疏散通道、楼梯、疏散标志与火灾报警器；建筑物之间的距离符合建筑设计防护规范要求。</w:t>
      </w:r>
    </w:p>
    <w:p>
      <w:pPr/>
      <w:r>
        <w:rPr>
          <w:b/>
          <w:rFonts w:ascii="Times New Roman" w:eastAsia="宋体"/>
          <w:sz w:val="21"/>
        </w:rPr>
        <w:t xml:space="preserve">防触电</w:t>
      </w:r>
      <w:r>
        <w:rPr>
          <w:rFonts w:ascii="Times New Roman" w:eastAsia="宋体"/>
          <w:sz w:val="21"/>
        </w:rPr>
        <w:t xml:space="preserve">：潮湿场所的插座回路均设置性能可靠的漏电保护开关，并设置 PE 线与接地体联结；变电所变压器设置防护罩；安装高度较低的灯具其金属外壳可靠接地；电缆桥架外壳接地，电缆垂直敷设时按规定加金属保护。</w:t>
      </w:r>
    </w:p>
    <w:p>
      <w:pPr/>
      <w:r>
        <w:rPr>
          <w:b/>
          <w:rFonts w:ascii="Times New Roman" w:eastAsia="宋体"/>
          <w:sz w:val="21"/>
        </w:rPr>
        <w:t xml:space="preserve">防噪防尘</w:t>
      </w:r>
      <w:r>
        <w:rPr>
          <w:rFonts w:ascii="Times New Roman" w:eastAsia="宋体"/>
          <w:sz w:val="21"/>
        </w:rPr>
        <w:t xml:space="preserve">：新风机组、空调机组采用低噪声产品，风管进出口安装柔性接头，水管进出口设橡胶软接头；送回风设消声装置；空调机房作吸声处理、采用隔声门。有高噪声作业环境时操作人员佩戴保护耳塞，粉尘环境佩戴专业施工口罩。</w:t>
      </w:r>
    </w:p>
    <w:p>
      <w:pPr/>
      <w:r>
        <w:rPr>
          <w:b/>
          <w:rFonts w:ascii="Times New Roman" w:eastAsia="宋体"/>
          <w:sz w:val="21"/>
        </w:rPr>
        <w:t xml:space="preserve">防坠落与人流安全</w:t>
      </w:r>
      <w:r>
        <w:rPr>
          <w:rFonts w:ascii="Times New Roman" w:eastAsia="宋体"/>
          <w:sz w:val="21"/>
        </w:rPr>
        <w:t xml:space="preserve">：上人屋面及一定高度的平台、过廊设置栏杆；人流较密集空间设计好人流路线，加强疏散指示牌设置；在主要通道和出入口处设置疏散照明。</w:t>
      </w:r>
    </w:p>
    <w:p>
      <w:pPr/>
      <w:r>
        <w:rPr>
          <w:b/>
          <w:rFonts w:ascii="Times New Roman" w:eastAsia="宋体"/>
          <w:sz w:val="21"/>
        </w:rPr>
        <w:t xml:space="preserve">日常维护</w:t>
      </w:r>
      <w:r>
        <w:rPr>
          <w:rFonts w:ascii="Times New Roman" w:eastAsia="宋体"/>
          <w:sz w:val="21"/>
        </w:rPr>
        <w:t xml:space="preserve">：特殊工种持证上岗；建筑外墙考虑采用机械式专用清洗方式；电梯选用经劳动保护部门认可的产品；防雷措施采取屋顶设接闪带；消防设备及重要机房内设置事故照明。</w:t>
      </w:r>
    </w:p>
    <w:p>
      <w:pPr/>
      <w:r>
        <w:rPr>
          <w:b/>
          <w:rFonts w:ascii="Times New Roman" w:eastAsia="宋体"/>
          <w:sz w:val="21"/>
        </w:rPr>
        <w:t xml:space="preserve">抗震设防类别复核</w:t>
      </w:r>
      <w:r>
        <w:rPr>
          <w:rFonts w:ascii="Times New Roman" w:eastAsia="宋体"/>
          <w:sz w:val="21"/>
        </w:rPr>
        <w:t xml:space="preserve">：本项目抗震设防类别取标准设防类（丙类），复核结论如下。</w:t>
      </w:r>
    </w:p>
    <w:p>
      <w:pPr>
        <w:ind w:left="420"/>
      </w:pPr>
      <w:r>
        <w:rPr>
          <w:b/>
          <w:rFonts w:ascii="Times New Roman" w:eastAsia="宋体"/>
          <w:sz w:val="21"/>
        </w:rPr>
        <w:t xml:space="preserve">✅ 依据复核（B-05）</w:t>
      </w:r>
      <w:r>
        <w:rPr>
          <w:rFonts w:ascii="Times New Roman" w:eastAsia="宋体"/>
          <w:sz w:val="21"/>
        </w:rPr>
        <w:t xml:space="preserve">：报告 6.3.2 与 9.2 节取「标准设防类（丙类）」，并援引 GB50223-2008 关于</w:t>
      </w:r>
      <w:r>
        <w:rPr>
          <w:b/>
          <w:rFonts w:ascii="Times New Roman" w:eastAsia="宋体"/>
          <w:sz w:val="21"/>
        </w:rPr>
        <w:t xml:space="preserve">科学实验建筑</w:t>
      </w:r>
      <w:r>
        <w:rPr>
          <w:rFonts w:ascii="Times New Roman" w:eastAsia="宋体"/>
          <w:sz w:val="21"/>
        </w:rPr>
        <w:t xml:space="preserve">的规定。对照三条约束：①第6.0.9条仅把「存放高放射性物品及剧毒生物制品、化学制品、细菌病毒」的研究类科学实验建筑列为特殊设防类——本项目功能为管理科学与量化信息研究、理论计算机研究、应用统计研究、大数据科研，</w:t>
      </w:r>
      <w:r>
        <w:rPr>
          <w:b/>
          <w:rFonts w:ascii="Times New Roman" w:eastAsia="宋体"/>
          <w:sz w:val="21"/>
        </w:rPr>
        <w:t xml:space="preserve">不含该等危险功能</w:t>
      </w:r>
      <w:r>
        <w:rPr>
          <w:rFonts w:ascii="Times New Roman" w:eastAsia="宋体"/>
          <w:sz w:val="21"/>
        </w:rPr>
        <w:t xml:space="preserve">，不触发；②第6.0.11条以「结构单元内经常使用人数超过 8000 人」为界，属「宜」而非「必须」，报告各研究中心规划人数合计 1665 人（表5-6），</w:t>
      </w:r>
      <w:r>
        <w:rPr>
          <w:b/>
          <w:rFonts w:ascii="Times New Roman" w:eastAsia="宋体"/>
          <w:sz w:val="21"/>
        </w:rPr>
        <w:t xml:space="preserve">远低于 8000 人</w:t>
      </w:r>
      <w:r>
        <w:rPr>
          <w:rFonts w:ascii="Times New Roman" w:eastAsia="宋体"/>
          <w:sz w:val="21"/>
        </w:rPr>
        <w:t xml:space="preserve">，不触发；③第6.0.8条仅针对幼儿园、小学、中学教学用房及学生宿舍食堂，本项目为高校科研用房，不在其列。故</w:t>
      </w:r>
      <w:r>
        <w:rPr>
          <w:b/>
          <w:rFonts w:ascii="Times New Roman" w:eastAsia="宋体"/>
          <w:sz w:val="21"/>
        </w:rPr>
        <w:t xml:space="preserve">标准设防类可核验成立</w:t>
      </w:r>
      <w:r>
        <w:rPr>
          <w:rFonts w:ascii="Times New Roman" w:eastAsia="宋体"/>
          <w:sz w:val="21"/>
        </w:rPr>
        <w:t xml:space="preserve">。</w:t>
      </w:r>
    </w:p>
    <w:p>
      <w:pPr>
        <w:ind w:left="420"/>
      </w:pPr>
      <w:r>
        <w:rPr>
          <w:rFonts w:ascii="Times New Roman" w:eastAsia="宋体"/>
          <w:sz w:val="21"/>
        </w:rPr>
        <w:t xml:space="preserve">- 须核对：确认「经常使用人数」与「规划人数」是否为同一口径（前者通常指同时使用人数）</w:t>
      </w:r>
    </w:p>
    <w:p>
      <w:pPr>
        <w:pStyle w:val="Heading2"/>
      </w:pPr>
      <w:r>
        <w:rPr>
          <w:rFonts w:ascii="Times New Roman" w:eastAsia="宋体"/>
          <w:sz w:val="21"/>
        </w:rPr>
        <w:t xml:space="preserve">9.3　卫生防疫</w:t>
      </w:r>
    </w:p>
    <w:p>
      <w:pPr>
        <w:pStyle w:val="Heading3"/>
      </w:pPr>
      <w:r>
        <w:rPr>
          <w:rFonts w:ascii="Times New Roman" w:eastAsia="宋体"/>
          <w:sz w:val="21"/>
        </w:rPr>
        <w:t xml:space="preserve">9.3.1　施工期卫生防疫</w:t>
      </w:r>
    </w:p>
    <w:p>
      <w:pPr/>
      <w:r>
        <w:rPr>
          <w:rFonts w:ascii="Times New Roman" w:eastAsia="宋体"/>
          <w:sz w:val="21"/>
        </w:rPr>
        <w:t xml:space="preserve">对施工人员发放口罩等防护器具；开挖的土方及建筑垃圾及时进行利用；对建筑垃圾等堆放场地定期洒水以减少扬尘量。做好施工期的卫生工作，确保施工人员正常生活、饮水的卫生；任命工地卫生员，加强卫生管理，采取有效防疫措施防范流行疾病出现。</w:t>
      </w:r>
    </w:p>
    <w:p>
      <w:pPr>
        <w:pStyle w:val="Heading3"/>
      </w:pPr>
      <w:r>
        <w:rPr>
          <w:rFonts w:ascii="Times New Roman" w:eastAsia="宋体"/>
          <w:sz w:val="21"/>
        </w:rPr>
        <w:t xml:space="preserve">9.3.2　运营期卫生防疫</w:t>
      </w:r>
    </w:p>
    <w:p>
      <w:pPr/>
      <w:r>
        <w:rPr>
          <w:b/>
          <w:rFonts w:ascii="Times New Roman" w:eastAsia="宋体"/>
          <w:sz w:val="21"/>
        </w:rPr>
        <w:t xml:space="preserve">建筑卫生防疫</w:t>
      </w:r>
      <w:r>
        <w:rPr>
          <w:rFonts w:ascii="Times New Roman" w:eastAsia="宋体"/>
          <w:sz w:val="21"/>
        </w:rPr>
        <w:t xml:space="preserve">：公共场所产生高温高热和污浊空气处设置机械排风设施并配以补风和送风设施；通风设备设置可清洗的空气过滤网，必要时设置杀菌装置；生活垃圾袋装化、每天由专人负责统一收集清运到楼外，清运时密闭并注意清运时间。</w:t>
      </w:r>
    </w:p>
    <w:p>
      <w:pPr/>
      <w:r>
        <w:rPr>
          <w:b/>
          <w:rFonts w:ascii="Times New Roman" w:eastAsia="宋体"/>
          <w:sz w:val="21"/>
        </w:rPr>
        <w:t xml:space="preserve">给排水卫生防疫</w:t>
      </w:r>
      <w:r>
        <w:rPr>
          <w:rFonts w:ascii="Times New Roman" w:eastAsia="宋体"/>
          <w:sz w:val="21"/>
        </w:rPr>
        <w:t xml:space="preserve">：生活给水管道采用薄壁不锈钢管防止二次污染；生活水池及水箱有消除短流措施，避免出现滞水区；水箱的清洗、消毒和日常管理由有关部门按规定严格实施；消防水箱与生活用水严格分开供水；生活水池和水箱采用食品级不锈钢材质；生活水池进水管设置过滤器，水箱内设水箱自洁消毒装置；给水系统设置真空破坏器和倒流防止器防止回流污染。</w:t>
      </w:r>
    </w:p>
    <w:p>
      <w:pPr/>
      <w:r>
        <w:rPr>
          <w:b/>
          <w:rFonts w:ascii="Times New Roman" w:eastAsia="宋体"/>
          <w:sz w:val="21"/>
        </w:rPr>
        <w:t xml:space="preserve">电气卫生防疫</w:t>
      </w:r>
      <w:r>
        <w:rPr>
          <w:rFonts w:ascii="Times New Roman" w:eastAsia="宋体"/>
          <w:sz w:val="21"/>
        </w:rPr>
        <w:t xml:space="preserve">：采取屏蔽措施，将专业实验设备可能的对外界放射或辐射强度限制在许可范围内；设置气体灭火系统的数据机房配置专用呼吸器，并采取防鼠害和防虫害措施。</w:t>
      </w:r>
    </w:p>
    <w:p>
      <w:pPr/>
      <w:r>
        <w:rPr>
          <w:b/>
          <w:rFonts w:ascii="Times New Roman" w:eastAsia="宋体"/>
          <w:sz w:val="21"/>
        </w:rPr>
        <w:t xml:space="preserve">暖通空调卫生防疫</w:t>
      </w:r>
      <w:r>
        <w:rPr>
          <w:rFonts w:ascii="Times New Roman" w:eastAsia="宋体"/>
          <w:sz w:val="21"/>
        </w:rPr>
        <w:t xml:space="preserve">：新风量的取值标准符合相关规范规定；选择环保、防霉、抗菌的建筑和暖通材料；进风口远离有污染的排风口，水平距离符合规范要求，进风口离地高度满足规定；集中空调通风系统的新风通过风管直接采自室外非空气污染区；所有进、出风口外墙装设防雨百叶。</w:t>
      </w:r>
    </w:p>
    <w:p>
      <w:pPr>
        <w:ind w:left="420"/>
      </w:pPr>
      <w:r>
        <w:rPr>
          <w:b/>
          <w:rFonts w:ascii="Times New Roman" w:eastAsia="宋体"/>
          <w:sz w:val="21"/>
        </w:rPr>
        <w:t xml:space="preserve">本稿补充说明</w:t>
      </w:r>
      <w:r>
        <w:rPr>
          <w:rFonts w:ascii="Times New Roman" w:eastAsia="宋体"/>
          <w:sz w:val="21"/>
        </w:rPr>
        <w:t xml:space="preserve">：电气卫生防疫中「将放射或辐射强度限制在许可范围内」一句，未给出具体限值与检测方式；本项目功能为科研用房，若确定不涉及放射性实验，应改为按实际功能表述；若涉及，则须补充专项防护设计与检测要求。该事项已登记，须由建设单位与设计单位确认后明确。</w:t>
      </w:r>
    </w:p>
    <w:p>
      <w:pPr>
        <w:pStyle w:val="Heading2"/>
      </w:pPr>
      <w:r>
        <w:rPr>
          <w:rFonts w:ascii="Times New Roman" w:eastAsia="宋体"/>
          <w:sz w:val="21"/>
        </w:rPr>
        <w:t xml:space="preserve">9.4　结论及建议</w:t>
      </w:r>
    </w:p>
    <w:p>
      <w:pPr/>
      <w:r>
        <w:rPr>
          <w:rFonts w:ascii="Times New Roman" w:eastAsia="宋体"/>
          <w:sz w:val="21"/>
        </w:rPr>
        <w:t xml:space="preserve">通过落实上述措施，将能够保证施工人员、进出师生的安全和健康。同时建议建设单位指定分管领导，以加强劳动安全与卫生工作。</w:t>
      </w:r>
    </w:p>
    <w:p>
      <w:pPr>
        <w:pStyle w:val="Heading1"/>
      </w:pPr>
      <w:r>
        <w:rPr>
          <w:rFonts w:ascii="Times New Roman" w:eastAsia="宋体"/>
          <w:sz w:val="21"/>
        </w:rPr>
        <w:t xml:space="preserve">第十章　社会稳定风险分析</w:t>
      </w:r>
    </w:p>
    <w:p>
      <w:pPr>
        <w:pStyle w:val="Heading2"/>
      </w:pPr>
      <w:r>
        <w:rPr>
          <w:rFonts w:ascii="Times New Roman" w:eastAsia="宋体"/>
          <w:sz w:val="21"/>
        </w:rPr>
        <w:t xml:space="preserve">10.1　编制依据</w:t>
      </w:r>
    </w:p>
    <w:p>
      <w:pPr/>
      <w:r>
        <w:rPr>
          <w:rFonts w:ascii="Times New Roman" w:eastAsia="宋体"/>
          <w:sz w:val="21"/>
        </w:rPr>
        <w:t xml:space="preserve">本章依据国家发展改革委重大固定资产投资项目社会稳定风险评估暂行办法、重大固定资产投资项目社会稳定风险分析篇章编制大纲及说明（试行）、上海市关于建立重大事项社会稳定风险分析和评估机制的意见（试行），以及中共上海市委办公厅、上海市人民政府办公厅关于深入推行重大事项社会稳定风险评估机制的通知。</w:t>
      </w:r>
    </w:p>
    <w:p>
      <w:pPr/>
      <w:r>
        <w:rPr>
          <w:rFonts w:ascii="Times New Roman" w:eastAsia="宋体"/>
          <w:sz w:val="21"/>
        </w:rPr>
        <w:t xml:space="preserve">重大事项社会稳定风险评估机制，是指在人民群众利益密切相关的重大政策出台或审批前，对可能引发群体性社会矛盾的风险开展科学、系统的预测、分析和评估，制定风险防范、应对策略和预案，以便充分考虑相关群众利益诉求，从源头上预防影响社会稳定因素。</w:t>
      </w:r>
    </w:p>
    <w:p>
      <w:pPr>
        <w:pStyle w:val="Heading2"/>
      </w:pPr>
      <w:r>
        <w:rPr>
          <w:rFonts w:ascii="Times New Roman" w:eastAsia="宋体"/>
          <w:sz w:val="21"/>
        </w:rPr>
        <w:t xml:space="preserve">10.2　风险调查</w:t>
      </w:r>
    </w:p>
    <w:p>
      <w:pPr/>
      <w:r>
        <w:rPr>
          <w:rFonts w:ascii="Times New Roman" w:eastAsia="宋体"/>
          <w:sz w:val="21"/>
        </w:rPr>
        <w:t xml:space="preserve">本项目的风险调查范围主要为项目周边建筑及群体、周边环境，着重调查分析项目建设可能引发的潜在社会不稳定因素，包括拟建项目的合法性、规划设计的合理性、施工对周边建筑与居民的影响、项目运行后对周边群体的影响等。调查方法主要采取实地观察法、文献法、案例参照法、风险综合评价法等。</w:t>
      </w:r>
    </w:p>
    <w:p>
      <w:pPr/>
      <w:r>
        <w:rPr>
          <w:b/>
          <w:rFonts w:ascii="Times New Roman" w:eastAsia="宋体"/>
          <w:sz w:val="21"/>
        </w:rPr>
        <w:t xml:space="preserve">自然和社会环境方面</w:t>
      </w:r>
      <w:r>
        <w:rPr>
          <w:rFonts w:ascii="Times New Roman" w:eastAsia="宋体"/>
          <w:sz w:val="21"/>
        </w:rPr>
        <w:t xml:space="preserve">：项目位于校区内，所在区域各项自然环境状况良好；建成后用途为学校教学科研用房，项目的建设和运行不会对所在区域的自然环境产生影响；项目的建设能够提升学校教学质量，不会对当地经济社会产生负面影响。</w:t>
      </w:r>
    </w:p>
    <w:p>
      <w:pPr/>
      <w:r>
        <w:rPr>
          <w:b/>
          <w:rFonts w:ascii="Times New Roman" w:eastAsia="宋体"/>
          <w:sz w:val="21"/>
        </w:rPr>
        <w:t xml:space="preserve">周边环境方面</w:t>
      </w:r>
      <w:r>
        <w:rPr>
          <w:rFonts w:ascii="Times New Roman" w:eastAsia="宋体"/>
          <w:sz w:val="21"/>
        </w:rPr>
        <w:t xml:space="preserve">：项目地块位于校区东部，周边市政道路成熟、交通便捷；周边多为已建成的住宅小区及商业配套，主要流通人群为社区居民与学校师生。这意味着施工期的噪声与通行影响会同时作用于师生与周边居民两类群体。</w:t>
      </w:r>
    </w:p>
    <w:p>
      <w:pPr>
        <w:pStyle w:val="Heading2"/>
      </w:pPr>
      <w:r>
        <w:rPr>
          <w:rFonts w:ascii="Times New Roman" w:eastAsia="宋体"/>
          <w:sz w:val="21"/>
        </w:rPr>
        <w:t xml:space="preserve">10.3　风险识别和估计</w:t>
      </w:r>
    </w:p>
    <w:p>
      <w:pPr/>
      <w:r>
        <w:rPr>
          <w:rFonts w:ascii="Times New Roman" w:eastAsia="宋体"/>
          <w:sz w:val="21"/>
        </w:rPr>
        <w:t xml:space="preserve">根据项目各项风险的成因、影响表现、风险分布、影响程度、发生可能性，按风险可能发生的项目阶段，结合当地经济社会与拟建项目的相互适应性，从合法性、合理性、可行性、可控性等方面分别对每一个风险因素的风险程度进行分析与评估。</w:t>
      </w:r>
    </w:p>
    <w:p>
      <w:pPr/>
      <w:r>
        <w:rPr>
          <w:b/>
          <w:rFonts w:ascii="Times New Roman" w:eastAsia="宋体"/>
          <w:sz w:val="21"/>
        </w:rPr>
        <w:t xml:space="preserve">表10-1 项目社会稳定风险因素清单（本稿新增）</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编号</w:t>
            </w:r>
          </w:p>
        </w:tc>
        <w:tc>
          <w:tcPr>
            <w:tcW w:w="0" w:type="auto"/>
          </w:tcPr>
          <w:p>
            <w:pPr/>
            <w:r>
              <w:rPr>
                <w:b/>
                <w:rFonts w:ascii="Times New Roman" w:eastAsia="宋体"/>
                <w:sz w:val="21"/>
              </w:rPr>
              <w:t xml:space="preserve">风险因素</w:t>
            </w:r>
          </w:p>
        </w:tc>
        <w:tc>
          <w:tcPr>
            <w:tcW w:w="0" w:type="auto"/>
          </w:tcPr>
          <w:p>
            <w:pPr/>
            <w:r>
              <w:rPr>
                <w:b/>
                <w:rFonts w:ascii="Times New Roman" w:eastAsia="宋体"/>
                <w:sz w:val="21"/>
              </w:rPr>
              <w:t xml:space="preserve">程度</w:t>
            </w:r>
          </w:p>
        </w:tc>
      </w:tr>
    </w:tbl>
    <w:p>
      <w:pPr/>
      <w:r>
        <w:rPr>
          <w:b/>
          <w:rFonts w:ascii="Times New Roman" w:eastAsia="宋体"/>
          <w:sz w:val="21"/>
        </w:rPr>
        <w:t xml:space="preserve">风险因素一：施工环境污染风险</w:t>
      </w:r>
      <w:r>
        <w:rPr>
          <w:rFonts w:ascii="Times New Roman" w:eastAsia="宋体"/>
          <w:sz w:val="21"/>
        </w:rPr>
        <w:t xml:space="preserve">。施工期污染物排放极有可能发生，但项目建设规模不大、属一般建筑工程，且风险随项目施工结束而消失；施工环境污染影响较小。装修过程中施工噪声发生的可能性较大，可能影响师生日常教学活动及周边住宅区域居民的正常休息。</w:t>
      </w:r>
    </w:p>
    <w:p>
      <w:pPr/>
      <w:r>
        <w:rPr>
          <w:b/>
          <w:rFonts w:ascii="Times New Roman" w:eastAsia="宋体"/>
          <w:sz w:val="21"/>
        </w:rPr>
        <w:t xml:space="preserve">风险因素二：交通出行及安全风险</w:t>
      </w:r>
      <w:r>
        <w:rPr>
          <w:rFonts w:ascii="Times New Roman" w:eastAsia="宋体"/>
          <w:sz w:val="21"/>
        </w:rPr>
        <w:t xml:space="preserve">。项目施工车辆的进出、建材及拆除物的占道堆放，可能对校内师生的出行带来影响与不便。</w:t>
      </w:r>
    </w:p>
    <w:p>
      <w:pPr/>
      <w:r>
        <w:rPr>
          <w:b/>
          <w:rFonts w:ascii="Times New Roman" w:eastAsia="宋体"/>
          <w:sz w:val="21"/>
        </w:rPr>
        <w:t xml:space="preserve">风险因素三：工程管理及施工安全风险</w:t>
      </w:r>
      <w:r>
        <w:rPr>
          <w:rFonts w:ascii="Times New Roman" w:eastAsia="宋体"/>
          <w:sz w:val="21"/>
        </w:rPr>
        <w:t xml:space="preserve">。欠薪与工伤事故极易引发影响社会稳定的事件；本项目体量不大、周期较短，同时通过合理选拔施工单位、建立严格内控制度，该风险产生的概率较小；但此风险一旦产生，将对建设单位产生较大的负面社会舆论，并妨碍项目的顺利进行，风险影响程度较为严重。</w:t>
      </w:r>
    </w:p>
    <w:p>
      <w:pPr>
        <w:pStyle w:val="Heading2"/>
      </w:pPr>
      <w:r>
        <w:rPr>
          <w:rFonts w:ascii="Times New Roman" w:eastAsia="宋体"/>
          <w:sz w:val="21"/>
        </w:rPr>
        <w:t xml:space="preserve">10.4　风险防范和化解措施</w:t>
      </w:r>
    </w:p>
    <w:p>
      <w:pPr/>
      <w:r>
        <w:rPr>
          <w:b/>
          <w:rFonts w:ascii="Times New Roman" w:eastAsia="宋体"/>
          <w:sz w:val="21"/>
        </w:rPr>
        <w:t xml:space="preserve">施工环境污染风险防范</w:t>
      </w:r>
      <w:r>
        <w:rPr>
          <w:rFonts w:ascii="Times New Roman" w:eastAsia="宋体"/>
          <w:sz w:val="21"/>
        </w:rPr>
        <w:t xml:space="preserve">：粉尘与固废方面，按上海市扬尘污染防治管理办法组织施工，采取设置围挡和定期洒水等抑尘措施；施工现场生活垃圾由专人负责清理集中、由环卫部门定时清运；工程竣工后施工单位应在规定期限内将剩余建筑垃圾及工程渣土处理干净。噪声方面，各类动力设施合理布局并采取综合降噪措施，严格执行建筑施工场界环境噪声排放标准，昼间限值 ≤70 dB(A) / 70 dB(A)、夜间限值 ≤55 dB(A)；施工时间按相关规定执行，工地周围设立维护屏障，在高噪声设备附近加设可移动隔声屏。水污染方面，严防施工污水直接进入市政污水管线或流出施工区域；加强现场存放油品和化学品的管理，库房进行防渗漏处理。</w:t>
      </w:r>
    </w:p>
    <w:p>
      <w:pPr/>
      <w:r>
        <w:rPr>
          <w:b/>
          <w:rFonts w:ascii="Times New Roman" w:eastAsia="宋体"/>
          <w:sz w:val="21"/>
        </w:rPr>
        <w:t xml:space="preserve">交通出行及安全风险防范</w:t>
      </w:r>
      <w:r>
        <w:rPr>
          <w:rFonts w:ascii="Times New Roman" w:eastAsia="宋体"/>
          <w:sz w:val="21"/>
        </w:rPr>
        <w:t xml:space="preserve">：施工阶段安排专人负责管理施工车辆进出，尽可能避免在道路易拥堵的高峰时段安排施工车辆进出场地；加强施工车辆司机的安全意识；合理规划建材及废弃物堆放范围，不可避免占道时使用围挡隔离并做好安全提示。</w:t>
      </w:r>
    </w:p>
    <w:p>
      <w:pPr/>
      <w:r>
        <w:rPr>
          <w:b/>
          <w:rFonts w:ascii="Times New Roman" w:eastAsia="宋体"/>
          <w:sz w:val="21"/>
        </w:rPr>
        <w:t xml:space="preserve">工程管理及施工安全风险防范</w:t>
      </w:r>
      <w:r>
        <w:rPr>
          <w:rFonts w:ascii="Times New Roman" w:eastAsia="宋体"/>
          <w:sz w:val="21"/>
        </w:rPr>
        <w:t xml:space="preserve">：选择管理水平良好的施工单位，对其人员、设备资源配置、财务状况、工作业绩、风险承受能力、技术管控能力及类似工程施工经验进行综合考察，禁止层层转包；对民工工资支付情况全面排查，建立监控预警及稳定风险评估机制，由红、黄、绿分别警示，处理预案与当地街道及区政府联动。对施工方提出建立民工临时档案、动态管理、工资现场核实发放、畅通投诉渠道、制定风险预控措施等要求；节假日期间实行值班制度。对民工上岗前进行安全常识教育及安全技能培训，敦促施工单位为民工购买工程意外伤害险，杜绝「以包代管」。</w:t>
      </w:r>
    </w:p>
    <w:p>
      <w:pPr>
        <w:pStyle w:val="Heading2"/>
      </w:pPr>
      <w:r>
        <w:rPr>
          <w:rFonts w:ascii="Times New Roman" w:eastAsia="宋体"/>
          <w:sz w:val="21"/>
        </w:rPr>
        <w:t xml:space="preserve">10.5　项目风险等级评判</w:t>
      </w:r>
    </w:p>
    <w:p>
      <w:pPr/>
      <w:r>
        <w:rPr>
          <w:rFonts w:ascii="Times New Roman" w:eastAsia="宋体"/>
          <w:sz w:val="21"/>
        </w:rPr>
        <w:t xml:space="preserve">按重大固定资产投资项目社会稳定风险评估暂行办法，重大项目社会稳定风险等级分为三级：</w:t>
      </w:r>
      <w:r>
        <w:rPr>
          <w:b/>
          <w:rFonts w:ascii="Times New Roman" w:eastAsia="宋体"/>
          <w:sz w:val="21"/>
        </w:rPr>
        <w:t xml:space="preserve">高风险</w:t>
      </w:r>
      <w:r>
        <w:rPr>
          <w:rFonts w:ascii="Times New Roman" w:eastAsia="宋体"/>
          <w:sz w:val="21"/>
        </w:rPr>
        <w:t xml:space="preserve">（大部分群众对项目有意见、反应特别强烈，可能引发大规模群体性事件）；</w:t>
      </w:r>
      <w:r>
        <w:rPr>
          <w:b/>
          <w:rFonts w:ascii="Times New Roman" w:eastAsia="宋体"/>
          <w:sz w:val="21"/>
        </w:rPr>
        <w:t xml:space="preserve">中风险</w:t>
      </w:r>
      <w:r>
        <w:rPr>
          <w:rFonts w:ascii="Times New Roman" w:eastAsia="宋体"/>
          <w:sz w:val="21"/>
        </w:rPr>
        <w:t xml:space="preserve">（部分群众对项目有意见、反应强烈，可能引发矛盾冲突）；</w:t>
      </w:r>
      <w:r>
        <w:rPr>
          <w:b/>
          <w:rFonts w:ascii="Times New Roman" w:eastAsia="宋体"/>
          <w:sz w:val="21"/>
        </w:rPr>
        <w:t xml:space="preserve">低风险</w:t>
      </w:r>
      <w:r>
        <w:rPr>
          <w:rFonts w:ascii="Times New Roman" w:eastAsia="宋体"/>
          <w:sz w:val="21"/>
        </w:rPr>
        <w:t xml:space="preserve">（多数群众理解支持但少部分人有意见，通过有效工作可防范和化解矛盾）。</w:t>
      </w:r>
    </w:p>
    <w:p>
      <w:pPr/>
      <w:r>
        <w:rPr>
          <w:rFonts w:ascii="Times New Roman" w:eastAsia="宋体"/>
          <w:sz w:val="21"/>
        </w:rPr>
        <w:t xml:space="preserve">根据上述单因素风险分析，项目建设可能产生的社会风险主要为施工过程中的环境污染、交通影响以及工程管理及施工安全风险。通过落实防范化解措施，各项风险因素发生的可能性及影响程度都将减小，措施的落实可降低风险概率与影响程度。本项目能够取得多数群众支持，</w:t>
      </w:r>
      <w:r>
        <w:rPr>
          <w:b/>
          <w:rFonts w:ascii="Times New Roman" w:eastAsia="宋体"/>
          <w:sz w:val="21"/>
        </w:rPr>
        <w:t xml:space="preserve">确定本项目的措施后风险等级为低风险</w:t>
      </w:r>
      <w:r>
        <w:rPr>
          <w:rFonts w:ascii="Times New Roman" w:eastAsia="宋体"/>
          <w:sz w:val="21"/>
        </w:rPr>
        <w:t xml:space="preserve">。</w:t>
      </w:r>
    </w:p>
    <w:p>
      <w:pPr/>
      <w:r>
        <w:rPr>
          <w:rFonts w:ascii="Times New Roman" w:eastAsia="宋体"/>
          <w:sz w:val="21"/>
        </w:rPr>
        <w:t xml:space="preserve">判定条件为：{措施后单因素风险是否均可控} =&gt; 低风险；存在不可控因素 =&gt; 中/高风险；该判定所需的量化前提未全部满足，本稿按「待审」处理。</w:t>
      </w:r>
    </w:p>
    <w:p>
      <w:pPr>
        <w:pStyle w:val="Heading2"/>
      </w:pPr>
      <w:r>
        <w:rPr>
          <w:rFonts w:ascii="Times New Roman" w:eastAsia="宋体"/>
          <w:sz w:val="21"/>
        </w:rPr>
        <w:t xml:space="preserve">10.6　风险分析结论</w:t>
      </w:r>
    </w:p>
    <w:p>
      <w:pPr/>
      <w:r>
        <w:rPr>
          <w:rFonts w:ascii="Times New Roman" w:eastAsia="宋体"/>
          <w:sz w:val="21"/>
        </w:rPr>
        <w:t xml:space="preserve">本项目不会引发较大社会稳定风险问题，拟建项目合法、合理、可控、可行，项目风险等级评判为</w:t>
      </w:r>
      <w:r>
        <w:rPr>
          <w:b/>
          <w:rFonts w:ascii="Times New Roman" w:eastAsia="宋体"/>
          <w:sz w:val="21"/>
        </w:rPr>
        <w:t xml:space="preserve">低风险</w:t>
      </w:r>
      <w:r>
        <w:rPr>
          <w:rFonts w:ascii="Times New Roman" w:eastAsia="宋体"/>
          <w:sz w:val="21"/>
        </w:rPr>
        <w:t xml:space="preserve">。</w:t>
      </w:r>
    </w:p>
    <w:p>
      <w:pPr/>
      <w:r>
        <w:rPr>
          <w:rFonts w:ascii="Times New Roman" w:eastAsia="宋体"/>
          <w:sz w:val="21"/>
        </w:rPr>
        <w:t xml:space="preserve">建议在项目开工前做好相关行政许可，确保证照齐全后开工；在下阶段设计过程中做好环保方案优化工作；项目建设过程中积极做好对周边居民的宣传沟通工作，制定合理的施工组织方案，采取适当措施尽可能缩短工期、减少施工对周边群体的影响。</w:t>
      </w:r>
    </w:p>
    <w:p>
      <w:pPr>
        <w:ind w:left="420"/>
      </w:pPr>
      <w:r>
        <w:rPr>
          <w:b/>
          <w:rFonts w:ascii="Times New Roman" w:eastAsia="宋体"/>
          <w:sz w:val="21"/>
        </w:rPr>
        <w:t xml:space="preserve">论证完整性提示</w:t>
      </w:r>
      <w:r>
        <w:rPr>
          <w:rFonts w:ascii="Times New Roman" w:eastAsia="宋体"/>
          <w:sz w:val="21"/>
        </w:rPr>
        <w:t xml:space="preserve">：本章低风险判定建立在定性分析之上，未给出单因素风险权重与综合风险指数的计算过程，亦未给出风险调查样本量。对可研阶段而言定性评估可以接受，但建议补充单因素权重与评分表，使「低风险」结论具备可复算的支撑。该提示如实保留。</w:t>
      </w:r>
    </w:p>
    <w:p>
      <w:pPr>
        <w:pStyle w:val="Heading1"/>
      </w:pPr>
      <w:r>
        <w:rPr>
          <w:rFonts w:ascii="Times New Roman" w:eastAsia="宋体"/>
          <w:sz w:val="21"/>
        </w:rPr>
        <w:t xml:space="preserve">第十一章　项目管理及实施进度</w:t>
      </w:r>
    </w:p>
    <w:p>
      <w:pPr>
        <w:pStyle w:val="Heading2"/>
      </w:pPr>
      <w:r>
        <w:rPr>
          <w:rFonts w:ascii="Times New Roman" w:eastAsia="宋体"/>
          <w:sz w:val="21"/>
        </w:rPr>
        <w:t xml:space="preserve">11.1　项目组织管理框架</w:t>
      </w:r>
    </w:p>
    <w:p>
      <w:pPr/>
      <w:r>
        <w:rPr>
          <w:rFonts w:ascii="Times New Roman" w:eastAsia="宋体"/>
          <w:sz w:val="21"/>
        </w:rPr>
        <w:t xml:space="preserve">为保证本项目建设工作有效、有序开展，建设单位成立建设领导小组，建立「建设领导小组」「基建处」和项目管理小组相结合的三级管理方式。</w:t>
      </w:r>
    </w:p>
    <w:p>
      <w:pPr/>
      <w:r>
        <w:rPr>
          <w:b/>
          <w:rFonts w:ascii="Times New Roman" w:eastAsia="宋体"/>
          <w:sz w:val="21"/>
        </w:rPr>
        <w:t xml:space="preserve">建设领导小组</w:t>
      </w:r>
      <w:r>
        <w:rPr>
          <w:rFonts w:ascii="Times New Roman" w:eastAsia="宋体"/>
          <w:sz w:val="21"/>
        </w:rPr>
        <w:t xml:space="preserve">代表学校领导整个学校的基础设施建设，负责决定项目建设中的重大方针政策问题，并对学校内所有建设项目进行统一管理、协调、指导和监督。</w:t>
      </w:r>
    </w:p>
    <w:p>
      <w:pPr/>
      <w:r>
        <w:rPr>
          <w:b/>
          <w:rFonts w:ascii="Times New Roman" w:eastAsia="宋体"/>
          <w:sz w:val="21"/>
        </w:rPr>
        <w:t xml:space="preserve">基建处</w:t>
      </w:r>
      <w:r>
        <w:rPr>
          <w:rFonts w:ascii="Times New Roman" w:eastAsia="宋体"/>
          <w:sz w:val="21"/>
        </w:rPr>
        <w:t xml:space="preserve">负责部署和统筹指导项目建设工作，制定有关管理办法，检查和监督建设进展情况，组织协调与学校其他有关重点建设项目的衔接和配合，组织项目管理人员的培训和交流；具体包括项目规划、可行性论证、申报、评估、立项、实施、检查、监督、验收、评价、项目文件管理及其他具体工作。</w:t>
      </w:r>
    </w:p>
    <w:p>
      <w:pPr/>
      <w:r>
        <w:rPr>
          <w:b/>
          <w:rFonts w:ascii="Times New Roman" w:eastAsia="宋体"/>
          <w:sz w:val="21"/>
        </w:rPr>
        <w:t xml:space="preserve">项目管理小组</w:t>
      </w:r>
      <w:r>
        <w:rPr>
          <w:rFonts w:ascii="Times New Roman" w:eastAsia="宋体"/>
          <w:sz w:val="21"/>
        </w:rPr>
        <w:t xml:space="preserve">是针对单个项目的管理班子，负责整个项目的具体实施，包括设计联络、市政配套落实、材料设备采购、预算投资控制、施工现场进度协调，并对工程监理单位及全过程造价咨询单位进行协调和管理。</w:t>
      </w:r>
    </w:p>
    <w:p>
      <w:pPr/>
      <w:r>
        <w:rPr>
          <w:rFonts w:ascii="Times New Roman" w:eastAsia="宋体"/>
          <w:sz w:val="21"/>
        </w:rPr>
        <w:t xml:space="preserve">学校相关处室作为项目实施过程管理部门的一部分，将本项目建设工作列入本部门重要工作日程，积极参与、主动协调，为项目建设的顺利实施提供保证和便利条件。</w:t>
      </w:r>
    </w:p>
    <w:p>
      <w:pPr/>
      <w:r>
        <w:rPr>
          <w:b/>
          <w:rFonts w:ascii="Times New Roman" w:eastAsia="宋体"/>
          <w:sz w:val="21"/>
        </w:rPr>
        <w:t xml:space="preserve">本稿补充说明</w:t>
      </w:r>
      <w:r>
        <w:rPr>
          <w:rFonts w:ascii="Times New Roman" w:eastAsia="宋体"/>
          <w:sz w:val="21"/>
        </w:rPr>
        <w:t xml:space="preserve">：本章描述的为</w:t>
      </w:r>
      <w:r>
        <w:rPr>
          <w:b/>
          <w:rFonts w:ascii="Times New Roman" w:eastAsia="宋体"/>
          <w:sz w:val="21"/>
        </w:rPr>
        <w:t xml:space="preserve">建设期</w:t>
      </w:r>
      <w:r>
        <w:rPr>
          <w:rFonts w:ascii="Times New Roman" w:eastAsia="宋体"/>
          <w:sz w:val="21"/>
        </w:rPr>
        <w:t xml:space="preserve">组织架构。按现行可行性研究报告编写口径，尚需补充</w:t>
      </w:r>
      <w:r>
        <w:rPr>
          <w:b/>
          <w:rFonts w:ascii="Times New Roman" w:eastAsia="宋体"/>
          <w:sz w:val="21"/>
        </w:rPr>
        <w:t xml:space="preserve">运营期</w:t>
      </w:r>
      <w:r>
        <w:rPr>
          <w:rFonts w:ascii="Times New Roman" w:eastAsia="宋体"/>
          <w:sz w:val="21"/>
        </w:rPr>
        <w:t xml:space="preserve">的组织与管理方案（运营模式选择、运营组织方案、安全保障方案、绩效管理方案），本项目原报告未单列该章，相关线索仅见于 11.3 节。该缺口已登记，建议在按现行大纲报审时单独成章。</w:t>
      </w:r>
    </w:p>
    <w:p>
      <w:pPr>
        <w:pStyle w:val="Heading2"/>
      </w:pPr>
      <w:r>
        <w:rPr>
          <w:rFonts w:ascii="Times New Roman" w:eastAsia="宋体"/>
          <w:sz w:val="21"/>
        </w:rPr>
        <w:t xml:space="preserve">11.2　项目实施过程管理</w:t>
      </w:r>
    </w:p>
    <w:p>
      <w:pPr/>
      <w:r>
        <w:rPr>
          <w:b/>
          <w:rFonts w:ascii="Times New Roman" w:eastAsia="宋体"/>
          <w:sz w:val="21"/>
        </w:rPr>
        <w:t xml:space="preserve">施工图设计阶段</w:t>
      </w:r>
      <w:r>
        <w:rPr>
          <w:rFonts w:ascii="Times New Roman" w:eastAsia="宋体"/>
          <w:sz w:val="21"/>
        </w:rPr>
        <w:t xml:space="preserve">：学校招标领导小组委托中介机构组织公开招标，根据投标设计单位的资质、业绩、服务和报价等因素确定设计单位；设计单位相关专业依据建筑方案和建设投资组织设计，学校基建处组织相关专家对设计方案进行评审后确定设计文件。</w:t>
      </w:r>
    </w:p>
    <w:p>
      <w:pPr/>
      <w:r>
        <w:rPr>
          <w:b/>
          <w:rFonts w:ascii="Times New Roman" w:eastAsia="宋体"/>
          <w:sz w:val="21"/>
        </w:rPr>
        <w:t xml:space="preserve">项目报建阶段</w:t>
      </w:r>
      <w:r>
        <w:rPr>
          <w:rFonts w:ascii="Times New Roman" w:eastAsia="宋体"/>
          <w:sz w:val="21"/>
        </w:rPr>
        <w:t xml:space="preserve">：基建处将确定后的设计文件分别报送规划、消防、环保、建设等部门审批，获得建设项目规划许可证、施工许可证；学校招标领导小组委托中介机构通过公开招标方式确定施工的承建单位和监理单位，依法接受地方政府相关部门的监督。</w:t>
      </w:r>
    </w:p>
    <w:p>
      <w:pPr/>
      <w:r>
        <w:rPr>
          <w:b/>
          <w:rFonts w:ascii="Times New Roman" w:eastAsia="宋体"/>
          <w:sz w:val="21"/>
        </w:rPr>
        <w:t xml:space="preserve">项目实施阶段</w:t>
      </w:r>
      <w:r>
        <w:rPr>
          <w:rFonts w:ascii="Times New Roman" w:eastAsia="宋体"/>
          <w:sz w:val="21"/>
        </w:rPr>
        <w:t xml:space="preserve">：严格执行建设工程施工合同与建设工程监理合同；基建处负责协调各方责任主体的关系，督促各方各司其责，妥善处理质量、进度和投资的关系；承建单位对建设质量、安全文明施工负责，自觉接受上海市建设工程质量和安全监督站的管理和监督；监理单位负责质量控制、进度控制、投资控制；基建处负责建设过程中的投资管理，审计处负责项目实施过程中的跟踪审计，财务处负责建设过程中的财务管理；对于重要材料和设备，由基建处组织、审计处与财务处参与，委托中介机构公开招标确定。</w:t>
      </w:r>
    </w:p>
    <w:p>
      <w:pPr/>
      <w:r>
        <w:rPr>
          <w:b/>
          <w:rFonts w:ascii="Times New Roman" w:eastAsia="宋体"/>
          <w:sz w:val="21"/>
        </w:rPr>
        <w:t xml:space="preserve">项目结算阶段</w:t>
      </w:r>
      <w:r>
        <w:rPr>
          <w:rFonts w:ascii="Times New Roman" w:eastAsia="宋体"/>
          <w:sz w:val="21"/>
        </w:rPr>
        <w:t xml:space="preserve">：基建处负责初步审核承建单位编制的项目决算文件后送审计处，由审计处委托中介机构审核项目决算文件；项目决算确定后，由审计处委托中介机构编制建设项目竣工财务决算并报主管部门批准。</w:t>
      </w:r>
      <w:r>
        <w:rPr>
          <w:b/>
          <w:rFonts w:ascii="Times New Roman" w:eastAsia="宋体"/>
          <w:sz w:val="21"/>
        </w:rPr>
        <w:t xml:space="preserve">（竣工财务决算批准文号：待补充——原文述及报发展规划司批准，未给出文号。）</w:t>
      </w:r>
    </w:p>
    <w:p>
      <w:pPr>
        <w:pStyle w:val="Heading2"/>
      </w:pPr>
      <w:r>
        <w:rPr>
          <w:rFonts w:ascii="Times New Roman" w:eastAsia="宋体"/>
          <w:sz w:val="21"/>
        </w:rPr>
        <w:t xml:space="preserve">11.3　项目运营期管理</w:t>
      </w:r>
    </w:p>
    <w:p>
      <w:pPr/>
      <w:r>
        <w:rPr>
          <w:rFonts w:ascii="Times New Roman" w:eastAsia="宋体"/>
          <w:sz w:val="21"/>
        </w:rPr>
        <w:t xml:space="preserve">项目建设完成后，将由学校后勤部门实施物业管理、绿化保洁、电气、给排水等系统的运行等后勤保障服务。项目的运行费用主要包括水费、电费、弱电系统运行费、管理人员工资等，所有运行费用在上海财经大学后勤保障经费中统一支列，运行费用有保障。</w:t>
      </w:r>
    </w:p>
    <w:p>
      <w:pPr>
        <w:pStyle w:val="Heading2"/>
      </w:pPr>
      <w:r>
        <w:rPr>
          <w:rFonts w:ascii="Times New Roman" w:eastAsia="宋体"/>
          <w:sz w:val="21"/>
        </w:rPr>
        <w:t xml:space="preserve">11.4　实施进度</w:t>
      </w:r>
    </w:p>
    <w:p>
      <w:pPr/>
      <w:r>
        <w:rPr>
          <w:rFonts w:ascii="Times New Roman" w:eastAsia="宋体"/>
          <w:sz w:val="21"/>
        </w:rPr>
        <w:t xml:space="preserve">根据上海市建设工程施工工期定额，本项目建设工期约为 24 月。按现行建设程序，即项目立项—前期准备（设计、勘察、招标、手续办理）—工程施工—竣工验收—交付使用的建设周期，本项目预计于 2020年7月初 开工建设，2022年06月底 竣工。本项目在实施过程中各工作环节有些可同时开展和交叉进行，需要将项目实施的各阶段工作环节进行统一规划，具体进度安排计划如下表。</w:t>
      </w:r>
    </w:p>
    <w:p>
      <w:pPr/>
      <w:r>
        <w:rPr>
          <w:b/>
          <w:rFonts w:ascii="Times New Roman" w:eastAsia="宋体"/>
          <w:sz w:val="21"/>
        </w:rPr>
        <w:t xml:space="preserve">表11-1 项目进度计划表</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工作内容</w:t>
            </w:r>
          </w:p>
        </w:tc>
        <w:tc>
          <w:tcPr>
            <w:tcW w:w="0" w:type="auto"/>
          </w:tcPr>
          <w:p>
            <w:pPr/>
            <w:r>
              <w:rPr>
                <w:b/>
                <w:rFonts w:ascii="Times New Roman" w:eastAsia="宋体"/>
                <w:sz w:val="21"/>
              </w:rPr>
              <w:t xml:space="preserve">进度</w:t>
            </w:r>
          </w:p>
        </w:tc>
      </w:tr>
      <w:tr>
        <w:tc>
          <w:tcPr>
            <w:tcW w:w="0" w:type="auto"/>
          </w:tcPr>
          <w:p>
            <w:pPr/>
            <w:r>
              <w:rPr>
                <w:rFonts w:ascii="Times New Roman" w:eastAsia="宋体"/>
                <w:sz w:val="21"/>
              </w:rPr>
              <w:t xml:space="preserve">方案设计与可研编制</w:t>
            </w:r>
          </w:p>
        </w:tc>
        <w:tc>
          <w:tcPr>
            <w:tcW w:w="0" w:type="auto"/>
          </w:tcPr>
          <w:p>
            <w:pPr/>
            <w:r>
              <w:rPr>
                <w:rFonts w:ascii="Times New Roman" w:eastAsia="宋体"/>
                <w:sz w:val="21"/>
              </w:rPr>
              <w:t xml:space="preserve">2019年4月-2019年10月</w:t>
            </w:r>
          </w:p>
        </w:tc>
      </w:tr>
      <w:tr>
        <w:tc>
          <w:tcPr>
            <w:tcW w:w="0" w:type="auto"/>
          </w:tcPr>
          <w:p>
            <w:pPr/>
            <w:r>
              <w:rPr>
                <w:rFonts w:ascii="Times New Roman" w:eastAsia="宋体"/>
                <w:sz w:val="21"/>
              </w:rPr>
              <w:t xml:space="preserve">初步设计及概算</w:t>
            </w:r>
          </w:p>
        </w:tc>
        <w:tc>
          <w:tcPr>
            <w:tcW w:w="0" w:type="auto"/>
          </w:tcPr>
          <w:p>
            <w:pPr/>
            <w:r>
              <w:rPr>
                <w:rFonts w:ascii="Times New Roman" w:eastAsia="宋体"/>
                <w:sz w:val="21"/>
              </w:rPr>
              <w:t xml:space="preserve">2019年11月-2020年2月</w:t>
            </w:r>
          </w:p>
        </w:tc>
      </w:tr>
      <w:tr>
        <w:tc>
          <w:tcPr>
            <w:tcW w:w="0" w:type="auto"/>
          </w:tcPr>
          <w:p>
            <w:pPr/>
            <w:r>
              <w:rPr>
                <w:rFonts w:ascii="Times New Roman" w:eastAsia="宋体"/>
                <w:sz w:val="21"/>
              </w:rPr>
              <w:t xml:space="preserve">施工图设计</w:t>
            </w:r>
          </w:p>
        </w:tc>
        <w:tc>
          <w:tcPr>
            <w:tcW w:w="0" w:type="auto"/>
          </w:tcPr>
          <w:p>
            <w:pPr/>
            <w:r>
              <w:rPr>
                <w:rFonts w:ascii="Times New Roman" w:eastAsia="宋体"/>
                <w:sz w:val="21"/>
              </w:rPr>
              <w:t xml:space="preserve">2020年3月-2020年5月</w:t>
            </w:r>
          </w:p>
        </w:tc>
      </w:tr>
      <w:tr>
        <w:tc>
          <w:tcPr>
            <w:tcW w:w="0" w:type="auto"/>
          </w:tcPr>
          <w:p>
            <w:pPr/>
            <w:r>
              <w:rPr>
                <w:rFonts w:ascii="Times New Roman" w:eastAsia="宋体"/>
                <w:sz w:val="21"/>
              </w:rPr>
              <w:t xml:space="preserve">施工招标</w:t>
            </w:r>
          </w:p>
        </w:tc>
        <w:tc>
          <w:tcPr>
            <w:tcW w:w="0" w:type="auto"/>
          </w:tcPr>
          <w:p>
            <w:pPr/>
            <w:r>
              <w:rPr>
                <w:rFonts w:ascii="Times New Roman" w:eastAsia="宋体"/>
                <w:sz w:val="21"/>
              </w:rPr>
              <w:t xml:space="preserve">2020年6月</w:t>
            </w:r>
          </w:p>
        </w:tc>
      </w:tr>
      <w:tr>
        <w:tc>
          <w:tcPr>
            <w:tcW w:w="0" w:type="auto"/>
          </w:tcPr>
          <w:p>
            <w:pPr/>
            <w:r>
              <w:rPr>
                <w:rFonts w:ascii="Times New Roman" w:eastAsia="宋体"/>
                <w:sz w:val="21"/>
              </w:rPr>
              <w:t xml:space="preserve">开工建设</w:t>
            </w:r>
          </w:p>
        </w:tc>
        <w:tc>
          <w:tcPr>
            <w:tcW w:w="0" w:type="auto"/>
          </w:tcPr>
          <w:p>
            <w:pPr/>
            <w:r>
              <w:rPr>
                <w:rFonts w:ascii="Times New Roman" w:eastAsia="宋体"/>
                <w:sz w:val="21"/>
              </w:rPr>
              <w:t xml:space="preserve">2020年7月-2022年5月</w:t>
            </w:r>
          </w:p>
        </w:tc>
      </w:tr>
      <w:tr>
        <w:tc>
          <w:tcPr>
            <w:tcW w:w="0" w:type="auto"/>
          </w:tcPr>
          <w:p>
            <w:pPr/>
            <w:r>
              <w:rPr>
                <w:rFonts w:ascii="Times New Roman" w:eastAsia="宋体"/>
                <w:sz w:val="21"/>
              </w:rPr>
              <w:t xml:space="preserve">竣工验收</w:t>
            </w:r>
          </w:p>
        </w:tc>
        <w:tc>
          <w:tcPr>
            <w:tcW w:w="0" w:type="auto"/>
          </w:tcPr>
          <w:p>
            <w:pPr/>
            <w:r>
              <w:rPr>
                <w:rFonts w:ascii="Times New Roman" w:eastAsia="宋体"/>
                <w:sz w:val="21"/>
              </w:rPr>
              <w:t xml:space="preserve">2022年6月</w:t>
            </w:r>
          </w:p>
        </w:tc>
      </w:tr>
    </w:tbl>
    <w:p>
      <w:pPr>
        <w:ind w:left="420"/>
      </w:pPr>
      <w:r>
        <w:rPr>
          <w:b/>
          <w:rFonts w:ascii="Times New Roman" w:eastAsia="宋体"/>
          <w:sz w:val="21"/>
        </w:rPr>
        <w:t xml:space="preserve">前置条件未闭合事项提示</w:t>
      </w:r>
      <w:r>
        <w:rPr>
          <w:rFonts w:ascii="Times New Roman" w:eastAsia="宋体"/>
          <w:sz w:val="21"/>
        </w:rPr>
        <w:t xml:space="preserve">（不影响可研成立，但须如实交代并进风险章）：</w:t>
      </w:r>
    </w:p>
    <w:p>
      <w:pPr>
        <w:ind w:left="420"/>
      </w:pPr>
      <w:r>
        <w:rPr>
          <w:rFonts w:ascii="Times New Roman" w:eastAsia="宋体"/>
          <w:sz w:val="21"/>
        </w:rPr>
        <w:t xml:space="preserve">（1）原有第五教学楼</w:t>
      </w:r>
      <w:r>
        <w:rPr>
          <w:b/>
          <w:rFonts w:ascii="Times New Roman" w:eastAsia="宋体"/>
          <w:sz w:val="21"/>
        </w:rPr>
        <w:t xml:space="preserve">拆除手续</w:t>
      </w:r>
      <w:r>
        <w:rPr>
          <w:rFonts w:ascii="Times New Roman" w:eastAsia="宋体"/>
          <w:sz w:val="21"/>
        </w:rPr>
        <w:t xml:space="preserve">：原报告载明「拆除手续正同步进行办理中」，附件清单亦标注为待补充。</w:t>
      </w:r>
      <w:r>
        <w:rPr>
          <w:b/>
          <w:rFonts w:ascii="Times New Roman" w:eastAsia="宋体"/>
          <w:sz w:val="21"/>
        </w:rPr>
        <w:t xml:space="preserve">（原有第五教学楼拆除手续：待补充——原文：拆除手续正同步进行办理中；附件清单亦标注（待补充）。）</w:t>
      </w:r>
    </w:p>
    <w:p>
      <w:pPr>
        <w:ind w:left="420"/>
      </w:pPr>
      <w:r>
        <w:rPr>
          <w:rFonts w:ascii="Times New Roman" w:eastAsia="宋体"/>
          <w:sz w:val="21"/>
        </w:rPr>
        <w:t xml:space="preserve">（2）</w:t>
      </w:r>
      <w:r>
        <w:rPr>
          <w:b/>
          <w:rFonts w:ascii="Times New Roman" w:eastAsia="宋体"/>
          <w:sz w:val="21"/>
        </w:rPr>
        <w:t xml:space="preserve">国拨资金批复文件</w:t>
      </w:r>
      <w:r>
        <w:rPr>
          <w:rFonts w:ascii="Times New Roman" w:eastAsia="宋体"/>
          <w:sz w:val="21"/>
        </w:rPr>
        <w:t xml:space="preserve">：资金筹措方案列出申请国拨资金，但附件未含上级批复文件。</w:t>
      </w:r>
      <w:r>
        <w:rPr>
          <w:b/>
          <w:rFonts w:ascii="Times New Roman" w:eastAsia="宋体"/>
          <w:sz w:val="21"/>
        </w:rPr>
        <w:t xml:space="preserve">（国拨资金批复文件：待补充——资金筹措方案列出申请国拨资金 6000 万元，但附件未含上级批复文件。）</w:t>
      </w:r>
    </w:p>
    <w:p>
      <w:pPr>
        <w:ind w:left="420"/>
      </w:pPr>
      <w:r>
        <w:rPr>
          <w:rFonts w:ascii="Times New Roman" w:eastAsia="宋体"/>
          <w:sz w:val="21"/>
        </w:rPr>
        <w:t xml:space="preserve">（3）</w:t>
      </w:r>
      <w:r>
        <w:rPr>
          <w:b/>
          <w:rFonts w:ascii="Times New Roman" w:eastAsia="宋体"/>
          <w:sz w:val="21"/>
        </w:rPr>
        <w:t xml:space="preserve">施工图审查/报建时点</w:t>
      </w:r>
      <w:r>
        <w:rPr>
          <w:rFonts w:ascii="Times New Roman" w:eastAsia="宋体"/>
          <w:sz w:val="21"/>
        </w:rPr>
        <w:t xml:space="preserve">：该时点决定引用标准版本的适用性（详见</w:t>
      </w:r>
      <w:r>
        <w:rPr>
          <w:b/>
          <w:rFonts w:ascii="Times New Roman" w:eastAsia="宋体"/>
          <w:sz w:val="21"/>
        </w:rPr>
        <w:t xml:space="preserve">依据复核</w:t>
      </w:r>
      <w:r>
        <w:rPr>
          <w:rFonts w:ascii="Times New Roman" w:eastAsia="宋体"/>
          <w:sz w:val="21"/>
        </w:rPr>
        <w:t xml:space="preserve">）。</w:t>
      </w:r>
    </w:p>
    <w:p>
      <w:pPr>
        <w:ind w:left="420"/>
      </w:pPr>
      <w:r>
        <w:rPr>
          <w:b/>
          <w:rFonts w:ascii="Times New Roman" w:eastAsia="宋体"/>
          <w:sz w:val="21"/>
        </w:rPr>
        <w:t xml:space="preserve">⚠️ 依据复核（B-10）</w:t>
      </w:r>
      <w:r>
        <w:rPr>
          <w:rFonts w:ascii="Times New Roman" w:eastAsia="宋体"/>
          <w:sz w:val="21"/>
        </w:rPr>
        <w:t xml:space="preserve">：报告 6.5 强电设计依据引用《绿色建筑评价标准》GB-T50378-2014。住建部公告 2019 年第 61 号：GB/T50378-2019 自 </w:t>
      </w:r>
      <w:r>
        <w:rPr>
          <w:b/>
          <w:rFonts w:ascii="Times New Roman" w:eastAsia="宋体"/>
          <w:sz w:val="21"/>
        </w:rPr>
        <w:t xml:space="preserve">2019 年 8 月 1 日</w:t>
      </w:r>
      <w:r>
        <w:rPr>
          <w:rFonts w:ascii="Times New Roman" w:eastAsia="宋体"/>
          <w:sz w:val="21"/>
        </w:rPr>
        <w:t xml:space="preserve">起实施，GB/T50378-2014 同时废止。本报告编制日期为 2019 年 8 月——</w:t>
      </w:r>
      <w:r>
        <w:rPr>
          <w:b/>
          <w:rFonts w:ascii="Times New Roman" w:eastAsia="宋体"/>
          <w:sz w:val="21"/>
        </w:rPr>
        <w:t xml:space="preserve">标准切换与本报告编制落在同一个月</w:t>
      </w:r>
      <w:r>
        <w:rPr>
          <w:rFonts w:ascii="Times New Roman" w:eastAsia="宋体"/>
          <w:sz w:val="21"/>
        </w:rPr>
        <w:t xml:space="preserve">，是否应按 2019 版执行，取决于实际报审/审图时点，无法由文本单方判定。</w:t>
      </w:r>
    </w:p>
    <w:p>
      <w:pPr>
        <w:ind w:left="420"/>
      </w:pPr>
      <w:r>
        <w:rPr>
          <w:rFonts w:ascii="Times New Roman" w:eastAsia="宋体"/>
          <w:sz w:val="21"/>
        </w:rPr>
        <w:t xml:space="preserve">- 若 报审时点在 2019-08-01 之后 ⇒ 应引用 GB/T50378-2019，报告引用版本已废止</w:t>
      </w:r>
    </w:p>
    <w:p>
      <w:pPr>
        <w:ind w:left="420"/>
      </w:pPr>
      <w:r>
        <w:rPr>
          <w:rFonts w:ascii="Times New Roman" w:eastAsia="宋体"/>
          <w:sz w:val="21"/>
        </w:rPr>
        <w:t xml:space="preserve">- 若 报审/设计工作在 2019-08-01 之前完成 ⇒ 引用 2014 版可成立</w:t>
      </w:r>
    </w:p>
    <w:p>
      <w:pPr>
        <w:ind w:left="420"/>
      </w:pPr>
      <w:r>
        <w:rPr>
          <w:rFonts w:ascii="Times New Roman" w:eastAsia="宋体"/>
          <w:sz w:val="21"/>
        </w:rPr>
        <w:t xml:space="preserve">- 须核对：确认本项目的施工图审查/报建时点</w:t>
      </w:r>
    </w:p>
    <w:p>
      <w:pPr>
        <w:pStyle w:val="Heading1"/>
      </w:pPr>
      <w:r>
        <w:rPr>
          <w:rFonts w:ascii="Times New Roman" w:eastAsia="宋体"/>
          <w:sz w:val="21"/>
        </w:rPr>
        <w:t xml:space="preserve">第十二章　项目招投标方案</w:t>
      </w:r>
    </w:p>
    <w:p>
      <w:pPr>
        <w:pStyle w:val="Heading2"/>
      </w:pPr>
      <w:r>
        <w:rPr>
          <w:rFonts w:ascii="Times New Roman" w:eastAsia="宋体"/>
          <w:sz w:val="21"/>
        </w:rPr>
        <w:t xml:space="preserve">12.1　编制依据</w:t>
      </w:r>
    </w:p>
    <w:p>
      <w:pPr/>
      <w:r>
        <w:rPr>
          <w:rFonts w:ascii="Times New Roman" w:eastAsia="宋体"/>
          <w:sz w:val="21"/>
        </w:rPr>
        <w:t xml:space="preserve">本章依据招标投标法、必须招标的工程项目规定、工程项目招标范围和规模标准规定、评标委员会和评标方法暂行规定、工程建设项目可行性研究报告增加招标内容和核准招标事项暂行规定等。</w:t>
      </w:r>
    </w:p>
    <w:p>
      <w:pPr/>
      <w:r>
        <w:rPr>
          <w:rFonts w:ascii="Times New Roman" w:eastAsia="宋体"/>
          <w:sz w:val="21"/>
        </w:rPr>
        <w:t xml:space="preserve">按必须招标的工程项目规定，全部或者部分使用国有资金投资或者国家融资的项目包括：使用预算资金达到规定金额以上并且该资金占投资额达到规定比例以上的项目；以及使用国有企业事业单位资金并占控股或者主导地位的项目。</w:t>
      </w:r>
    </w:p>
    <w:p>
      <w:pPr/>
      <w:r>
        <w:rPr>
          <w:rFonts w:ascii="Times New Roman" w:eastAsia="宋体"/>
          <w:sz w:val="21"/>
        </w:rPr>
        <w:t xml:space="preserve">上述规定范围内的项目，其勘察、设计、施工、监理以及与工程建设有关的重要设备、材料的采购达到下列标准之一的必须招标：施工单项合同估算价在规定金额以上；重要设备、材料等货物的采购单项合同估算价在规定金额以上；勘察、设计、监理等服务的采购单项合同估算价在规定金额以上。</w:t>
      </w:r>
    </w:p>
    <w:p>
      <w:pPr>
        <w:pStyle w:val="Heading2"/>
      </w:pPr>
      <w:r>
        <w:rPr>
          <w:rFonts w:ascii="Times New Roman" w:eastAsia="宋体"/>
          <w:sz w:val="21"/>
        </w:rPr>
        <w:t xml:space="preserve">12.2　招标范围</w:t>
      </w:r>
    </w:p>
    <w:p>
      <w:pPr/>
      <w:r>
        <w:rPr>
          <w:rFonts w:ascii="Times New Roman" w:eastAsia="宋体"/>
          <w:sz w:val="21"/>
        </w:rPr>
        <w:t xml:space="preserve">本项目建设资金来源包含财政拨款，依据上述标准，本项目除勘察工程外，其他将实施招投标，招标范围包括设计、施工、监理等。各分项的估算金额与门槛判定的逐项核验结论如下。</w:t>
      </w:r>
    </w:p>
    <w:p>
      <w:pPr>
        <w:ind w:left="420"/>
      </w:pPr>
      <w:r>
        <w:rPr>
          <w:b/>
          <w:rFonts w:ascii="Times New Roman" w:eastAsia="宋体"/>
          <w:sz w:val="21"/>
        </w:rPr>
        <w:t xml:space="preserve">✅ 依据复核（B-13）</w:t>
      </w:r>
      <w:r>
        <w:rPr>
          <w:rFonts w:ascii="Times New Roman" w:eastAsia="宋体"/>
          <w:sz w:val="21"/>
        </w:rPr>
        <w:t xml:space="preserve">：表12-1「项目招标基本情况」：勘察 39 万元不采用招标方式；设计 336 万元、建安工程 10135 万元、监理 239 万元均为全部招标/委托招标/公开招标。按发改委令第16号第五条逐项比对：勘察 39 万元 &lt; 门槛 100 万元 ⇒ 未达门槛；设计 336 万元 ≥ 门槛 100 万元 ⇒ 必须招标；监理 239 万元 ≥ 门槛 100 万元 ⇒ 必须招标；建安工程 10135 万元 ≥ 门槛 400 万元 ⇒ 必须招标。</w:t>
      </w:r>
      <w:r>
        <w:rPr>
          <w:b/>
          <w:rFonts w:ascii="Times New Roman" w:eastAsia="宋体"/>
          <w:sz w:val="21"/>
        </w:rPr>
        <w:t xml:space="preserve">招标范围的取舍与门槛值一致</w:t>
      </w:r>
      <w:r>
        <w:rPr>
          <w:rFonts w:ascii="Times New Roman" w:eastAsia="宋体"/>
          <w:sz w:val="21"/>
        </w:rPr>
        <w:t xml:space="preserve">（勘察低于 100 万元门槛而不招标，其余三项均达门槛必须招标）。另注：表12-1 的建安工程 10135 万元与表13-1 的建安工程费用 11188 万元不一致（本包已登记为数字冲突），但两者均远超 400 万元门槛，</w:t>
      </w:r>
      <w:r>
        <w:rPr>
          <w:b/>
          <w:rFonts w:ascii="Times New Roman" w:eastAsia="宋体"/>
          <w:sz w:val="21"/>
        </w:rPr>
        <w:t xml:space="preserve">不影响招标范围判定</w:t>
      </w:r>
      <w:r>
        <w:rPr>
          <w:rFonts w:ascii="Times New Roman" w:eastAsia="宋体"/>
          <w:sz w:val="21"/>
        </w:rPr>
        <w:t xml:space="preserve">。</w:t>
      </w:r>
    </w:p>
    <w:p>
      <w:pPr/>
      <w:r>
        <w:rPr>
          <w:b/>
          <w:rFonts w:ascii="Times New Roman" w:eastAsia="宋体"/>
          <w:sz w:val="21"/>
        </w:rPr>
        <w:t xml:space="preserve">表12-1 项目招标基本情况</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项目</w:t>
            </w:r>
          </w:p>
        </w:tc>
        <w:tc>
          <w:tcPr>
            <w:tcW w:w="0" w:type="auto"/>
          </w:tcPr>
          <w:p>
            <w:pPr/>
            <w:r>
              <w:rPr>
                <w:b/>
                <w:rFonts w:ascii="Times New Roman" w:eastAsia="宋体"/>
                <w:sz w:val="21"/>
              </w:rPr>
              <w:t xml:space="preserve">招标范围与方式</w:t>
            </w:r>
          </w:p>
        </w:tc>
        <w:tc>
          <w:tcPr>
            <w:tcW w:w="0" w:type="auto"/>
          </w:tcPr>
          <w:p>
            <w:pPr/>
            <w:r>
              <w:rPr>
                <w:b/>
                <w:rFonts w:ascii="Times New Roman" w:eastAsia="宋体"/>
                <w:sz w:val="21"/>
              </w:rPr>
              <w:t xml:space="preserve">招标估算金额（万元）</w:t>
            </w:r>
          </w:p>
        </w:tc>
      </w:tr>
      <w:tr>
        <w:tc>
          <w:tcPr>
            <w:tcW w:w="0" w:type="auto"/>
          </w:tcPr>
          <w:p>
            <w:pPr/>
            <w:r>
              <w:rPr>
                <w:rFonts w:ascii="Times New Roman" w:eastAsia="宋体"/>
                <w:sz w:val="21"/>
              </w:rPr>
              <w:t xml:space="preserve">勘察</w:t>
            </w:r>
          </w:p>
        </w:tc>
        <w:tc>
          <w:tcPr>
            <w:tcW w:w="0" w:type="auto"/>
          </w:tcPr>
          <w:p>
            <w:pPr/>
            <w:r>
              <w:rPr>
                <w:rFonts w:ascii="Times New Roman" w:eastAsia="宋体"/>
                <w:sz w:val="21"/>
              </w:rPr>
              <w:t xml:space="preserve">不采用招标方式</w:t>
            </w:r>
          </w:p>
        </w:tc>
        <w:tc>
          <w:tcPr>
            <w:tcW w:w="0" w:type="auto"/>
          </w:tcPr>
          <w:p>
            <w:pPr/>
            <w:r>
              <w:rPr>
                <w:rFonts w:ascii="Times New Roman" w:eastAsia="宋体"/>
                <w:sz w:val="21"/>
              </w:rPr>
              <w:t xml:space="preserve">39</w:t>
            </w:r>
          </w:p>
        </w:tc>
      </w:tr>
      <w:tr>
        <w:tc>
          <w:tcPr>
            <w:tcW w:w="0" w:type="auto"/>
          </w:tcPr>
          <w:p>
            <w:pPr/>
            <w:r>
              <w:rPr>
                <w:rFonts w:ascii="Times New Roman" w:eastAsia="宋体"/>
                <w:sz w:val="21"/>
              </w:rPr>
              <w:t xml:space="preserve">设计</w:t>
            </w:r>
          </w:p>
        </w:tc>
        <w:tc>
          <w:tcPr>
            <w:tcW w:w="0" w:type="auto"/>
          </w:tcPr>
          <w:p>
            <w:pPr/>
            <w:r>
              <w:rPr>
                <w:rFonts w:ascii="Times New Roman" w:eastAsia="宋体"/>
                <w:sz w:val="21"/>
              </w:rPr>
              <w:t xml:space="preserve">全部招标 / 委托招标 / 公开招标</w:t>
            </w:r>
          </w:p>
        </w:tc>
        <w:tc>
          <w:tcPr>
            <w:tcW w:w="0" w:type="auto"/>
          </w:tcPr>
          <w:p>
            <w:pPr/>
            <w:r>
              <w:rPr>
                <w:rFonts w:ascii="Times New Roman" w:eastAsia="宋体"/>
                <w:sz w:val="21"/>
              </w:rPr>
              <w:t xml:space="preserve">336</w:t>
            </w:r>
          </w:p>
        </w:tc>
      </w:tr>
      <w:tr>
        <w:tc>
          <w:tcPr>
            <w:tcW w:w="0" w:type="auto"/>
          </w:tcPr>
          <w:p>
            <w:pPr/>
            <w:r>
              <w:rPr>
                <w:rFonts w:ascii="Times New Roman" w:eastAsia="宋体"/>
                <w:sz w:val="21"/>
              </w:rPr>
              <w:t xml:space="preserve">监理</w:t>
            </w:r>
          </w:p>
        </w:tc>
        <w:tc>
          <w:tcPr>
            <w:tcW w:w="0" w:type="auto"/>
          </w:tcPr>
          <w:p>
            <w:pPr/>
            <w:r>
              <w:rPr>
                <w:rFonts w:ascii="Times New Roman" w:eastAsia="宋体"/>
                <w:sz w:val="21"/>
              </w:rPr>
              <w:t xml:space="preserve">全部招标 / 委托招标 / 公开招标</w:t>
            </w:r>
          </w:p>
        </w:tc>
        <w:tc>
          <w:tcPr>
            <w:tcW w:w="0" w:type="auto"/>
          </w:tcPr>
          <w:p>
            <w:pPr/>
            <w:r>
              <w:rPr>
                <w:rFonts w:ascii="Times New Roman" w:eastAsia="宋体"/>
                <w:sz w:val="21"/>
              </w:rPr>
              <w:t xml:space="preserve">239</w:t>
            </w:r>
          </w:p>
        </w:tc>
      </w:tr>
      <w:tr>
        <w:tc>
          <w:tcPr>
            <w:tcW w:w="0" w:type="auto"/>
          </w:tcPr>
          <w:p>
            <w:pPr/>
            <w:r>
              <w:rPr>
                <w:rFonts w:ascii="Times New Roman" w:eastAsia="宋体"/>
                <w:sz w:val="21"/>
              </w:rPr>
              <w:t xml:space="preserve">建安工程</w:t>
            </w:r>
          </w:p>
        </w:tc>
        <w:tc>
          <w:tcPr>
            <w:tcW w:w="0" w:type="auto"/>
          </w:tcPr>
          <w:p>
            <w:pPr/>
            <w:r>
              <w:rPr>
                <w:rFonts w:ascii="Times New Roman" w:eastAsia="宋体"/>
                <w:sz w:val="21"/>
              </w:rPr>
              <w:t xml:space="preserve">全部招标 / 委托招标 / 公开招标</w:t>
            </w:r>
          </w:p>
        </w:tc>
        <w:tc>
          <w:tcPr>
            <w:tcW w:w="0" w:type="auto"/>
          </w:tcPr>
          <w:p>
            <w:pPr/>
            <w:r>
              <w:rPr>
                <w:rFonts w:ascii="Times New Roman" w:eastAsia="宋体"/>
                <w:sz w:val="21"/>
              </w:rPr>
              <w:t xml:space="preserve">10135</w:t>
            </w:r>
          </w:p>
        </w:tc>
      </w:tr>
    </w:tbl>
    <w:p>
      <w:pPr/>
      <w:r>
        <w:rPr>
          <w:b/>
          <w:rFonts w:ascii="Times New Roman" w:eastAsia="宋体"/>
          <w:sz w:val="21"/>
        </w:rPr>
        <w:t xml:space="preserve">逐项核验结论</w:t>
      </w:r>
      <w:r>
        <w:rPr>
          <w:rFonts w:ascii="Times New Roman" w:eastAsia="宋体"/>
          <w:sz w:val="21"/>
        </w:rPr>
        <w:t xml:space="preserve">：勘察的招标估算金额低于勘察设计监理服务的门槛，故不采用招标方式；设计、监理的招标估算金额均达到服务类门槛，建安工程估算金额达到施工类门槛，均必须招标。招标范围的取舍与门槛值一致，</w:t>
      </w:r>
      <w:r>
        <w:rPr>
          <w:b/>
          <w:rFonts w:ascii="Times New Roman" w:eastAsia="宋体"/>
          <w:sz w:val="21"/>
        </w:rPr>
        <w:t xml:space="preserve">本项合规</w:t>
      </w:r>
      <w:r>
        <w:rPr>
          <w:rFonts w:ascii="Times New Roman" w:eastAsia="宋体"/>
          <w:sz w:val="21"/>
        </w:rPr>
        <w:t xml:space="preserve">。</w:t>
      </w:r>
    </w:p>
    <w:p>
      <w:pPr>
        <w:ind w:left="420"/>
      </w:pPr>
      <w:r>
        <w:rPr>
          <w:b/>
          <w:rFonts w:ascii="Times New Roman" w:eastAsia="宋体"/>
          <w:sz w:val="21"/>
        </w:rPr>
        <w:t xml:space="preserve">口径提示</w:t>
      </w:r>
      <w:r>
        <w:rPr>
          <w:rFonts w:ascii="Times New Roman" w:eastAsia="宋体"/>
          <w:sz w:val="21"/>
        </w:rPr>
        <w:t xml:space="preserve">：本章表内「建安工程」招标估算金额与第十三章投资估算表的建安工程费用</w:t>
      </w:r>
      <w:r>
        <w:rPr>
          <w:b/>
          <w:rFonts w:ascii="Times New Roman" w:eastAsia="宋体"/>
          <w:sz w:val="21"/>
        </w:rPr>
        <w:t xml:space="preserve">不一致</w:t>
      </w:r>
      <w:r>
        <w:rPr>
          <w:rFonts w:ascii="Times New Roman" w:eastAsia="宋体"/>
          <w:sz w:val="21"/>
        </w:rPr>
        <w:t xml:space="preserve">（差额约千万元级）。两者均远超施工类门槛，故</w:t>
      </w:r>
      <w:r>
        <w:rPr>
          <w:b/>
          <w:rFonts w:ascii="Times New Roman" w:eastAsia="宋体"/>
          <w:sz w:val="21"/>
        </w:rPr>
        <w:t xml:space="preserve">不影响招标范围判定</w:t>
      </w:r>
      <w:r>
        <w:rPr>
          <w:rFonts w:ascii="Times New Roman" w:eastAsia="宋体"/>
          <w:sz w:val="21"/>
        </w:rPr>
        <w:t xml:space="preserve">；但两个数字并存本身就是待审事项，须核实后统一，避免在评审中形成口径矛盾。</w:t>
      </w:r>
    </w:p>
    <w:p>
      <w:pPr>
        <w:pStyle w:val="Heading2"/>
      </w:pPr>
      <w:r>
        <w:rPr>
          <w:rFonts w:ascii="Times New Roman" w:eastAsia="宋体"/>
          <w:sz w:val="21"/>
        </w:rPr>
        <w:t xml:space="preserve">12.3　招标组织形式与招标方式</w:t>
      </w:r>
    </w:p>
    <w:p>
      <w:pPr/>
      <w:r>
        <w:rPr>
          <w:b/>
          <w:rFonts w:ascii="Times New Roman" w:eastAsia="宋体"/>
          <w:sz w:val="21"/>
        </w:rPr>
        <w:t xml:space="preserve">招标组织形式</w:t>
      </w:r>
      <w:r>
        <w:rPr>
          <w:rFonts w:ascii="Times New Roman" w:eastAsia="宋体"/>
          <w:sz w:val="21"/>
        </w:rPr>
        <w:t xml:space="preserve">：本项目采用委托招标，由业主委托具有相应资质、经验丰富且信誉良好的招标代理机构负责招投标工作。项目招标遵循公平、公正、公开、诚信的原则确定中标单位。</w:t>
      </w:r>
    </w:p>
    <w:p>
      <w:pPr/>
      <w:r>
        <w:rPr>
          <w:b/>
          <w:rFonts w:ascii="Times New Roman" w:eastAsia="宋体"/>
          <w:sz w:val="21"/>
        </w:rPr>
        <w:t xml:space="preserve">招标方式</w:t>
      </w:r>
      <w:r>
        <w:rPr>
          <w:rFonts w:ascii="Times New Roman" w:eastAsia="宋体"/>
          <w:sz w:val="21"/>
        </w:rPr>
        <w:t xml:space="preserve">：依据相关规定与招标投标法，本项目设计、监理、施工等应采用公开招标形式。正式的招投标程序为：发布招标公告—投标邀请—招标文件—现场踏勘—标前答疑会—正式开标—综合评标—确定中标单位。</w:t>
      </w:r>
    </w:p>
    <w:p>
      <w:pPr>
        <w:pStyle w:val="Heading1"/>
      </w:pPr>
      <w:r>
        <w:rPr>
          <w:rFonts w:ascii="Times New Roman" w:eastAsia="宋体"/>
          <w:sz w:val="21"/>
        </w:rPr>
        <w:t xml:space="preserve">第十三章　投资估算及资金筹措</w:t>
      </w:r>
    </w:p>
    <w:p>
      <w:pPr>
        <w:pStyle w:val="Heading2"/>
      </w:pPr>
      <w:r>
        <w:rPr>
          <w:rFonts w:ascii="Times New Roman" w:eastAsia="宋体"/>
          <w:sz w:val="21"/>
        </w:rPr>
        <w:t xml:space="preserve">13.1　估算依据</w:t>
      </w:r>
    </w:p>
    <w:p>
      <w:pPr/>
      <w:r>
        <w:rPr>
          <w:rFonts w:ascii="Times New Roman" w:eastAsia="宋体"/>
          <w:sz w:val="21"/>
        </w:rPr>
        <w:t xml:space="preserve">投资估算依据包括：建设工程概预算定额及造价资料；类似工程造价指标；以及设计单位提供的设计指标和工程概况。</w:t>
      </w:r>
    </w:p>
    <w:p>
      <w:pPr>
        <w:ind w:left="420"/>
      </w:pPr>
      <w:r>
        <w:rPr>
          <w:b/>
          <w:rFonts w:ascii="Times New Roman" w:eastAsia="宋体"/>
          <w:sz w:val="21"/>
        </w:rPr>
        <w:t xml:space="preserve">依据可得性提示</w:t>
      </w:r>
      <w:r>
        <w:rPr>
          <w:rFonts w:ascii="Times New Roman" w:eastAsia="宋体"/>
          <w:sz w:val="21"/>
        </w:rPr>
        <w:t xml:space="preserve">：原报告将「类似工程造价指标」列为估算依据，但未给出该指标的来源、年份与数值。作为佐证性依据，它只能用于说明单方造价的合理性区间，</w:t>
      </w:r>
      <w:r>
        <w:rPr>
          <w:b/>
          <w:rFonts w:ascii="Times New Roman" w:eastAsia="宋体"/>
          <w:sz w:val="21"/>
        </w:rPr>
        <w:t xml:space="preserve">不能作为本项目取值的直接来源</w:t>
      </w:r>
      <w:r>
        <w:rPr>
          <w:rFonts w:ascii="Times New Roman" w:eastAsia="宋体"/>
          <w:sz w:val="21"/>
        </w:rPr>
        <w:t xml:space="preserve">。该事项已登记为待补充。</w:t>
      </w:r>
    </w:p>
    <w:p>
      <w:pPr>
        <w:pStyle w:val="Heading2"/>
      </w:pPr>
      <w:r>
        <w:rPr>
          <w:rFonts w:ascii="Times New Roman" w:eastAsia="宋体"/>
          <w:sz w:val="21"/>
        </w:rPr>
        <w:t xml:space="preserve">13.2　估算说明</w:t>
      </w:r>
    </w:p>
    <w:p>
      <w:pPr/>
      <w:r>
        <w:rPr>
          <w:b/>
          <w:rFonts w:ascii="Times New Roman" w:eastAsia="宋体"/>
          <w:sz w:val="21"/>
        </w:rPr>
        <w:t xml:space="preserve">（1）费用范围</w:t>
      </w:r>
      <w:r>
        <w:rPr>
          <w:rFonts w:ascii="Times New Roman" w:eastAsia="宋体"/>
          <w:sz w:val="21"/>
        </w:rPr>
        <w:t xml:space="preserve">：本估算包括在正常的设计、施工周期内为完成该项目所需投入的建设费用，包括建筑安装工程费、工程建设其他费用、预备费、原建筑拆除费用等。</w:t>
      </w:r>
    </w:p>
    <w:p>
      <w:pPr/>
      <w:r>
        <w:rPr>
          <w:b/>
          <w:rFonts w:ascii="Times New Roman" w:eastAsia="宋体"/>
          <w:sz w:val="21"/>
        </w:rPr>
        <w:t xml:space="preserve">（2）不含项清单</w:t>
      </w:r>
      <w:r>
        <w:rPr>
          <w:rFonts w:ascii="Times New Roman" w:eastAsia="宋体"/>
          <w:sz w:val="21"/>
        </w:rPr>
        <w:t xml:space="preserve">（这一项是评审必查点，须明确）：本估算</w:t>
      </w:r>
      <w:r>
        <w:rPr>
          <w:b/>
          <w:rFonts w:ascii="Times New Roman" w:eastAsia="宋体"/>
          <w:sz w:val="21"/>
        </w:rPr>
        <w:t xml:space="preserve">不包括</w:t>
      </w:r>
      <w:r>
        <w:rPr>
          <w:rFonts w:ascii="Times New Roman" w:eastAsia="宋体"/>
          <w:sz w:val="21"/>
        </w:rPr>
        <w:t xml:space="preserve">办公家具、电器等费用；根据上海市现行政策，本项目按照 40% 装配率、绿色建筑二星 考虑，若未来因政策要求提高标准，则需要另外增加相应费用；本项目位于成熟校区内，可能涉及的用水、用电增容等大市政配套费在校区内统筹考虑，本项目内未含；可能涉及的地下障碍物清除费，本项目内未含。</w:t>
      </w:r>
    </w:p>
    <w:p>
      <w:pPr/>
      <w:r>
        <w:rPr>
          <w:b/>
          <w:rFonts w:ascii="Times New Roman" w:eastAsia="宋体"/>
          <w:sz w:val="21"/>
        </w:rPr>
        <w:t xml:space="preserve">（3）费用构成说明</w:t>
      </w:r>
      <w:r>
        <w:rPr>
          <w:rFonts w:ascii="Times New Roman" w:eastAsia="宋体"/>
          <w:sz w:val="21"/>
        </w:rPr>
        <w:t xml:space="preserve">：建筑安装工程费用包括单体工程、室外总体工程等；工程建设其他费用包括建设单位管理费、前期工程咨询费、勘察费、设计费、招标代理费、清单及标底编制费、财务监理费、施工监理费、施工图审图费、竣工图编制费、场地准备及临时设施费、市政配套费、人防易地建设费等。</w:t>
      </w:r>
    </w:p>
    <w:p>
      <w:pPr/>
      <w:r>
        <w:rPr>
          <w:b/>
          <w:rFonts w:ascii="Times New Roman" w:eastAsia="宋体"/>
          <w:sz w:val="21"/>
        </w:rPr>
        <w:t xml:space="preserve">（4）预备费</w:t>
      </w:r>
      <w:r>
        <w:rPr>
          <w:rFonts w:ascii="Times New Roman" w:eastAsia="宋体"/>
          <w:sz w:val="21"/>
        </w:rPr>
        <w:t xml:space="preserve">：预备费包括基本预备费和涨价预备费，本项目基本预备费按前两项之和的 5% 计算，未设置建设期涨价预备费。按 R-基本预备费（基本预备费）重算得 </w:t>
      </w:r>
      <w:r>
        <w:rPr>
          <w:b/>
          <w:rFonts w:ascii="Times New Roman" w:eastAsia="宋体"/>
          <w:sz w:val="21"/>
        </w:rPr>
        <w:t xml:space="preserve">617.95</w:t>
      </w:r>
      <w:r>
        <w:rPr>
          <w:rFonts w:ascii="Times New Roman" w:eastAsia="宋体"/>
          <w:sz w:val="21"/>
        </w:rPr>
        <w:t xml:space="preserve">，报告原文写 </w:t>
      </w:r>
      <w:r>
        <w:rPr>
          <w:b/>
          <w:rFonts w:ascii="Times New Roman" w:eastAsia="宋体"/>
          <w:sz w:val="21"/>
        </w:rPr>
        <w:t xml:space="preserve">618</w:t>
      </w:r>
      <w:r>
        <w:rPr>
          <w:rFonts w:ascii="Times New Roman" w:eastAsia="宋体"/>
          <w:sz w:val="21"/>
        </w:rPr>
        <w:t xml:space="preserve">，差 0.05（0.01%）。该差异按「待审」处理，本稿不改数。</w:t>
      </w:r>
    </w:p>
    <w:p>
      <w:pPr>
        <w:pStyle w:val="Heading2"/>
      </w:pPr>
      <w:r>
        <w:rPr>
          <w:rFonts w:ascii="Times New Roman" w:eastAsia="宋体"/>
          <w:sz w:val="21"/>
        </w:rPr>
        <w:t xml:space="preserve">13.3　投资估算</w:t>
      </w:r>
    </w:p>
    <w:p>
      <w:pPr/>
      <w:r>
        <w:rPr>
          <w:rFonts w:ascii="Times New Roman" w:eastAsia="宋体"/>
          <w:sz w:val="21"/>
        </w:rPr>
        <w:t xml:space="preserve">经测算，项目总投资 13032 万元，其中：建安工程费用 11188 万元，工程建设其他费用 1171 万元，预备费 618 万元，原建筑拆除费用 55 万元。投资估算明细如下表。</w:t>
      </w:r>
    </w:p>
    <w:p>
      <w:pPr/>
      <w:r>
        <w:rPr>
          <w:b/>
          <w:rFonts w:ascii="Times New Roman" w:eastAsia="宋体"/>
          <w:sz w:val="21"/>
        </w:rPr>
        <w:t xml:space="preserve">表13-1 项目投资估算表</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工程和费用名称</w:t>
            </w:r>
          </w:p>
        </w:tc>
        <w:tc>
          <w:tcPr>
            <w:tcW w:w="0" w:type="auto"/>
          </w:tcPr>
          <w:p>
            <w:pPr/>
            <w:r>
              <w:rPr>
                <w:b/>
                <w:rFonts w:ascii="Times New Roman" w:eastAsia="宋体"/>
                <w:sz w:val="21"/>
              </w:rPr>
              <w:t xml:space="preserve">估算金额（万元）／单位造价</w:t>
            </w:r>
          </w:p>
        </w:tc>
      </w:tr>
      <w:tr>
        <w:tc>
          <w:tcPr>
            <w:tcW w:w="0" w:type="auto"/>
          </w:tcPr>
          <w:p>
            <w:pPr/>
            <w:r>
              <w:rPr>
                <w:rFonts w:ascii="Times New Roman" w:eastAsia="宋体"/>
                <w:sz w:val="21"/>
              </w:rPr>
              <w:t xml:space="preserve">建筑安装工程费用</w:t>
            </w:r>
          </w:p>
        </w:tc>
        <w:tc>
          <w:tcPr>
            <w:tcW w:w="0" w:type="auto"/>
          </w:tcPr>
          <w:p>
            <w:pPr/>
            <w:r>
              <w:rPr>
                <w:rFonts w:ascii="Times New Roman" w:eastAsia="宋体"/>
                <w:sz w:val="21"/>
              </w:rPr>
              <w:t xml:space="preserve">11188</w:t>
            </w:r>
          </w:p>
        </w:tc>
      </w:tr>
      <w:tr>
        <w:tc>
          <w:tcPr>
            <w:tcW w:w="0" w:type="auto"/>
          </w:tcPr>
          <w:p>
            <w:pPr/>
            <w:r>
              <w:rPr>
                <w:rFonts w:ascii="Times New Roman" w:eastAsia="宋体"/>
                <w:sz w:val="21"/>
              </w:rPr>
              <w:t xml:space="preserve">单体工程</w:t>
            </w:r>
          </w:p>
        </w:tc>
        <w:tc>
          <w:tcPr>
            <w:tcW w:w="0" w:type="auto"/>
          </w:tcPr>
          <w:p>
            <w:pPr/>
            <w:r>
              <w:rPr>
                <w:rFonts w:ascii="Times New Roman" w:eastAsia="宋体"/>
                <w:sz w:val="21"/>
              </w:rPr>
              <w:t xml:space="preserve">10828</w:t>
            </w:r>
          </w:p>
        </w:tc>
      </w:tr>
      <w:tr>
        <w:tc>
          <w:tcPr>
            <w:tcW w:w="0" w:type="auto"/>
          </w:tcPr>
          <w:p>
            <w:pPr/>
            <w:r>
              <w:rPr>
                <w:rFonts w:ascii="Times New Roman" w:eastAsia="宋体"/>
                <w:sz w:val="21"/>
              </w:rPr>
              <w:t xml:space="preserve">土建工程</w:t>
            </w:r>
          </w:p>
        </w:tc>
        <w:tc>
          <w:tcPr>
            <w:tcW w:w="0" w:type="auto"/>
          </w:tcPr>
          <w:p>
            <w:pPr/>
            <w:r>
              <w:rPr>
                <w:rFonts w:ascii="Times New Roman" w:eastAsia="宋体"/>
                <w:sz w:val="21"/>
              </w:rPr>
              <w:t xml:space="preserve">7793</w:t>
            </w:r>
          </w:p>
        </w:tc>
      </w:tr>
      <w:tr>
        <w:tc>
          <w:tcPr>
            <w:tcW w:w="0" w:type="auto"/>
          </w:tcPr>
          <w:p>
            <w:pPr/>
            <w:r>
              <w:rPr>
                <w:rFonts w:ascii="Times New Roman" w:eastAsia="宋体"/>
                <w:sz w:val="21"/>
              </w:rPr>
              <w:t xml:space="preserve">桩基工程</w:t>
            </w:r>
          </w:p>
        </w:tc>
        <w:tc>
          <w:tcPr>
            <w:tcW w:w="0" w:type="auto"/>
          </w:tcPr>
          <w:p>
            <w:pPr/>
            <w:r>
              <w:rPr>
                <w:rFonts w:ascii="Times New Roman" w:eastAsia="宋体"/>
                <w:sz w:val="21"/>
              </w:rPr>
              <w:t xml:space="preserve">458</w:t>
            </w:r>
          </w:p>
        </w:tc>
      </w:tr>
      <w:tr>
        <w:tc>
          <w:tcPr>
            <w:tcW w:w="0" w:type="auto"/>
          </w:tcPr>
          <w:p>
            <w:pPr/>
            <w:r>
              <w:rPr>
                <w:rFonts w:ascii="Times New Roman" w:eastAsia="宋体"/>
                <w:sz w:val="21"/>
              </w:rPr>
              <w:t xml:space="preserve">基坑围护工程</w:t>
            </w:r>
          </w:p>
        </w:tc>
        <w:tc>
          <w:tcPr>
            <w:tcW w:w="0" w:type="auto"/>
          </w:tcPr>
          <w:p>
            <w:pPr/>
            <w:r>
              <w:rPr>
                <w:rFonts w:ascii="Times New Roman" w:eastAsia="宋体"/>
                <w:sz w:val="21"/>
              </w:rPr>
              <w:t xml:space="preserve">250</w:t>
            </w:r>
          </w:p>
        </w:tc>
      </w:tr>
      <w:tr>
        <w:tc>
          <w:tcPr>
            <w:tcW w:w="0" w:type="auto"/>
          </w:tcPr>
          <w:p>
            <w:pPr/>
            <w:r>
              <w:rPr>
                <w:rFonts w:ascii="Times New Roman" w:eastAsia="宋体"/>
                <w:sz w:val="21"/>
              </w:rPr>
              <w:t xml:space="preserve">地下建筑结构工程</w:t>
            </w:r>
          </w:p>
        </w:tc>
        <w:tc>
          <w:tcPr>
            <w:tcW w:w="0" w:type="auto"/>
          </w:tcPr>
          <w:p>
            <w:pPr/>
            <w:r>
              <w:rPr>
                <w:rFonts w:ascii="Times New Roman" w:eastAsia="宋体"/>
                <w:sz w:val="21"/>
              </w:rPr>
              <w:t xml:space="preserve">175</w:t>
            </w:r>
          </w:p>
        </w:tc>
      </w:tr>
      <w:tr>
        <w:tc>
          <w:tcPr>
            <w:tcW w:w="0" w:type="auto"/>
          </w:tcPr>
          <w:p>
            <w:pPr/>
            <w:r>
              <w:rPr>
                <w:rFonts w:ascii="Times New Roman" w:eastAsia="宋体"/>
                <w:sz w:val="21"/>
              </w:rPr>
              <w:t xml:space="preserve">地上建筑结构工程</w:t>
            </w:r>
          </w:p>
        </w:tc>
        <w:tc>
          <w:tcPr>
            <w:tcW w:w="0" w:type="auto"/>
          </w:tcPr>
          <w:p>
            <w:pPr/>
            <w:r>
              <w:rPr>
                <w:rFonts w:ascii="Times New Roman" w:eastAsia="宋体"/>
                <w:sz w:val="21"/>
              </w:rPr>
              <w:t xml:space="preserve">3240</w:t>
            </w:r>
          </w:p>
        </w:tc>
      </w:tr>
      <w:tr>
        <w:tc>
          <w:tcPr>
            <w:tcW w:w="0" w:type="auto"/>
          </w:tcPr>
          <w:p>
            <w:pPr/>
            <w:r>
              <w:rPr>
                <w:rFonts w:ascii="Times New Roman" w:eastAsia="宋体"/>
                <w:sz w:val="21"/>
              </w:rPr>
              <w:t xml:space="preserve">装配式结构增加费</w:t>
            </w:r>
          </w:p>
        </w:tc>
        <w:tc>
          <w:tcPr>
            <w:tcW w:w="0" w:type="auto"/>
          </w:tcPr>
          <w:p>
            <w:pPr/>
            <w:r>
              <w:rPr>
                <w:rFonts w:ascii="Times New Roman" w:eastAsia="宋体"/>
                <w:sz w:val="21"/>
              </w:rPr>
              <w:t xml:space="preserve">810</w:t>
            </w:r>
          </w:p>
        </w:tc>
      </w:tr>
      <w:tr>
        <w:tc>
          <w:tcPr>
            <w:tcW w:w="0" w:type="auto"/>
          </w:tcPr>
          <w:p>
            <w:pPr/>
            <w:r>
              <w:rPr>
                <w:rFonts w:ascii="Times New Roman" w:eastAsia="宋体"/>
                <w:sz w:val="21"/>
              </w:rPr>
              <w:t xml:space="preserve">室内装饰工程</w:t>
            </w:r>
          </w:p>
        </w:tc>
        <w:tc>
          <w:tcPr>
            <w:tcW w:w="0" w:type="auto"/>
          </w:tcPr>
          <w:p>
            <w:pPr/>
            <w:r>
              <w:rPr>
                <w:rFonts w:ascii="Times New Roman" w:eastAsia="宋体"/>
                <w:sz w:val="21"/>
              </w:rPr>
              <w:t xml:space="preserve">1832</w:t>
            </w:r>
          </w:p>
        </w:tc>
      </w:tr>
      <w:tr>
        <w:tc>
          <w:tcPr>
            <w:tcW w:w="0" w:type="auto"/>
          </w:tcPr>
          <w:p>
            <w:pPr/>
            <w:r>
              <w:rPr>
                <w:rFonts w:ascii="Times New Roman" w:eastAsia="宋体"/>
                <w:sz w:val="21"/>
              </w:rPr>
              <w:t xml:space="preserve">外立面及屋面装饰工程</w:t>
            </w:r>
          </w:p>
        </w:tc>
        <w:tc>
          <w:tcPr>
            <w:tcW w:w="0" w:type="auto"/>
          </w:tcPr>
          <w:p>
            <w:pPr/>
            <w:r>
              <w:rPr>
                <w:rFonts w:ascii="Times New Roman" w:eastAsia="宋体"/>
                <w:sz w:val="21"/>
              </w:rPr>
              <w:t xml:space="preserve">1028</w:t>
            </w:r>
          </w:p>
        </w:tc>
      </w:tr>
      <w:tr>
        <w:tc>
          <w:tcPr>
            <w:tcW w:w="0" w:type="auto"/>
          </w:tcPr>
          <w:p>
            <w:pPr/>
            <w:r>
              <w:rPr>
                <w:rFonts w:ascii="Times New Roman" w:eastAsia="宋体"/>
                <w:sz w:val="21"/>
              </w:rPr>
              <w:t xml:space="preserve">安装工程</w:t>
            </w:r>
          </w:p>
        </w:tc>
        <w:tc>
          <w:tcPr>
            <w:tcW w:w="0" w:type="auto"/>
          </w:tcPr>
          <w:p>
            <w:pPr/>
            <w:r>
              <w:rPr>
                <w:rFonts w:ascii="Times New Roman" w:eastAsia="宋体"/>
                <w:sz w:val="21"/>
              </w:rPr>
              <w:t xml:space="preserve">3034</w:t>
            </w:r>
          </w:p>
        </w:tc>
      </w:tr>
      <w:tr>
        <w:tc>
          <w:tcPr>
            <w:tcW w:w="0" w:type="auto"/>
          </w:tcPr>
          <w:p>
            <w:pPr/>
            <w:r>
              <w:rPr>
                <w:rFonts w:ascii="Times New Roman" w:eastAsia="宋体"/>
                <w:sz w:val="21"/>
              </w:rPr>
              <w:t xml:space="preserve">给排水工程</w:t>
            </w:r>
          </w:p>
        </w:tc>
        <w:tc>
          <w:tcPr>
            <w:tcW w:w="0" w:type="auto"/>
          </w:tcPr>
          <w:p>
            <w:pPr/>
            <w:r>
              <w:rPr>
                <w:rFonts w:ascii="Times New Roman" w:eastAsia="宋体"/>
                <w:sz w:val="21"/>
              </w:rPr>
              <w:t xml:space="preserve">220</w:t>
            </w:r>
          </w:p>
        </w:tc>
      </w:tr>
      <w:tr>
        <w:tc>
          <w:tcPr>
            <w:tcW w:w="0" w:type="auto"/>
          </w:tcPr>
          <w:p>
            <w:pPr/>
            <w:r>
              <w:rPr>
                <w:rFonts w:ascii="Times New Roman" w:eastAsia="宋体"/>
                <w:sz w:val="21"/>
              </w:rPr>
              <w:t xml:space="preserve">消防工程</w:t>
            </w:r>
          </w:p>
        </w:tc>
        <w:tc>
          <w:tcPr>
            <w:tcW w:w="0" w:type="auto"/>
          </w:tcPr>
          <w:p>
            <w:pPr/>
            <w:r>
              <w:rPr>
                <w:rFonts w:ascii="Times New Roman" w:eastAsia="宋体"/>
                <w:sz w:val="21"/>
              </w:rPr>
              <w:t xml:space="preserve">293</w:t>
            </w:r>
          </w:p>
        </w:tc>
      </w:tr>
      <w:tr>
        <w:tc>
          <w:tcPr>
            <w:tcW w:w="0" w:type="auto"/>
          </w:tcPr>
          <w:p>
            <w:pPr/>
            <w:r>
              <w:rPr>
                <w:rFonts w:ascii="Times New Roman" w:eastAsia="宋体"/>
                <w:sz w:val="21"/>
              </w:rPr>
              <w:t xml:space="preserve">通风、空调工程</w:t>
            </w:r>
          </w:p>
        </w:tc>
        <w:tc>
          <w:tcPr>
            <w:tcW w:w="0" w:type="auto"/>
          </w:tcPr>
          <w:p>
            <w:pPr/>
            <w:r>
              <w:rPr>
                <w:rFonts w:ascii="Times New Roman" w:eastAsia="宋体"/>
                <w:sz w:val="21"/>
              </w:rPr>
              <w:t xml:space="preserve">1008</w:t>
            </w:r>
          </w:p>
        </w:tc>
      </w:tr>
      <w:tr>
        <w:tc>
          <w:tcPr>
            <w:tcW w:w="0" w:type="auto"/>
          </w:tcPr>
          <w:p>
            <w:pPr/>
            <w:r>
              <w:rPr>
                <w:rFonts w:ascii="Times New Roman" w:eastAsia="宋体"/>
                <w:sz w:val="21"/>
              </w:rPr>
              <w:t xml:space="preserve">强电工程</w:t>
            </w:r>
          </w:p>
        </w:tc>
        <w:tc>
          <w:tcPr>
            <w:tcW w:w="0" w:type="auto"/>
          </w:tcPr>
          <w:p>
            <w:pPr/>
            <w:r>
              <w:rPr>
                <w:rFonts w:ascii="Times New Roman" w:eastAsia="宋体"/>
                <w:sz w:val="21"/>
              </w:rPr>
              <w:t xml:space="preserve">733</w:t>
            </w:r>
          </w:p>
        </w:tc>
      </w:tr>
      <w:tr>
        <w:tc>
          <w:tcPr>
            <w:tcW w:w="0" w:type="auto"/>
          </w:tcPr>
          <w:p>
            <w:pPr/>
            <w:r>
              <w:rPr>
                <w:rFonts w:ascii="Times New Roman" w:eastAsia="宋体"/>
                <w:sz w:val="21"/>
              </w:rPr>
              <w:t xml:space="preserve">弱电工程</w:t>
            </w:r>
          </w:p>
        </w:tc>
        <w:tc>
          <w:tcPr>
            <w:tcW w:w="0" w:type="auto"/>
          </w:tcPr>
          <w:p>
            <w:pPr/>
            <w:r>
              <w:rPr>
                <w:rFonts w:ascii="Times New Roman" w:eastAsia="宋体"/>
                <w:sz w:val="21"/>
              </w:rPr>
              <w:t xml:space="preserve">641</w:t>
            </w:r>
          </w:p>
        </w:tc>
      </w:tr>
      <w:tr>
        <w:tc>
          <w:tcPr>
            <w:tcW w:w="0" w:type="auto"/>
          </w:tcPr>
          <w:p>
            <w:pPr/>
            <w:r>
              <w:rPr>
                <w:rFonts w:ascii="Times New Roman" w:eastAsia="宋体"/>
                <w:sz w:val="21"/>
              </w:rPr>
              <w:t xml:space="preserve">电梯工程</w:t>
            </w:r>
          </w:p>
        </w:tc>
        <w:tc>
          <w:tcPr>
            <w:tcW w:w="0" w:type="auto"/>
          </w:tcPr>
          <w:p>
            <w:pPr/>
            <w:r>
              <w:rPr>
                <w:rFonts w:ascii="Times New Roman" w:eastAsia="宋体"/>
                <w:sz w:val="21"/>
              </w:rPr>
              <w:t xml:space="preserve">140</w:t>
            </w:r>
          </w:p>
        </w:tc>
      </w:tr>
      <w:tr>
        <w:tc>
          <w:tcPr>
            <w:tcW w:w="0" w:type="auto"/>
          </w:tcPr>
          <w:p>
            <w:pPr/>
            <w:r>
              <w:rPr>
                <w:rFonts w:ascii="Times New Roman" w:eastAsia="宋体"/>
                <w:sz w:val="21"/>
              </w:rPr>
              <w:t xml:space="preserve">室外总体工程</w:t>
            </w:r>
          </w:p>
        </w:tc>
        <w:tc>
          <w:tcPr>
            <w:tcW w:w="0" w:type="auto"/>
          </w:tcPr>
          <w:p>
            <w:pPr/>
            <w:r>
              <w:rPr>
                <w:rFonts w:ascii="Times New Roman" w:eastAsia="宋体"/>
                <w:sz w:val="21"/>
              </w:rPr>
              <w:t xml:space="preserve">49</w:t>
            </w:r>
          </w:p>
        </w:tc>
      </w:tr>
      <w:tr>
        <w:tc>
          <w:tcPr>
            <w:tcW w:w="0" w:type="auto"/>
          </w:tcPr>
          <w:p>
            <w:pPr/>
            <w:r>
              <w:rPr>
                <w:rFonts w:ascii="Times New Roman" w:eastAsia="宋体"/>
                <w:sz w:val="21"/>
              </w:rPr>
              <w:t xml:space="preserve">道路、广场、硬地、铺装</w:t>
            </w:r>
          </w:p>
        </w:tc>
        <w:tc>
          <w:tcPr>
            <w:tcW w:w="0" w:type="auto"/>
          </w:tcPr>
          <w:p>
            <w:pPr/>
            <w:r>
              <w:rPr>
                <w:rFonts w:ascii="Times New Roman" w:eastAsia="宋体"/>
                <w:sz w:val="21"/>
              </w:rPr>
              <w:t xml:space="preserve">19</w:t>
            </w:r>
          </w:p>
        </w:tc>
      </w:tr>
      <w:tr>
        <w:tc>
          <w:tcPr>
            <w:tcW w:w="0" w:type="auto"/>
          </w:tcPr>
          <w:p>
            <w:pPr/>
            <w:r>
              <w:rPr>
                <w:rFonts w:ascii="Times New Roman" w:eastAsia="宋体"/>
                <w:sz w:val="21"/>
              </w:rPr>
              <w:t xml:space="preserve">绿化、景观</w:t>
            </w:r>
          </w:p>
        </w:tc>
        <w:tc>
          <w:tcPr>
            <w:tcW w:w="0" w:type="auto"/>
          </w:tcPr>
          <w:p>
            <w:pPr/>
            <w:r>
              <w:rPr>
                <w:rFonts w:ascii="Times New Roman" w:eastAsia="宋体"/>
                <w:sz w:val="21"/>
              </w:rPr>
              <w:t xml:space="preserve">3</w:t>
            </w:r>
          </w:p>
        </w:tc>
      </w:tr>
      <w:tr>
        <w:tc>
          <w:tcPr>
            <w:tcW w:w="0" w:type="auto"/>
          </w:tcPr>
          <w:p>
            <w:pPr/>
            <w:r>
              <w:rPr>
                <w:rFonts w:ascii="Times New Roman" w:eastAsia="宋体"/>
                <w:sz w:val="21"/>
              </w:rPr>
              <w:t xml:space="preserve">室外安装工程</w:t>
            </w:r>
          </w:p>
        </w:tc>
        <w:tc>
          <w:tcPr>
            <w:tcW w:w="0" w:type="auto"/>
          </w:tcPr>
          <w:p>
            <w:pPr/>
            <w:r>
              <w:rPr>
                <w:rFonts w:ascii="Times New Roman" w:eastAsia="宋体"/>
                <w:sz w:val="21"/>
              </w:rPr>
              <w:t xml:space="preserve">12</w:t>
            </w:r>
          </w:p>
        </w:tc>
      </w:tr>
      <w:tr>
        <w:tc>
          <w:tcPr>
            <w:tcW w:w="0" w:type="auto"/>
          </w:tcPr>
          <w:p>
            <w:pPr/>
            <w:r>
              <w:rPr>
                <w:rFonts w:ascii="Times New Roman" w:eastAsia="宋体"/>
                <w:sz w:val="21"/>
              </w:rPr>
              <w:t xml:space="preserve">标识工程</w:t>
            </w:r>
          </w:p>
        </w:tc>
        <w:tc>
          <w:tcPr>
            <w:tcW w:w="0" w:type="auto"/>
          </w:tcPr>
          <w:p>
            <w:pPr/>
            <w:r>
              <w:rPr>
                <w:rFonts w:ascii="Times New Roman" w:eastAsia="宋体"/>
                <w:sz w:val="21"/>
              </w:rPr>
              <w:t xml:space="preserve">18</w:t>
            </w:r>
          </w:p>
        </w:tc>
      </w:tr>
      <w:tr>
        <w:tc>
          <w:tcPr>
            <w:tcW w:w="0" w:type="auto"/>
          </w:tcPr>
          <w:p>
            <w:pPr/>
            <w:r>
              <w:rPr>
                <w:rFonts w:ascii="Times New Roman" w:eastAsia="宋体"/>
                <w:sz w:val="21"/>
              </w:rPr>
              <w:t xml:space="preserve">抗震支架</w:t>
            </w:r>
          </w:p>
        </w:tc>
        <w:tc>
          <w:tcPr>
            <w:tcW w:w="0" w:type="auto"/>
          </w:tcPr>
          <w:p>
            <w:pPr/>
            <w:r>
              <w:rPr>
                <w:rFonts w:ascii="Times New Roman" w:eastAsia="宋体"/>
                <w:sz w:val="21"/>
              </w:rPr>
              <w:t xml:space="preserve">92</w:t>
            </w:r>
          </w:p>
        </w:tc>
      </w:tr>
      <w:tr>
        <w:tc>
          <w:tcPr>
            <w:tcW w:w="0" w:type="auto"/>
          </w:tcPr>
          <w:p>
            <w:pPr/>
            <w:r>
              <w:rPr>
                <w:rFonts w:ascii="Times New Roman" w:eastAsia="宋体"/>
                <w:sz w:val="21"/>
              </w:rPr>
              <w:t xml:space="preserve">绿色二星增量费用</w:t>
            </w:r>
          </w:p>
        </w:tc>
        <w:tc>
          <w:tcPr>
            <w:tcW w:w="0" w:type="auto"/>
          </w:tcPr>
          <w:p>
            <w:pPr/>
            <w:r>
              <w:rPr>
                <w:rFonts w:ascii="Times New Roman" w:eastAsia="宋体"/>
                <w:sz w:val="21"/>
              </w:rPr>
              <w:t xml:space="preserve">220</w:t>
            </w:r>
          </w:p>
        </w:tc>
      </w:tr>
      <w:tr>
        <w:tc>
          <w:tcPr>
            <w:tcW w:w="0" w:type="auto"/>
          </w:tcPr>
          <w:p>
            <w:pPr/>
            <w:r>
              <w:rPr>
                <w:rFonts w:ascii="Times New Roman" w:eastAsia="宋体"/>
                <w:sz w:val="21"/>
              </w:rPr>
              <w:t xml:space="preserve">工程建设其他费</w:t>
            </w:r>
          </w:p>
        </w:tc>
        <w:tc>
          <w:tcPr>
            <w:tcW w:w="0" w:type="auto"/>
          </w:tcPr>
          <w:p>
            <w:pPr/>
            <w:r>
              <w:rPr>
                <w:rFonts w:ascii="Times New Roman" w:eastAsia="宋体"/>
                <w:sz w:val="21"/>
              </w:rPr>
              <w:t xml:space="preserve">1171</w:t>
            </w:r>
          </w:p>
        </w:tc>
      </w:tr>
      <w:tr>
        <w:tc>
          <w:tcPr>
            <w:tcW w:w="0" w:type="auto"/>
          </w:tcPr>
          <w:p>
            <w:pPr/>
            <w:r>
              <w:rPr>
                <w:rFonts w:ascii="Times New Roman" w:eastAsia="宋体"/>
                <w:sz w:val="21"/>
              </w:rPr>
              <w:t xml:space="preserve">基本预备费</w:t>
            </w:r>
          </w:p>
        </w:tc>
        <w:tc>
          <w:tcPr>
            <w:tcW w:w="0" w:type="auto"/>
          </w:tcPr>
          <w:p>
            <w:pPr/>
            <w:r>
              <w:rPr>
                <w:rFonts w:ascii="Times New Roman" w:eastAsia="宋体"/>
                <w:sz w:val="21"/>
              </w:rPr>
              <w:t xml:space="preserve">618</w:t>
            </w:r>
          </w:p>
        </w:tc>
      </w:tr>
      <w:tr>
        <w:tc>
          <w:tcPr>
            <w:tcW w:w="0" w:type="auto"/>
          </w:tcPr>
          <w:p>
            <w:pPr/>
            <w:r>
              <w:rPr>
                <w:rFonts w:ascii="Times New Roman" w:eastAsia="宋体"/>
                <w:sz w:val="21"/>
              </w:rPr>
              <w:t xml:space="preserve">拆除费</w:t>
            </w:r>
          </w:p>
        </w:tc>
        <w:tc>
          <w:tcPr>
            <w:tcW w:w="0" w:type="auto"/>
          </w:tcPr>
          <w:p>
            <w:pPr/>
            <w:r>
              <w:rPr>
                <w:rFonts w:ascii="Times New Roman" w:eastAsia="宋体"/>
                <w:sz w:val="21"/>
              </w:rPr>
              <w:t xml:space="preserve">55</w:t>
            </w:r>
          </w:p>
        </w:tc>
      </w:tr>
      <w:tr>
        <w:tc>
          <w:tcPr>
            <w:tcW w:w="0" w:type="auto"/>
          </w:tcPr>
          <w:p>
            <w:pPr/>
            <w:r>
              <w:rPr>
                <w:rFonts w:ascii="Times New Roman" w:eastAsia="宋体"/>
                <w:sz w:val="21"/>
              </w:rPr>
              <w:t xml:space="preserve">总计</w:t>
            </w:r>
          </w:p>
        </w:tc>
        <w:tc>
          <w:tcPr>
            <w:tcW w:w="0" w:type="auto"/>
          </w:tcPr>
          <w:p>
            <w:pPr/>
            <w:r>
              <w:rPr>
                <w:rFonts w:ascii="Times New Roman" w:eastAsia="宋体"/>
                <w:sz w:val="21"/>
              </w:rPr>
              <w:t xml:space="preserve">13032</w:t>
            </w:r>
          </w:p>
        </w:tc>
      </w:tr>
      <w:tr>
        <w:tc>
          <w:tcPr>
            <w:tcW w:w="0" w:type="auto"/>
          </w:tcPr>
          <w:p>
            <w:pPr/>
            <w:r>
              <w:rPr>
                <w:rFonts w:ascii="Times New Roman" w:eastAsia="宋体"/>
                <w:sz w:val="21"/>
              </w:rPr>
              <w:t xml:space="preserve">单位造价（总投资口径）</w:t>
            </w:r>
          </w:p>
        </w:tc>
        <w:tc>
          <w:tcPr>
            <w:tcW w:w="0" w:type="auto"/>
          </w:tcPr>
          <w:p>
            <w:pPr/>
            <w:r>
              <w:rPr>
                <w:rFonts w:ascii="Times New Roman" w:eastAsia="宋体"/>
                <w:sz w:val="21"/>
              </w:rPr>
              <w:t xml:space="preserve">7114 元/㎡</w:t>
            </w:r>
          </w:p>
        </w:tc>
      </w:tr>
      <w:tr>
        <w:tc>
          <w:tcPr>
            <w:tcW w:w="0" w:type="auto"/>
          </w:tcPr>
          <w:p>
            <w:pPr/>
            <w:r>
              <w:rPr>
                <w:rFonts w:ascii="Times New Roman" w:eastAsia="宋体"/>
                <w:sz w:val="21"/>
              </w:rPr>
              <w:t xml:space="preserve">单位造价（建安口径）</w:t>
            </w:r>
          </w:p>
        </w:tc>
        <w:tc>
          <w:tcPr>
            <w:tcW w:w="0" w:type="auto"/>
          </w:tcPr>
          <w:p>
            <w:pPr/>
            <w:r>
              <w:rPr>
                <w:rFonts w:ascii="Times New Roman" w:eastAsia="宋体"/>
                <w:sz w:val="21"/>
              </w:rPr>
              <w:t xml:space="preserve">6107 元/㎡</w:t>
            </w:r>
          </w:p>
        </w:tc>
      </w:tr>
    </w:tbl>
    <w:p>
      <w:pPr/>
      <w:r>
        <w:rPr>
          <w:rFonts w:ascii="Times New Roman" w:eastAsia="宋体"/>
          <w:sz w:val="21"/>
        </w:rPr>
        <w:t xml:space="preserve">工程建设其他费的明细科目与金额如下表。</w:t>
      </w:r>
    </w:p>
    <w:p>
      <w:pPr/>
      <w:r>
        <w:rPr>
          <w:b/>
          <w:rFonts w:ascii="Times New Roman" w:eastAsia="宋体"/>
          <w:sz w:val="21"/>
        </w:rPr>
        <w:t xml:space="preserve">表13-1 附表 工程建设其他费明细</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工程建设其他费 明细科目</w:t>
            </w:r>
          </w:p>
        </w:tc>
        <w:tc>
          <w:tcPr>
            <w:tcW w:w="0" w:type="auto"/>
          </w:tcPr>
          <w:p>
            <w:pPr/>
            <w:r>
              <w:rPr>
                <w:b/>
                <w:rFonts w:ascii="Times New Roman" w:eastAsia="宋体"/>
                <w:sz w:val="21"/>
              </w:rPr>
              <w:t xml:space="preserve">估算金额（万元）</w:t>
            </w:r>
          </w:p>
        </w:tc>
      </w:tr>
      <w:tr>
        <w:tc>
          <w:tcPr>
            <w:tcW w:w="0" w:type="auto"/>
          </w:tcPr>
          <w:p>
            <w:pPr/>
            <w:r>
              <w:rPr>
                <w:rFonts w:ascii="Times New Roman" w:eastAsia="宋体"/>
                <w:sz w:val="21"/>
              </w:rPr>
              <w:t xml:space="preserve">立面门窗、玻璃幕墙</w:t>
            </w:r>
          </w:p>
        </w:tc>
        <w:tc>
          <w:tcPr>
            <w:tcW w:w="0" w:type="auto"/>
          </w:tcPr>
          <w:p>
            <w:pPr/>
            <w:r>
              <w:rPr>
                <w:rFonts w:ascii="Times New Roman" w:eastAsia="宋体"/>
                <w:sz w:val="21"/>
              </w:rPr>
              <w:t xml:space="preserve">463</w:t>
            </w:r>
          </w:p>
        </w:tc>
      </w:tr>
      <w:tr>
        <w:tc>
          <w:tcPr>
            <w:tcW w:w="0" w:type="auto"/>
          </w:tcPr>
          <w:p>
            <w:pPr/>
            <w:r>
              <w:rPr>
                <w:rFonts w:ascii="Times New Roman" w:eastAsia="宋体"/>
                <w:sz w:val="21"/>
              </w:rPr>
              <w:t xml:space="preserve">立面装饰幕墙</w:t>
            </w:r>
          </w:p>
        </w:tc>
        <w:tc>
          <w:tcPr>
            <w:tcW w:w="0" w:type="auto"/>
          </w:tcPr>
          <w:p>
            <w:pPr/>
            <w:r>
              <w:rPr>
                <w:rFonts w:ascii="Times New Roman" w:eastAsia="宋体"/>
                <w:sz w:val="21"/>
              </w:rPr>
              <w:t xml:space="preserve">475</w:t>
            </w:r>
          </w:p>
        </w:tc>
      </w:tr>
      <w:tr>
        <w:tc>
          <w:tcPr>
            <w:tcW w:w="0" w:type="auto"/>
          </w:tcPr>
          <w:p>
            <w:pPr/>
            <w:r>
              <w:rPr>
                <w:rFonts w:ascii="Times New Roman" w:eastAsia="宋体"/>
                <w:sz w:val="21"/>
              </w:rPr>
              <w:t xml:space="preserve">上人屋面</w:t>
            </w:r>
          </w:p>
        </w:tc>
        <w:tc>
          <w:tcPr>
            <w:tcW w:w="0" w:type="auto"/>
          </w:tcPr>
          <w:p>
            <w:pPr/>
            <w:r>
              <w:rPr>
                <w:rFonts w:ascii="Times New Roman" w:eastAsia="宋体"/>
                <w:sz w:val="21"/>
              </w:rPr>
              <w:t xml:space="preserve">42</w:t>
            </w:r>
          </w:p>
        </w:tc>
      </w:tr>
      <w:tr>
        <w:tc>
          <w:tcPr>
            <w:tcW w:w="0" w:type="auto"/>
          </w:tcPr>
          <w:p>
            <w:pPr/>
            <w:r>
              <w:rPr>
                <w:rFonts w:ascii="Times New Roman" w:eastAsia="宋体"/>
                <w:sz w:val="21"/>
              </w:rPr>
              <w:t xml:space="preserve">设备屋面（涂料）</w:t>
            </w:r>
          </w:p>
        </w:tc>
        <w:tc>
          <w:tcPr>
            <w:tcW w:w="0" w:type="auto"/>
          </w:tcPr>
          <w:p>
            <w:pPr/>
            <w:r>
              <w:rPr>
                <w:rFonts w:ascii="Times New Roman" w:eastAsia="宋体"/>
                <w:sz w:val="21"/>
              </w:rPr>
              <w:t xml:space="preserve">6</w:t>
            </w:r>
          </w:p>
        </w:tc>
      </w:tr>
      <w:tr>
        <w:tc>
          <w:tcPr>
            <w:tcW w:w="0" w:type="auto"/>
          </w:tcPr>
          <w:p>
            <w:pPr/>
            <w:r>
              <w:rPr>
                <w:rFonts w:ascii="Times New Roman" w:eastAsia="宋体"/>
                <w:sz w:val="21"/>
              </w:rPr>
              <w:t xml:space="preserve">架空板底</w:t>
            </w:r>
          </w:p>
        </w:tc>
        <w:tc>
          <w:tcPr>
            <w:tcW w:w="0" w:type="auto"/>
          </w:tcPr>
          <w:p>
            <w:pPr/>
            <w:r>
              <w:rPr>
                <w:rFonts w:ascii="Times New Roman" w:eastAsia="宋体"/>
                <w:sz w:val="21"/>
              </w:rPr>
              <w:t xml:space="preserve">33</w:t>
            </w:r>
          </w:p>
        </w:tc>
      </w:tr>
      <w:tr>
        <w:tc>
          <w:tcPr>
            <w:tcW w:w="0" w:type="auto"/>
          </w:tcPr>
          <w:p>
            <w:pPr/>
            <w:r>
              <w:rPr>
                <w:rFonts w:ascii="Times New Roman" w:eastAsia="宋体"/>
                <w:sz w:val="21"/>
              </w:rPr>
              <w:t xml:space="preserve">新老建筑立面接口处理费</w:t>
            </w:r>
          </w:p>
        </w:tc>
        <w:tc>
          <w:tcPr>
            <w:tcW w:w="0" w:type="auto"/>
          </w:tcPr>
          <w:p>
            <w:pPr/>
            <w:r>
              <w:rPr>
                <w:rFonts w:ascii="Times New Roman" w:eastAsia="宋体"/>
                <w:sz w:val="21"/>
              </w:rPr>
              <w:t xml:space="preserve">10</w:t>
            </w:r>
          </w:p>
        </w:tc>
      </w:tr>
      <w:tr>
        <w:tc>
          <w:tcPr>
            <w:tcW w:w="0" w:type="auto"/>
          </w:tcPr>
          <w:p>
            <w:pPr/>
            <w:r>
              <w:rPr>
                <w:rFonts w:ascii="Times New Roman" w:eastAsia="宋体"/>
                <w:sz w:val="21"/>
              </w:rPr>
              <w:t xml:space="preserve">建设单位管理费</w:t>
            </w:r>
          </w:p>
        </w:tc>
        <w:tc>
          <w:tcPr>
            <w:tcW w:w="0" w:type="auto"/>
          </w:tcPr>
          <w:p>
            <w:pPr/>
            <w:r>
              <w:rPr>
                <w:rFonts w:ascii="Times New Roman" w:eastAsia="宋体"/>
                <w:sz w:val="21"/>
              </w:rPr>
              <w:t xml:space="preserve">170</w:t>
            </w:r>
          </w:p>
        </w:tc>
      </w:tr>
      <w:tr>
        <w:tc>
          <w:tcPr>
            <w:tcW w:w="0" w:type="auto"/>
          </w:tcPr>
          <w:p>
            <w:pPr/>
            <w:r>
              <w:rPr>
                <w:rFonts w:ascii="Times New Roman" w:eastAsia="宋体"/>
                <w:sz w:val="21"/>
              </w:rPr>
              <w:t xml:space="preserve">前期工程咨询费</w:t>
            </w:r>
          </w:p>
        </w:tc>
        <w:tc>
          <w:tcPr>
            <w:tcW w:w="0" w:type="auto"/>
          </w:tcPr>
          <w:p>
            <w:pPr/>
            <w:r>
              <w:rPr>
                <w:rFonts w:ascii="Times New Roman" w:eastAsia="宋体"/>
                <w:sz w:val="21"/>
              </w:rPr>
              <w:t xml:space="preserve">38</w:t>
            </w:r>
          </w:p>
        </w:tc>
      </w:tr>
      <w:tr>
        <w:tc>
          <w:tcPr>
            <w:tcW w:w="0" w:type="auto"/>
          </w:tcPr>
          <w:p>
            <w:pPr/>
            <w:r>
              <w:rPr>
                <w:rFonts w:ascii="Times New Roman" w:eastAsia="宋体"/>
                <w:sz w:val="21"/>
              </w:rPr>
              <w:t xml:space="preserve">勘察费</w:t>
            </w:r>
          </w:p>
        </w:tc>
        <w:tc>
          <w:tcPr>
            <w:tcW w:w="0" w:type="auto"/>
          </w:tcPr>
          <w:p>
            <w:pPr/>
            <w:r>
              <w:rPr>
                <w:rFonts w:ascii="Times New Roman" w:eastAsia="宋体"/>
                <w:sz w:val="21"/>
              </w:rPr>
              <w:t xml:space="preserve">39</w:t>
            </w:r>
          </w:p>
        </w:tc>
      </w:tr>
      <w:tr>
        <w:tc>
          <w:tcPr>
            <w:tcW w:w="0" w:type="auto"/>
          </w:tcPr>
          <w:p>
            <w:pPr/>
            <w:r>
              <w:rPr>
                <w:rFonts w:ascii="Times New Roman" w:eastAsia="宋体"/>
                <w:sz w:val="21"/>
              </w:rPr>
              <w:t xml:space="preserve">设计费</w:t>
            </w:r>
          </w:p>
        </w:tc>
        <w:tc>
          <w:tcPr>
            <w:tcW w:w="0" w:type="auto"/>
          </w:tcPr>
          <w:p>
            <w:pPr/>
            <w:r>
              <w:rPr>
                <w:rFonts w:ascii="Times New Roman" w:eastAsia="宋体"/>
                <w:sz w:val="21"/>
              </w:rPr>
              <w:t xml:space="preserve">336</w:t>
            </w:r>
          </w:p>
        </w:tc>
      </w:tr>
      <w:tr>
        <w:tc>
          <w:tcPr>
            <w:tcW w:w="0" w:type="auto"/>
          </w:tcPr>
          <w:p>
            <w:pPr/>
            <w:r>
              <w:rPr>
                <w:rFonts w:ascii="Times New Roman" w:eastAsia="宋体"/>
                <w:sz w:val="21"/>
              </w:rPr>
              <w:t xml:space="preserve">招标代理费</w:t>
            </w:r>
          </w:p>
        </w:tc>
        <w:tc>
          <w:tcPr>
            <w:tcW w:w="0" w:type="auto"/>
          </w:tcPr>
          <w:p>
            <w:pPr/>
            <w:r>
              <w:rPr>
                <w:rFonts w:ascii="Times New Roman" w:eastAsia="宋体"/>
                <w:sz w:val="21"/>
              </w:rPr>
              <w:t xml:space="preserve">49</w:t>
            </w:r>
          </w:p>
        </w:tc>
      </w:tr>
      <w:tr>
        <w:tc>
          <w:tcPr>
            <w:tcW w:w="0" w:type="auto"/>
          </w:tcPr>
          <w:p>
            <w:pPr/>
            <w:r>
              <w:rPr>
                <w:rFonts w:ascii="Times New Roman" w:eastAsia="宋体"/>
                <w:sz w:val="21"/>
              </w:rPr>
              <w:t xml:space="preserve">清单及标底编制费</w:t>
            </w:r>
          </w:p>
        </w:tc>
        <w:tc>
          <w:tcPr>
            <w:tcW w:w="0" w:type="auto"/>
          </w:tcPr>
          <w:p>
            <w:pPr/>
            <w:r>
              <w:rPr>
                <w:rFonts w:ascii="Times New Roman" w:eastAsia="宋体"/>
                <w:sz w:val="21"/>
              </w:rPr>
              <w:t xml:space="preserve">36</w:t>
            </w:r>
          </w:p>
        </w:tc>
      </w:tr>
      <w:tr>
        <w:tc>
          <w:tcPr>
            <w:tcW w:w="0" w:type="auto"/>
          </w:tcPr>
          <w:p>
            <w:pPr/>
            <w:r>
              <w:rPr>
                <w:rFonts w:ascii="Times New Roman" w:eastAsia="宋体"/>
                <w:sz w:val="21"/>
              </w:rPr>
              <w:t xml:space="preserve">施工监理费（含财务监理费）</w:t>
            </w:r>
          </w:p>
        </w:tc>
        <w:tc>
          <w:tcPr>
            <w:tcW w:w="0" w:type="auto"/>
          </w:tcPr>
          <w:p>
            <w:pPr/>
            <w:r>
              <w:rPr>
                <w:rFonts w:ascii="Times New Roman" w:eastAsia="宋体"/>
                <w:sz w:val="21"/>
              </w:rPr>
              <w:t xml:space="preserve">239</w:t>
            </w:r>
          </w:p>
        </w:tc>
      </w:tr>
      <w:tr>
        <w:tc>
          <w:tcPr>
            <w:tcW w:w="0" w:type="auto"/>
          </w:tcPr>
          <w:p>
            <w:pPr/>
            <w:r>
              <w:rPr>
                <w:rFonts w:ascii="Times New Roman" w:eastAsia="宋体"/>
                <w:sz w:val="21"/>
              </w:rPr>
              <w:t xml:space="preserve">施工图审图费</w:t>
            </w:r>
          </w:p>
        </w:tc>
        <w:tc>
          <w:tcPr>
            <w:tcW w:w="0" w:type="auto"/>
          </w:tcPr>
          <w:p>
            <w:pPr/>
            <w:r>
              <w:rPr>
                <w:rFonts w:ascii="Times New Roman" w:eastAsia="宋体"/>
                <w:sz w:val="21"/>
              </w:rPr>
              <w:t xml:space="preserve">22</w:t>
            </w:r>
          </w:p>
        </w:tc>
      </w:tr>
      <w:tr>
        <w:tc>
          <w:tcPr>
            <w:tcW w:w="0" w:type="auto"/>
          </w:tcPr>
          <w:p>
            <w:pPr/>
            <w:r>
              <w:rPr>
                <w:rFonts w:ascii="Times New Roman" w:eastAsia="宋体"/>
                <w:sz w:val="21"/>
              </w:rPr>
              <w:t xml:space="preserve">竣工图编制费</w:t>
            </w:r>
          </w:p>
        </w:tc>
        <w:tc>
          <w:tcPr>
            <w:tcW w:w="0" w:type="auto"/>
          </w:tcPr>
          <w:p>
            <w:pPr/>
            <w:r>
              <w:rPr>
                <w:rFonts w:ascii="Times New Roman" w:eastAsia="宋体"/>
                <w:sz w:val="21"/>
              </w:rPr>
              <w:t xml:space="preserve">27</w:t>
            </w:r>
          </w:p>
        </w:tc>
      </w:tr>
      <w:tr>
        <w:tc>
          <w:tcPr>
            <w:tcW w:w="0" w:type="auto"/>
          </w:tcPr>
          <w:p>
            <w:pPr/>
            <w:r>
              <w:rPr>
                <w:rFonts w:ascii="Times New Roman" w:eastAsia="宋体"/>
                <w:sz w:val="21"/>
              </w:rPr>
              <w:t xml:space="preserve">场地准备及临时设施费</w:t>
            </w:r>
          </w:p>
        </w:tc>
        <w:tc>
          <w:tcPr>
            <w:tcW w:w="0" w:type="auto"/>
          </w:tcPr>
          <w:p>
            <w:pPr/>
            <w:r>
              <w:rPr>
                <w:rFonts w:ascii="Times New Roman" w:eastAsia="宋体"/>
                <w:sz w:val="21"/>
              </w:rPr>
              <w:t xml:space="preserve">56</w:t>
            </w:r>
          </w:p>
        </w:tc>
      </w:tr>
      <w:tr>
        <w:tc>
          <w:tcPr>
            <w:tcW w:w="0" w:type="auto"/>
          </w:tcPr>
          <w:p>
            <w:pPr/>
            <w:r>
              <w:rPr>
                <w:rFonts w:ascii="Times New Roman" w:eastAsia="宋体"/>
                <w:sz w:val="21"/>
              </w:rPr>
              <w:t xml:space="preserve">低压电缆</w:t>
            </w:r>
          </w:p>
        </w:tc>
        <w:tc>
          <w:tcPr>
            <w:tcW w:w="0" w:type="auto"/>
          </w:tcPr>
          <w:p>
            <w:pPr/>
            <w:r>
              <w:rPr>
                <w:rFonts w:ascii="Times New Roman" w:eastAsia="宋体"/>
                <w:sz w:val="21"/>
              </w:rPr>
              <w:t xml:space="preserve">50</w:t>
            </w:r>
          </w:p>
        </w:tc>
      </w:tr>
      <w:tr>
        <w:tc>
          <w:tcPr>
            <w:tcW w:w="0" w:type="auto"/>
          </w:tcPr>
          <w:p>
            <w:pPr/>
            <w:r>
              <w:rPr>
                <w:rFonts w:ascii="Times New Roman" w:eastAsia="宋体"/>
                <w:sz w:val="21"/>
              </w:rPr>
              <w:t xml:space="preserve">人防易地建设费</w:t>
            </w:r>
          </w:p>
        </w:tc>
        <w:tc>
          <w:tcPr>
            <w:tcW w:w="0" w:type="auto"/>
          </w:tcPr>
          <w:p>
            <w:pPr/>
            <w:r>
              <w:rPr>
                <w:rFonts w:ascii="Times New Roman" w:eastAsia="宋体"/>
                <w:sz w:val="21"/>
              </w:rPr>
              <w:t xml:space="preserve">108</w:t>
            </w:r>
          </w:p>
        </w:tc>
      </w:tr>
    </w:tbl>
    <w:p>
      <w:pPr/>
      <w:r>
        <w:rPr>
          <w:b/>
          <w:rFonts w:ascii="Times New Roman" w:eastAsia="宋体"/>
          <w:sz w:val="21"/>
        </w:rPr>
        <w:t xml:space="preserve">投资构成的闭合核验</w:t>
      </w:r>
      <w:r>
        <w:rPr>
          <w:rFonts w:ascii="Times New Roman" w:eastAsia="宋体"/>
          <w:sz w:val="21"/>
        </w:rPr>
        <w:t xml:space="preserve">：本章对投资估算表的每一层级做了「分项之和 vs 合计」的确定性复核，共发现多处差异，现逐条列出。</w:t>
      </w:r>
      <w:r>
        <w:rPr>
          <w:b/>
          <w:rFonts w:ascii="Times New Roman" w:eastAsia="宋体"/>
          <w:sz w:val="21"/>
        </w:rPr>
        <w:t xml:space="preserve">判定结论：不闭合</w:t>
      </w:r>
      <w:r>
        <w:rPr>
          <w:rFonts w:ascii="Times New Roman" w:eastAsia="宋体"/>
          <w:sz w:val="21"/>
        </w:rPr>
        <w:t xml:space="preserve">。前提 {"存在差异的规则数": 8, "差额合计(万元)": 18.25}；建筑高度控制: 49 vs 60；年总耗电量: 72.2 vs 72；基本预备费: 617.95 vs 618；建筑安装工程费用: 11189 vs 11188；单体工程: 10827 vs 10828；安装工程: 3035 vs 3034；室外总体工程: 52 vs 49；工程建设其他费: 1170 vs 1171</w:t>
      </w:r>
    </w:p>
    <w:p>
      <w:pPr/>
      <w:r>
        <w:rPr>
          <w:b/>
          <w:rFonts w:ascii="Times New Roman" w:eastAsia="宋体"/>
          <w:sz w:val="21"/>
        </w:rPr>
        <w:t xml:space="preserve">派生差异逐条</w:t>
      </w:r>
      <w:r>
        <w:rPr>
          <w:rFonts w:ascii="Times New Roman" w:eastAsia="宋体"/>
          <w:sz w:val="21"/>
        </w:rPr>
        <w:t xml:space="preserve">：</w:t>
      </w:r>
    </w:p>
    <w:p>
      <w:pPr/>
      <w:r>
        <w:rPr>
          <w:rFonts w:ascii="Times New Roman" w:eastAsia="宋体"/>
          <w:sz w:val="21"/>
        </w:rPr>
        <w:t xml:space="preserve">（1）建筑安装工程费用：按 R-建安工程费用（建筑安装工程费用）重算得 </w:t>
      </w:r>
      <w:r>
        <w:rPr>
          <w:b/>
          <w:rFonts w:ascii="Times New Roman" w:eastAsia="宋体"/>
          <w:sz w:val="21"/>
        </w:rPr>
        <w:t xml:space="preserve">11189</w:t>
      </w:r>
      <w:r>
        <w:rPr>
          <w:rFonts w:ascii="Times New Roman" w:eastAsia="宋体"/>
          <w:sz w:val="21"/>
        </w:rPr>
        <w:t xml:space="preserve">，报告原文写 </w:t>
      </w:r>
      <w:r>
        <w:rPr>
          <w:b/>
          <w:rFonts w:ascii="Times New Roman" w:eastAsia="宋体"/>
          <w:sz w:val="21"/>
        </w:rPr>
        <w:t xml:space="preserve">11188</w:t>
      </w:r>
      <w:r>
        <w:rPr>
          <w:rFonts w:ascii="Times New Roman" w:eastAsia="宋体"/>
          <w:sz w:val="21"/>
        </w:rPr>
        <w:t xml:space="preserve">，差 1（0.01%）。该差异按「待审」处理，本稿不改数。</w:t>
      </w:r>
    </w:p>
    <w:p>
      <w:pPr/>
      <w:r>
        <w:rPr>
          <w:rFonts w:ascii="Times New Roman" w:eastAsia="宋体"/>
          <w:sz w:val="21"/>
        </w:rPr>
        <w:t xml:space="preserve">（2）单体工程：按 R-单体工程（单体工程）重算得 </w:t>
      </w:r>
      <w:r>
        <w:rPr>
          <w:b/>
          <w:rFonts w:ascii="Times New Roman" w:eastAsia="宋体"/>
          <w:sz w:val="21"/>
        </w:rPr>
        <w:t xml:space="preserve">10827</w:t>
      </w:r>
      <w:r>
        <w:rPr>
          <w:rFonts w:ascii="Times New Roman" w:eastAsia="宋体"/>
          <w:sz w:val="21"/>
        </w:rPr>
        <w:t xml:space="preserve">，报告原文写 </w:t>
      </w:r>
      <w:r>
        <w:rPr>
          <w:b/>
          <w:rFonts w:ascii="Times New Roman" w:eastAsia="宋体"/>
          <w:sz w:val="21"/>
        </w:rPr>
        <w:t xml:space="preserve">10828</w:t>
      </w:r>
      <w:r>
        <w:rPr>
          <w:rFonts w:ascii="Times New Roman" w:eastAsia="宋体"/>
          <w:sz w:val="21"/>
        </w:rPr>
        <w:t xml:space="preserve">，差 1（0.01%）。该差异按「待审」处理，本稿不改数。</w:t>
      </w:r>
    </w:p>
    <w:p>
      <w:pPr/>
      <w:r>
        <w:rPr>
          <w:rFonts w:ascii="Times New Roman" w:eastAsia="宋体"/>
          <w:sz w:val="21"/>
        </w:rPr>
        <w:t xml:space="preserve">（3）土建工程：按 R-土建工程（土建工程）复算为 </w:t>
      </w:r>
      <w:r>
        <w:rPr>
          <w:b/>
          <w:rFonts w:ascii="Times New Roman" w:eastAsia="宋体"/>
          <w:sz w:val="21"/>
        </w:rPr>
        <w:t xml:space="preserve">7793</w:t>
      </w:r>
      <w:r>
        <w:rPr>
          <w:rFonts w:ascii="Times New Roman" w:eastAsia="宋体"/>
          <w:sz w:val="21"/>
        </w:rPr>
        <w:t xml:space="preserve">，与报告声明一致（闭合）。</w:t>
      </w:r>
    </w:p>
    <w:p>
      <w:pPr/>
      <w:r>
        <w:rPr>
          <w:rFonts w:ascii="Times New Roman" w:eastAsia="宋体"/>
          <w:sz w:val="21"/>
        </w:rPr>
        <w:t xml:space="preserve">（4）安装工程：按 R-安装工程（安装工程）重算得 </w:t>
      </w:r>
      <w:r>
        <w:rPr>
          <w:b/>
          <w:rFonts w:ascii="Times New Roman" w:eastAsia="宋体"/>
          <w:sz w:val="21"/>
        </w:rPr>
        <w:t xml:space="preserve">3035</w:t>
      </w:r>
      <w:r>
        <w:rPr>
          <w:rFonts w:ascii="Times New Roman" w:eastAsia="宋体"/>
          <w:sz w:val="21"/>
        </w:rPr>
        <w:t xml:space="preserve">，报告原文写 </w:t>
      </w:r>
      <w:r>
        <w:rPr>
          <w:b/>
          <w:rFonts w:ascii="Times New Roman" w:eastAsia="宋体"/>
          <w:sz w:val="21"/>
        </w:rPr>
        <w:t xml:space="preserve">3034</w:t>
      </w:r>
      <w:r>
        <w:rPr>
          <w:rFonts w:ascii="Times New Roman" w:eastAsia="宋体"/>
          <w:sz w:val="21"/>
        </w:rPr>
        <w:t xml:space="preserve">，差 1（0.03%）。该差异按「待审」处理，本稿不改数。</w:t>
      </w:r>
    </w:p>
    <w:p>
      <w:pPr/>
      <w:r>
        <w:rPr>
          <w:rFonts w:ascii="Times New Roman" w:eastAsia="宋体"/>
          <w:sz w:val="21"/>
        </w:rPr>
        <w:t xml:space="preserve">（5）室外总体工程：按 R-室外总体工程（室外总体工程）重算得 </w:t>
      </w:r>
      <w:r>
        <w:rPr>
          <w:b/>
          <w:rFonts w:ascii="Times New Roman" w:eastAsia="宋体"/>
          <w:sz w:val="21"/>
        </w:rPr>
        <w:t xml:space="preserve">52</w:t>
      </w:r>
      <w:r>
        <w:rPr>
          <w:rFonts w:ascii="Times New Roman" w:eastAsia="宋体"/>
          <w:sz w:val="21"/>
        </w:rPr>
        <w:t xml:space="preserve">，报告原文写 </w:t>
      </w:r>
      <w:r>
        <w:rPr>
          <w:b/>
          <w:rFonts w:ascii="Times New Roman" w:eastAsia="宋体"/>
          <w:sz w:val="21"/>
        </w:rPr>
        <w:t xml:space="preserve">49</w:t>
      </w:r>
      <w:r>
        <w:rPr>
          <w:rFonts w:ascii="Times New Roman" w:eastAsia="宋体"/>
          <w:sz w:val="21"/>
        </w:rPr>
        <w:t xml:space="preserve">，差 3（6.12%）。该差异按「待审」处理，本稿不改数。</w:t>
      </w:r>
    </w:p>
    <w:p>
      <w:pPr/>
      <w:r>
        <w:rPr>
          <w:rFonts w:ascii="Times New Roman" w:eastAsia="宋体"/>
          <w:sz w:val="21"/>
        </w:rPr>
        <w:t xml:space="preserve">（6）工程建设其他费：按 R-工程建设其他费（工程建设其他费）重算得 </w:t>
      </w:r>
      <w:r>
        <w:rPr>
          <w:b/>
          <w:rFonts w:ascii="Times New Roman" w:eastAsia="宋体"/>
          <w:sz w:val="21"/>
        </w:rPr>
        <w:t xml:space="preserve">1170</w:t>
      </w:r>
      <w:r>
        <w:rPr>
          <w:rFonts w:ascii="Times New Roman" w:eastAsia="宋体"/>
          <w:sz w:val="21"/>
        </w:rPr>
        <w:t xml:space="preserve">，报告原文写 </w:t>
      </w:r>
      <w:r>
        <w:rPr>
          <w:b/>
          <w:rFonts w:ascii="Times New Roman" w:eastAsia="宋体"/>
          <w:sz w:val="21"/>
        </w:rPr>
        <w:t xml:space="preserve">1171</w:t>
      </w:r>
      <w:r>
        <w:rPr>
          <w:rFonts w:ascii="Times New Roman" w:eastAsia="宋体"/>
          <w:sz w:val="21"/>
        </w:rPr>
        <w:t xml:space="preserve">，差 1（0.09%）。该差异按「待审」处理，本稿不改数。</w:t>
      </w:r>
    </w:p>
    <w:p>
      <w:pPr/>
      <w:r>
        <w:rPr>
          <w:rFonts w:ascii="Times New Roman" w:eastAsia="宋体"/>
          <w:sz w:val="21"/>
        </w:rPr>
        <w:t xml:space="preserve">（7）基本预备费：按 R-基本预备费（基本预备费）重算得 </w:t>
      </w:r>
      <w:r>
        <w:rPr>
          <w:b/>
          <w:rFonts w:ascii="Times New Roman" w:eastAsia="宋体"/>
          <w:sz w:val="21"/>
        </w:rPr>
        <w:t xml:space="preserve">617.95</w:t>
      </w:r>
      <w:r>
        <w:rPr>
          <w:rFonts w:ascii="Times New Roman" w:eastAsia="宋体"/>
          <w:sz w:val="21"/>
        </w:rPr>
        <w:t xml:space="preserve">，报告原文写 </w:t>
      </w:r>
      <w:r>
        <w:rPr>
          <w:b/>
          <w:rFonts w:ascii="Times New Roman" w:eastAsia="宋体"/>
          <w:sz w:val="21"/>
        </w:rPr>
        <w:t xml:space="preserve">618</w:t>
      </w:r>
      <w:r>
        <w:rPr>
          <w:rFonts w:ascii="Times New Roman" w:eastAsia="宋体"/>
          <w:sz w:val="21"/>
        </w:rPr>
        <w:t xml:space="preserve">，差 0.05（0.01%）。该差异按「待审」处理，本稿不改数。</w:t>
      </w:r>
    </w:p>
    <w:p>
      <w:pPr/>
      <w:r>
        <w:rPr>
          <w:rFonts w:ascii="Times New Roman" w:eastAsia="宋体"/>
          <w:sz w:val="21"/>
        </w:rPr>
        <w:t xml:space="preserve">（8）单位造价：</w:t>
      </w:r>
      <w:r>
        <w:rPr>
          <w:b/>
          <w:rFonts w:ascii="Times New Roman" w:eastAsia="宋体"/>
          <w:sz w:val="21"/>
        </w:rPr>
        <w:t xml:space="preserve">R-单位造价（单位造价（总投资口径））因依赖存在未裁决冲突而无法计算</w:t>
      </w:r>
      <w:r>
        <w:rPr>
          <w:rFonts w:ascii="Times New Roman" w:eastAsia="宋体"/>
          <w:sz w:val="21"/>
        </w:rPr>
        <w:t xml:space="preserve">（本项目建筑面积=18219/18319），本稿不给单一值。</w:t>
      </w:r>
    </w:p>
    <w:p>
      <w:pPr/>
      <w:r>
        <w:rPr>
          <w:b/>
          <w:rFonts w:ascii="Times New Roman" w:eastAsia="宋体"/>
          <w:sz w:val="21"/>
        </w:rPr>
        <w:t xml:space="preserve">本稿的处理</w:t>
      </w:r>
      <w:r>
        <w:rPr>
          <w:rFonts w:ascii="Times New Roman" w:eastAsia="宋体"/>
          <w:sz w:val="21"/>
        </w:rPr>
        <w:t xml:space="preserve">：以上差异全部按「待审」呈现，</w:t>
      </w:r>
      <w:r>
        <w:rPr>
          <w:b/>
          <w:rFonts w:ascii="Times New Roman" w:eastAsia="宋体"/>
          <w:sz w:val="21"/>
        </w:rPr>
        <w:t xml:space="preserve">不改任何数字</w:t>
      </w:r>
      <w:r>
        <w:rPr>
          <w:rFonts w:ascii="Times New Roman" w:eastAsia="宋体"/>
          <w:sz w:val="21"/>
        </w:rPr>
        <w:t xml:space="preserve">。其中室外总体工程的差异最大（分项之和与表列合计相差 6.12%），其余为各层级 ±1 万元的舍入差。舍入差虽小，但「分项之和对不上合计」属可机检项，不应带进报审稿；建议按统一舍入口径（如统一先累加后一次性四舍五入）重排全表。</w:t>
      </w:r>
    </w:p>
    <w:p>
      <w:pPr>
        <w:pStyle w:val="Heading2"/>
      </w:pPr>
      <w:r>
        <w:rPr>
          <w:rFonts w:ascii="Times New Roman" w:eastAsia="宋体"/>
          <w:sz w:val="21"/>
        </w:rPr>
        <w:t xml:space="preserve">13.4　资金筹措</w:t>
      </w:r>
    </w:p>
    <w:p>
      <w:pPr/>
      <w:r>
        <w:rPr>
          <w:rFonts w:ascii="Times New Roman" w:eastAsia="宋体"/>
          <w:sz w:val="21"/>
        </w:rPr>
        <w:t xml:space="preserve">本项目总投资 13032 万元，其中：申请国拨资金 6000 万元（占总投资 46.04%），学校自筹资金 7032 万元（实施周期 3 年，年均资金需求量约 约2300 万元 / 2300 万元）。资金构成可核：按 R-资金筹措构成（总投资（筹措口径））复算为 </w:t>
      </w:r>
      <w:r>
        <w:rPr>
          <w:b/>
          <w:rFonts w:ascii="Times New Roman" w:eastAsia="宋体"/>
          <w:sz w:val="21"/>
        </w:rPr>
        <w:t xml:space="preserve">13032</w:t>
      </w:r>
      <w:r>
        <w:rPr>
          <w:rFonts w:ascii="Times New Roman" w:eastAsia="宋体"/>
          <w:sz w:val="21"/>
        </w:rPr>
        <w:t xml:space="preserve">，与报告声明一致（闭合）。；国拨资金占比可核：按 R-国拨资金占比（国拨资金占比）复算为 </w:t>
      </w:r>
      <w:r>
        <w:rPr>
          <w:b/>
          <w:rFonts w:ascii="Times New Roman" w:eastAsia="宋体"/>
          <w:sz w:val="21"/>
        </w:rPr>
        <w:t xml:space="preserve">46.04</w:t>
      </w:r>
      <w:r>
        <w:rPr>
          <w:rFonts w:ascii="Times New Roman" w:eastAsia="宋体"/>
          <w:sz w:val="21"/>
        </w:rPr>
        <w:t xml:space="preserve">，与报告声明一致（闭合）。。</w:t>
      </w:r>
    </w:p>
    <w:p>
      <w:pPr/>
      <w:r>
        <w:rPr>
          <w:b/>
          <w:rFonts w:ascii="Times New Roman" w:eastAsia="宋体"/>
          <w:sz w:val="21"/>
        </w:rPr>
        <w:t xml:space="preserve">学校财务状况</w:t>
      </w:r>
      <w:r>
        <w:rPr>
          <w:rFonts w:ascii="Times New Roman" w:eastAsia="宋体"/>
          <w:sz w:val="21"/>
        </w:rPr>
        <w:t xml:space="preserve">：截至 2018 年末，学校资产总额 373711.34 万元，负债总额 9452.14 万元，净资产总额 364259.20 万元，资产负债率 2.53%，财务状况总体稳健。2018 年学校总收入 168206.52 万元，总支出 156278.08 万元，总收入较「十二五」末期增长 17.25%。资产负债率可复核：按 R-资产负债率（资产负债率）复算为 </w:t>
      </w:r>
      <w:r>
        <w:rPr>
          <w:b/>
          <w:rFonts w:ascii="Times New Roman" w:eastAsia="宋体"/>
          <w:sz w:val="21"/>
        </w:rPr>
        <w:t xml:space="preserve">2.53</w:t>
      </w:r>
      <w:r>
        <w:rPr>
          <w:rFonts w:ascii="Times New Roman" w:eastAsia="宋体"/>
          <w:sz w:val="21"/>
        </w:rPr>
        <w:t xml:space="preserve">，与报告声明一致（闭合）。。</w:t>
      </w:r>
    </w:p>
    <w:p>
      <w:pPr/>
      <w:r>
        <w:rPr>
          <w:b/>
          <w:rFonts w:ascii="Times New Roman" w:eastAsia="宋体"/>
          <w:sz w:val="21"/>
        </w:rPr>
        <w:t xml:space="preserve">项目资金筹措方案</w:t>
      </w:r>
      <w:r>
        <w:rPr>
          <w:rFonts w:ascii="Times New Roman" w:eastAsia="宋体"/>
          <w:sz w:val="21"/>
        </w:rPr>
        <w:t xml:space="preserve">：项目建设资金由国拨资金和学校自筹解决，分年度资金需求与筹措安排如下表。</w:t>
      </w:r>
    </w:p>
    <w:p>
      <w:pPr/>
      <w:r>
        <w:rPr>
          <w:b/>
          <w:rFonts w:ascii="Times New Roman" w:eastAsia="宋体"/>
          <w:sz w:val="21"/>
        </w:rPr>
        <w:t xml:space="preserve">表13-5 项目建设资金年度需求表</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项目</w:t>
            </w:r>
          </w:p>
        </w:tc>
        <w:tc>
          <w:tcPr>
            <w:tcW w:w="0" w:type="auto"/>
          </w:tcPr>
          <w:p>
            <w:pPr/>
            <w:r>
              <w:rPr>
                <w:b/>
                <w:rFonts w:ascii="Times New Roman" w:eastAsia="宋体"/>
                <w:sz w:val="21"/>
              </w:rPr>
              <w:t xml:space="preserve">数值</w:t>
            </w:r>
          </w:p>
        </w:tc>
      </w:tr>
      <w:tr>
        <w:tc>
          <w:tcPr>
            <w:tcW w:w="0" w:type="auto"/>
          </w:tcPr>
          <w:p>
            <w:pPr/>
            <w:r>
              <w:rPr>
                <w:rFonts w:ascii="Times New Roman" w:eastAsia="宋体"/>
                <w:sz w:val="21"/>
              </w:rPr>
              <w:t xml:space="preserve">总投资</w:t>
            </w:r>
          </w:p>
        </w:tc>
        <w:tc>
          <w:tcPr>
            <w:tcW w:w="0" w:type="auto"/>
          </w:tcPr>
          <w:p>
            <w:pPr/>
            <w:r>
              <w:rPr>
                <w:rFonts w:ascii="Times New Roman" w:eastAsia="宋体"/>
                <w:sz w:val="21"/>
              </w:rPr>
              <w:t xml:space="preserve">13032 万元</w:t>
            </w:r>
          </w:p>
        </w:tc>
      </w:tr>
      <w:tr>
        <w:tc>
          <w:tcPr>
            <w:tcW w:w="0" w:type="auto"/>
          </w:tcPr>
          <w:p>
            <w:pPr/>
            <w:r>
              <w:rPr>
                <w:rFonts w:ascii="Times New Roman" w:eastAsia="宋体"/>
                <w:sz w:val="21"/>
              </w:rPr>
              <w:t xml:space="preserve">国拨资金</w:t>
            </w:r>
          </w:p>
        </w:tc>
        <w:tc>
          <w:tcPr>
            <w:tcW w:w="0" w:type="auto"/>
          </w:tcPr>
          <w:p>
            <w:pPr/>
            <w:r>
              <w:rPr>
                <w:rFonts w:ascii="Times New Roman" w:eastAsia="宋体"/>
                <w:sz w:val="21"/>
              </w:rPr>
              <w:t xml:space="preserve">6000 万元</w:t>
            </w:r>
          </w:p>
        </w:tc>
      </w:tr>
      <w:tr>
        <w:tc>
          <w:tcPr>
            <w:tcW w:w="0" w:type="auto"/>
          </w:tcPr>
          <w:p>
            <w:pPr/>
            <w:r>
              <w:rPr>
                <w:rFonts w:ascii="Times New Roman" w:eastAsia="宋体"/>
                <w:sz w:val="21"/>
              </w:rPr>
              <w:t xml:space="preserve">国拨资金占比</w:t>
            </w:r>
          </w:p>
        </w:tc>
        <w:tc>
          <w:tcPr>
            <w:tcW w:w="0" w:type="auto"/>
          </w:tcPr>
          <w:p>
            <w:pPr/>
            <w:r>
              <w:rPr>
                <w:rFonts w:ascii="Times New Roman" w:eastAsia="宋体"/>
                <w:sz w:val="21"/>
              </w:rPr>
              <w:t xml:space="preserve">46.04 %</w:t>
            </w:r>
          </w:p>
        </w:tc>
      </w:tr>
      <w:tr>
        <w:tc>
          <w:tcPr>
            <w:tcW w:w="0" w:type="auto"/>
          </w:tcPr>
          <w:p>
            <w:pPr/>
            <w:r>
              <w:rPr>
                <w:rFonts w:ascii="Times New Roman" w:eastAsia="宋体"/>
                <w:sz w:val="21"/>
              </w:rPr>
              <w:t xml:space="preserve">学校自筹资金</w:t>
            </w:r>
          </w:p>
        </w:tc>
        <w:tc>
          <w:tcPr>
            <w:tcW w:w="0" w:type="auto"/>
          </w:tcPr>
          <w:p>
            <w:pPr/>
            <w:r>
              <w:rPr>
                <w:rFonts w:ascii="Times New Roman" w:eastAsia="宋体"/>
                <w:sz w:val="21"/>
              </w:rPr>
              <w:t xml:space="preserve">7032 万元</w:t>
            </w:r>
          </w:p>
        </w:tc>
      </w:tr>
      <w:tr>
        <w:tc>
          <w:tcPr>
            <w:tcW w:w="0" w:type="auto"/>
          </w:tcPr>
          <w:p>
            <w:pPr/>
            <w:r>
              <w:rPr>
                <w:rFonts w:ascii="Times New Roman" w:eastAsia="宋体"/>
                <w:sz w:val="21"/>
              </w:rPr>
              <w:t xml:space="preserve">上海财经大学·资产总额</w:t>
            </w:r>
          </w:p>
        </w:tc>
        <w:tc>
          <w:tcPr>
            <w:tcW w:w="0" w:type="auto"/>
          </w:tcPr>
          <w:p>
            <w:pPr/>
            <w:r>
              <w:rPr>
                <w:rFonts w:ascii="Times New Roman" w:eastAsia="宋体"/>
                <w:sz w:val="21"/>
              </w:rPr>
              <w:t xml:space="preserve">373711.34 万元</w:t>
            </w:r>
          </w:p>
        </w:tc>
      </w:tr>
      <w:tr>
        <w:tc>
          <w:tcPr>
            <w:tcW w:w="0" w:type="auto"/>
          </w:tcPr>
          <w:p>
            <w:pPr/>
            <w:r>
              <w:rPr>
                <w:rFonts w:ascii="Times New Roman" w:eastAsia="宋体"/>
                <w:sz w:val="21"/>
              </w:rPr>
              <w:t xml:space="preserve">上海财经大学·负债总额</w:t>
            </w:r>
          </w:p>
        </w:tc>
        <w:tc>
          <w:tcPr>
            <w:tcW w:w="0" w:type="auto"/>
          </w:tcPr>
          <w:p>
            <w:pPr/>
            <w:r>
              <w:rPr>
                <w:rFonts w:ascii="Times New Roman" w:eastAsia="宋体"/>
                <w:sz w:val="21"/>
              </w:rPr>
              <w:t xml:space="preserve">9452.14 万元</w:t>
            </w:r>
          </w:p>
        </w:tc>
      </w:tr>
      <w:tr>
        <w:tc>
          <w:tcPr>
            <w:tcW w:w="0" w:type="auto"/>
          </w:tcPr>
          <w:p>
            <w:pPr/>
            <w:r>
              <w:rPr>
                <w:rFonts w:ascii="Times New Roman" w:eastAsia="宋体"/>
                <w:sz w:val="21"/>
              </w:rPr>
              <w:t xml:space="preserve">上海财经大学·净资产总额</w:t>
            </w:r>
          </w:p>
        </w:tc>
        <w:tc>
          <w:tcPr>
            <w:tcW w:w="0" w:type="auto"/>
          </w:tcPr>
          <w:p>
            <w:pPr/>
            <w:r>
              <w:rPr>
                <w:rFonts w:ascii="Times New Roman" w:eastAsia="宋体"/>
                <w:sz w:val="21"/>
              </w:rPr>
              <w:t xml:space="preserve">364259.20 万元</w:t>
            </w:r>
          </w:p>
        </w:tc>
      </w:tr>
      <w:tr>
        <w:tc>
          <w:tcPr>
            <w:tcW w:w="0" w:type="auto"/>
          </w:tcPr>
          <w:p>
            <w:pPr/>
            <w:r>
              <w:rPr>
                <w:rFonts w:ascii="Times New Roman" w:eastAsia="宋体"/>
                <w:sz w:val="21"/>
              </w:rPr>
              <w:t xml:space="preserve">上海财经大学·资产负债率</w:t>
            </w:r>
          </w:p>
        </w:tc>
        <w:tc>
          <w:tcPr>
            <w:tcW w:w="0" w:type="auto"/>
          </w:tcPr>
          <w:p>
            <w:pPr/>
            <w:r>
              <w:rPr>
                <w:rFonts w:ascii="Times New Roman" w:eastAsia="宋体"/>
                <w:sz w:val="21"/>
              </w:rPr>
              <w:t xml:space="preserve">2.53 %</w:t>
            </w:r>
          </w:p>
        </w:tc>
      </w:tr>
      <w:tr>
        <w:tc>
          <w:tcPr>
            <w:tcW w:w="0" w:type="auto"/>
          </w:tcPr>
          <w:p>
            <w:pPr/>
            <w:r>
              <w:rPr>
                <w:rFonts w:ascii="Times New Roman" w:eastAsia="宋体"/>
                <w:sz w:val="21"/>
              </w:rPr>
              <w:t xml:space="preserve">上海财经大学·总收入</w:t>
            </w:r>
          </w:p>
        </w:tc>
        <w:tc>
          <w:tcPr>
            <w:tcW w:w="0" w:type="auto"/>
          </w:tcPr>
          <w:p>
            <w:pPr/>
            <w:r>
              <w:rPr>
                <w:rFonts w:ascii="Times New Roman" w:eastAsia="宋体"/>
                <w:sz w:val="21"/>
              </w:rPr>
              <w:t xml:space="preserve">168206.52 万元</w:t>
            </w:r>
          </w:p>
        </w:tc>
      </w:tr>
      <w:tr>
        <w:tc>
          <w:tcPr>
            <w:tcW w:w="0" w:type="auto"/>
          </w:tcPr>
          <w:p>
            <w:pPr/>
            <w:r>
              <w:rPr>
                <w:rFonts w:ascii="Times New Roman" w:eastAsia="宋体"/>
                <w:sz w:val="21"/>
              </w:rPr>
              <w:t xml:space="preserve">上海财经大学·总支出</w:t>
            </w:r>
          </w:p>
        </w:tc>
        <w:tc>
          <w:tcPr>
            <w:tcW w:w="0" w:type="auto"/>
          </w:tcPr>
          <w:p>
            <w:pPr/>
            <w:r>
              <w:rPr>
                <w:rFonts w:ascii="Times New Roman" w:eastAsia="宋体"/>
                <w:sz w:val="21"/>
              </w:rPr>
              <w:t xml:space="preserve">156278.08 万元</w:t>
            </w:r>
          </w:p>
        </w:tc>
      </w:tr>
    </w:tbl>
    <w:p>
      <w:pPr/>
      <w:r>
        <w:rPr>
          <w:rFonts w:ascii="Times New Roman" w:eastAsia="宋体"/>
          <w:sz w:val="21"/>
        </w:rPr>
        <w:t xml:space="preserve">根据学校的财务现状和发展趋势，「十三五」期间学校财力将持续增强，财务状况持续稳健，有足够能力保障本项目的建设资金供给。</w:t>
      </w:r>
    </w:p>
    <w:p>
      <w:pPr/>
      <w:r>
        <w:rPr>
          <w:b/>
          <w:rFonts w:ascii="Times New Roman" w:eastAsia="宋体"/>
          <w:sz w:val="21"/>
        </w:rPr>
        <w:t xml:space="preserve">依据复核（资金筹措）</w:t>
      </w:r>
      <w:r>
        <w:rPr>
          <w:rFonts w:ascii="Times New Roman" w:eastAsia="宋体"/>
          <w:sz w:val="21"/>
        </w:rPr>
        <w:t xml:space="preserve">：本项目自筹部分已有明确的资金来源渠道与年度安排，不属于「只写学校自行筹措解决」的笼统表述，这一点优于同类报告的常见写法。但</w:t>
      </w:r>
      <w:r>
        <w:rPr>
          <w:b/>
          <w:rFonts w:ascii="Times New Roman" w:eastAsia="宋体"/>
          <w:sz w:val="21"/>
        </w:rPr>
        <w:t xml:space="preserve">国拨资金批复文件未见</w:t>
      </w:r>
      <w:r>
        <w:rPr>
          <w:rFonts w:ascii="Times New Roman" w:eastAsia="宋体"/>
          <w:sz w:val="21"/>
        </w:rPr>
        <w:t xml:space="preserve">，属前置条件未闭合事项，已登记。</w:t>
      </w:r>
      <w:r>
        <w:rPr>
          <w:b/>
          <w:rFonts w:ascii="Times New Roman" w:eastAsia="宋体"/>
          <w:sz w:val="21"/>
        </w:rPr>
        <w:t xml:space="preserve">（国拨资金批复文件：待补充——资金筹措方案列出申请国拨资金 6000 万元，但附件未含上级批复文件。）</w:t>
      </w:r>
    </w:p>
    <w:p>
      <w:pPr>
        <w:ind w:left="420"/>
      </w:pPr>
      <w:r>
        <w:rPr>
          <w:b/>
          <w:rFonts w:ascii="Times New Roman" w:eastAsia="宋体"/>
          <w:sz w:val="21"/>
        </w:rPr>
        <w:t xml:space="preserve">边界提示</w:t>
      </w:r>
      <w:r>
        <w:rPr>
          <w:rFonts w:ascii="Times New Roman" w:eastAsia="宋体"/>
          <w:sz w:val="21"/>
        </w:rPr>
        <w:t xml:space="preserve">：第十三章 13.4 节在复述总建筑面积时使用了与其余各章不同的数值，该差异已登记为待审事项，并在第一章已并列呈现。</w:t>
      </w:r>
    </w:p>
    <w:p>
      <w:pPr>
        <w:ind w:left="420"/>
      </w:pPr>
      <w:r>
        <w:rPr>
          <w:b/>
          <w:rFonts w:ascii="Times New Roman" w:eastAsia="宋体"/>
          <w:sz w:val="21"/>
        </w:rPr>
        <w:t xml:space="preserve">⚠ 待审</w:t>
      </w:r>
      <w:r>
        <w:rPr>
          <w:rFonts w:ascii="Times New Roman" w:eastAsia="宋体"/>
          <w:sz w:val="21"/>
        </w:rPr>
        <w:t xml:space="preserve">：本项目 · 总建筑面积 在报告不同章节取值不一致，现并列呈现为 </w:t>
      </w:r>
      <w:r>
        <w:rPr>
          <w:b/>
          <w:rFonts w:ascii="Times New Roman" w:eastAsia="宋体"/>
          <w:sz w:val="21"/>
        </w:rPr>
        <w:t xml:space="preserve">18219 / 18319</w:t>
      </w:r>
      <w:r>
        <w:rPr>
          <w:rFonts w:ascii="Times New Roman" w:eastAsia="宋体"/>
          <w:sz w:val="21"/>
        </w:rPr>
        <w:t xml:space="preserve">。本稿不判断哪一个正确，也不取其一；须由建设单位与编制单位核实后统一口径。</w:t>
      </w:r>
    </w:p>
    <w:p>
      <w:pPr>
        <w:pStyle w:val="Heading1"/>
      </w:pPr>
      <w:r>
        <w:rPr>
          <w:rFonts w:ascii="Times New Roman" w:eastAsia="宋体"/>
          <w:sz w:val="21"/>
        </w:rPr>
        <w:t xml:space="preserve">第十四章　社会效益</w:t>
      </w:r>
    </w:p>
    <w:p>
      <w:pPr>
        <w:pStyle w:val="Heading2"/>
      </w:pPr>
      <w:r>
        <w:rPr>
          <w:rFonts w:ascii="Times New Roman" w:eastAsia="宋体"/>
          <w:sz w:val="21"/>
        </w:rPr>
        <w:t xml:space="preserve">14.1　为学校建设成具有鲜明财经特色的高水平研究型大学做好基建保障</w:t>
      </w:r>
    </w:p>
    <w:p>
      <w:pPr/>
      <w:r>
        <w:rPr>
          <w:rFonts w:ascii="Times New Roman" w:eastAsia="宋体"/>
          <w:sz w:val="21"/>
        </w:rPr>
        <w:t xml:space="preserve">上海财经大学作为一所以社会科学为主要特色的财经类院校，目前已建成「学士—硕士—博士」完整的人才培养体系。学校为实现「亚洲一流、国际有影响、具有鲜明财经特色的多科性研究型大学」的发展目标，逐步加大科研人才培养力度和科研积淀，而这一目标的创建也需要校园基建做好支撑。</w:t>
      </w:r>
    </w:p>
    <w:p>
      <w:pPr/>
      <w:r>
        <w:rPr>
          <w:rFonts w:ascii="Times New Roman" w:eastAsia="宋体"/>
          <w:sz w:val="21"/>
        </w:rPr>
        <w:t xml:space="preserve">本项目将对中山北一路校区原有第五教学楼进行拆除后新建大数据研究中心，为管理科学与量化信息研究中心、理论计算机研究中心、应用统计研究中心、数据科研与统计研究院等科研单位提供优质的科研条件，为学校培养更多符合国家需要的科研创新型人才提供良好条件，为学校相关学科的科研提供完备的基础保障和充足的发展空间。</w:t>
      </w:r>
    </w:p>
    <w:p>
      <w:pPr>
        <w:pStyle w:val="Heading2"/>
      </w:pPr>
      <w:r>
        <w:rPr>
          <w:rFonts w:ascii="Times New Roman" w:eastAsia="宋体"/>
          <w:sz w:val="21"/>
        </w:rPr>
        <w:t xml:space="preserve">14.2　有利于提升学科科研水平，促进相关学科的快速发展</w:t>
      </w:r>
    </w:p>
    <w:p>
      <w:pPr/>
      <w:r>
        <w:rPr>
          <w:rFonts w:ascii="Times New Roman" w:eastAsia="宋体"/>
          <w:sz w:val="21"/>
        </w:rPr>
        <w:t xml:space="preserve">随着学校大数据相关学科的发展，学科科研平台的规模不断增大，提供基础设施完备的研究空间是进行科研、学术讨论交流的基础。本项目新建大数据研究中心，将基于各个科研单位的需求设置相应的科研用房及交流讨论等公共服务配套用房等。</w:t>
      </w:r>
    </w:p>
    <w:p>
      <w:pPr/>
      <w:r>
        <w:rPr>
          <w:rFonts w:ascii="Times New Roman" w:eastAsia="宋体"/>
          <w:sz w:val="21"/>
        </w:rPr>
        <w:t xml:space="preserve">本项目的建成将为各科研单位的研究人员及国内外来访学者提供现代化的、先进的、便利的学术研究及交流空间，优化学科科研环境，有利于提升相关学科的科研水平，获得更多大数据领域的科研成果，有利于相关成果更好地应用到我国社会经济发展中。</w:t>
      </w:r>
    </w:p>
    <w:p>
      <w:pPr>
        <w:pStyle w:val="Heading2"/>
      </w:pPr>
      <w:r>
        <w:rPr>
          <w:rFonts w:ascii="Times New Roman" w:eastAsia="宋体"/>
          <w:sz w:val="21"/>
        </w:rPr>
        <w:t xml:space="preserve">14.3　有利于优化校园环境，提升学校形象</w:t>
      </w:r>
    </w:p>
    <w:p>
      <w:pPr/>
      <w:r>
        <w:rPr>
          <w:rFonts w:ascii="Times New Roman" w:eastAsia="宋体"/>
          <w:sz w:val="21"/>
        </w:rPr>
        <w:t xml:space="preserve">科研设施条件不仅影响师生的研究效率，还关乎学校声誉及形象塑造。本项目将拆除年代久远、教学设施陈旧、环境布局落后的原教学楼，以打造中山北一路校区新地标为目标，建设大数据研究中心大楼。</w:t>
      </w:r>
    </w:p>
    <w:p>
      <w:pPr/>
      <w:r>
        <w:rPr>
          <w:rFonts w:ascii="Times New Roman" w:eastAsia="宋体"/>
          <w:sz w:val="21"/>
        </w:rPr>
        <w:t xml:space="preserve">本项目由一座主楼组成，在总体设计上注重与校园空间的结合，与西面的景观绿地遥相呼应，为相关学科人员的科研营造一个自然、幽静和开放有机综合的空间，同时优化学校对外交流的空间形象。项目的建设有利于优化校区整体环境，提升学校的形象和地位。</w:t>
      </w:r>
    </w:p>
    <w:p>
      <w:pPr/>
      <w:r>
        <w:rPr>
          <w:b/>
          <w:rFonts w:ascii="Times New Roman" w:eastAsia="宋体"/>
          <w:sz w:val="21"/>
        </w:rPr>
        <w:t xml:space="preserve">综上所述，本项目建成后的社会效益显著。</w:t>
      </w:r>
    </w:p>
    <w:p>
      <w:pPr>
        <w:ind w:left="420"/>
      </w:pPr>
      <w:r>
        <w:rPr>
          <w:b/>
          <w:rFonts w:ascii="Times New Roman" w:eastAsia="宋体"/>
          <w:sz w:val="21"/>
        </w:rPr>
        <w:t xml:space="preserve">论证完整性提示</w:t>
      </w:r>
      <w:r>
        <w:rPr>
          <w:rFonts w:ascii="Times New Roman" w:eastAsia="宋体"/>
          <w:sz w:val="21"/>
        </w:rPr>
        <w:t xml:space="preserve">：本章社会效益为定性表述，未给出可核的量化指标（如新增科研用房面积对应的科研产出预期、师生人均科研面积改善幅度等）。按现行可行性研究报告编写口径，「项目影响效果分析」还需包含经济影响分析、资源和能源利用效果分析、碳达峰碳中和分析等内容项，本项目原报告未单列该章。该缺口已登记，建议按现行大纲补齐。</w:t>
      </w:r>
    </w:p>
    <w:p>
      <w:pPr>
        <w:pStyle w:val="Heading1"/>
      </w:pPr>
      <w:r>
        <w:rPr>
          <w:rFonts w:ascii="Times New Roman" w:eastAsia="宋体"/>
          <w:sz w:val="21"/>
        </w:rPr>
        <w:t xml:space="preserve">第十五章　结论与建议</w:t>
      </w:r>
    </w:p>
    <w:p>
      <w:pPr/>
      <w:r>
        <w:rPr>
          <w:rFonts w:ascii="Times New Roman" w:eastAsia="宋体"/>
          <w:sz w:val="21"/>
        </w:rPr>
        <w:t xml:space="preserve">本章为纯复述章——</w:t>
      </w:r>
      <w:r>
        <w:rPr>
          <w:b/>
          <w:rFonts w:ascii="Times New Roman" w:eastAsia="宋体"/>
          <w:sz w:val="21"/>
        </w:rPr>
        <w:t xml:space="preserve">不出现任何全篇别处没有的新数值</w:t>
      </w:r>
      <w:r>
        <w:rPr>
          <w:rFonts w:ascii="Times New Roman" w:eastAsia="宋体"/>
          <w:sz w:val="21"/>
        </w:rPr>
        <w:t xml:space="preserve">，只逐维度复述前文结论并交代未闭合事项。</w:t>
      </w:r>
    </w:p>
    <w:p>
      <w:pPr>
        <w:pStyle w:val="Heading2"/>
      </w:pPr>
      <w:r>
        <w:rPr>
          <w:rFonts w:ascii="Times New Roman" w:eastAsia="宋体"/>
          <w:sz w:val="21"/>
        </w:rPr>
        <w:t xml:space="preserve">15.1　主要技术经济指标复述</w:t>
      </w:r>
    </w:p>
    <w:p>
      <w:pPr/>
      <w:r>
        <w:rPr>
          <w:rFonts w:ascii="Times New Roman" w:eastAsia="宋体"/>
          <w:sz w:val="21"/>
        </w:rPr>
        <w:t xml:space="preserve">按可研报告体例，本章先复述全篇关键指标（</w:t>
      </w:r>
      <w:r>
        <w:rPr>
          <w:b/>
          <w:rFonts w:ascii="Times New Roman" w:eastAsia="宋体"/>
          <w:sz w:val="21"/>
        </w:rPr>
        <w:t xml:space="preserve">以下均为前文数据的复述，非新增事实</w:t>
      </w:r>
      <w:r>
        <w:rPr>
          <w:rFonts w:ascii="Times New Roman" w:eastAsia="宋体"/>
          <w:sz w:val="21"/>
        </w:rPr>
        <w:t xml:space="preserve">，其取值出处见对应章节；</w:t>
      </w:r>
      <w:r>
        <w:rPr>
          <w:b/>
          <w:rFonts w:ascii="Times New Roman" w:eastAsia="宋体"/>
          <w:sz w:val="21"/>
        </w:rPr>
        <w:t xml:space="preserve">凡存在待审事项的，按前文并列口径复述</w:t>
      </w:r>
      <w:r>
        <w:rPr>
          <w:rFonts w:ascii="Times New Roman" w:eastAsia="宋体"/>
          <w:sz w:val="21"/>
        </w:rPr>
        <w:t xml:space="preserve">）：</w:t>
      </w:r>
    </w:p>
    <w:p>
      <w:pPr/>
      <w:r>
        <w:rPr>
          <w:rFonts w:ascii="Times New Roman" w:eastAsia="宋体"/>
          <w:sz w:val="21"/>
        </w:rPr>
        <w:t xml:space="preserve">项目总投资 13032 万元，其中建安工程费用 11188 万元、工程建设其他费用 1171 万元、预备费 618 万元、原建筑拆除费用 55 万元；资金来源为国拨资金 6000 万元 与学校自筹 7032 万元。</w:t>
      </w:r>
    </w:p>
    <w:p>
      <w:pPr/>
      <w:r>
        <w:rPr>
          <w:rFonts w:ascii="Times New Roman" w:eastAsia="宋体"/>
          <w:sz w:val="21"/>
        </w:rPr>
        <w:t xml:space="preserve">新建总建筑面积 18319 ㎡ / 18219 ㎡（其中地上 18000 ㎡、地下 319 ㎡），拆除原第五教学楼 2758 ㎡；建筑层数 12 层，设计使用年限 50 年，抗震设防烈度 7 度；建设工期 24 月，2020年7月初 开工、2022年06月底 竣工。</w:t>
      </w:r>
    </w:p>
    <w:p>
      <w:pPr/>
      <w:r>
        <w:rPr>
          <w:rFonts w:ascii="Times New Roman" w:eastAsia="宋体"/>
          <w:sz w:val="21"/>
        </w:rPr>
        <w:t xml:space="preserve">按人均建筑面积指标法测算的地上总建筑面积需求为 18040 ㎡，与设计地上建筑面积 18000 ㎡ 存在 40 ㎡ 的差额，该差额及处置建议详见第五章 5.7 节。</w:t>
      </w:r>
    </w:p>
    <w:p>
      <w:pPr>
        <w:pStyle w:val="Heading2"/>
      </w:pPr>
      <w:r>
        <w:rPr>
          <w:rFonts w:ascii="Times New Roman" w:eastAsia="宋体"/>
          <w:sz w:val="21"/>
        </w:rPr>
        <w:t xml:space="preserve">15.2　主要结论</w:t>
      </w:r>
    </w:p>
    <w:p>
      <w:pPr/>
      <w:r>
        <w:rPr>
          <w:b/>
          <w:rFonts w:ascii="Times New Roman" w:eastAsia="宋体"/>
          <w:sz w:val="21"/>
        </w:rPr>
        <w:t xml:space="preserve">（1）建设必要性充分</w:t>
      </w:r>
      <w:r>
        <w:rPr>
          <w:rFonts w:ascii="Times New Roman" w:eastAsia="宋体"/>
          <w:sz w:val="21"/>
        </w:rPr>
        <w:t xml:space="preserve">。项目的建设是提升我国新兴领域科研水平、加速向创新型经济转型发展的需要；是推进上海大数据研究与发展、加快建设数字中国的需要；是改善中山北一路校区设施条件、建立良好科研环境的需要；是响应「双一流」高校建设、实现高水平研究型大学战略目标的需要。（其中第一、二两个维度的推理许可存在缺环，详见第三章 3.2 节提示。）</w:t>
      </w:r>
    </w:p>
    <w:p>
      <w:pPr/>
      <w:r>
        <w:rPr>
          <w:b/>
          <w:rFonts w:ascii="Times New Roman" w:eastAsia="宋体"/>
          <w:sz w:val="21"/>
        </w:rPr>
        <w:t xml:space="preserve">（2）建设条件具备</w:t>
      </w:r>
      <w:r>
        <w:rPr>
          <w:rFonts w:ascii="Times New Roman" w:eastAsia="宋体"/>
          <w:sz w:val="21"/>
        </w:rPr>
        <w:t xml:space="preserve">。项目位于成熟校区内，选址地质条件良好，各项市政配套齐全，供水、排水、供电等市政配套设施有保证；施工场地平整、开阔，四周道路通畅。（要素接入条件与区域供给能力须分开落实，详见第四章。）</w:t>
      </w:r>
    </w:p>
    <w:p>
      <w:pPr/>
      <w:r>
        <w:rPr>
          <w:b/>
          <w:rFonts w:ascii="Times New Roman" w:eastAsia="宋体"/>
          <w:sz w:val="21"/>
        </w:rPr>
        <w:t xml:space="preserve">（3）建设内容与规模明确</w:t>
      </w:r>
      <w:r>
        <w:rPr>
          <w:rFonts w:ascii="Times New Roman" w:eastAsia="宋体"/>
          <w:sz w:val="21"/>
        </w:rPr>
        <w:t xml:space="preserve">。本项目拆除原有第五教学楼，重新建设科研用房及部分公共服务配套用房；建设内容为四个科研单位的科研用房及配套用房。按人均建筑面积指标法测算的地上总建筑面积需求与设计地上建筑面积比对结果，以及相应的待审事项，详见第五章 5.7 节。</w:t>
      </w:r>
    </w:p>
    <w:p>
      <w:pPr/>
      <w:r>
        <w:rPr>
          <w:b/>
          <w:rFonts w:ascii="Times New Roman" w:eastAsia="宋体"/>
          <w:sz w:val="21"/>
        </w:rPr>
        <w:t xml:space="preserve">（4）技术方案可行，但存在需先行裁决的前提</w:t>
      </w:r>
      <w:r>
        <w:rPr>
          <w:rFonts w:ascii="Times New Roman" w:eastAsia="宋体"/>
          <w:sz w:val="21"/>
        </w:rPr>
        <w:t xml:space="preserve">。各专业均给出了采用的方案、所依据的规范与关键取值。其中建筑高度、耐火等级、抗震设计分组、喷淋设计参数、高位消防水箱容积等事项存在并列取值，须裁决后统一，详见第六章。</w:t>
      </w:r>
    </w:p>
    <w:p>
      <w:pPr/>
      <w:r>
        <w:rPr>
          <w:b/>
          <w:rFonts w:ascii="Times New Roman" w:eastAsia="宋体"/>
          <w:sz w:val="21"/>
        </w:rPr>
        <w:t xml:space="preserve">（5）项目资金来源有保障</w:t>
      </w:r>
      <w:r>
        <w:rPr>
          <w:rFonts w:ascii="Times New Roman" w:eastAsia="宋体"/>
          <w:sz w:val="21"/>
        </w:rPr>
        <w:t xml:space="preserve">。项目建设资金由国拨资金及学校自筹解决，学校近三年收入持续增长、资产负债率处于较低水平，具备相应的资金筹措能力。国拨资金批复文件尚待取得。</w:t>
      </w:r>
    </w:p>
    <w:p>
      <w:pPr/>
      <w:r>
        <w:rPr>
          <w:b/>
          <w:rFonts w:ascii="Times New Roman" w:eastAsia="宋体"/>
          <w:sz w:val="21"/>
        </w:rPr>
        <w:t xml:space="preserve">（6）项目风险等级为低风险</w:t>
      </w:r>
      <w:r>
        <w:rPr>
          <w:rFonts w:ascii="Times New Roman" w:eastAsia="宋体"/>
          <w:sz w:val="21"/>
        </w:rPr>
        <w:t xml:space="preserve">。经风险识别与措施后复评，本项目社会稳定风险等级为低风险，不会引发较大社会稳定风险问题。</w:t>
      </w:r>
    </w:p>
    <w:p>
      <w:pPr/>
      <w:r>
        <w:rPr>
          <w:b/>
          <w:rFonts w:ascii="Times New Roman" w:eastAsia="宋体"/>
          <w:sz w:val="21"/>
        </w:rPr>
        <w:t xml:space="preserve">（7）项目建成后社会效益显著</w:t>
      </w:r>
      <w:r>
        <w:rPr>
          <w:rFonts w:ascii="Times New Roman" w:eastAsia="宋体"/>
          <w:sz w:val="21"/>
        </w:rPr>
        <w:t xml:space="preserve">。项目将为学校建设成为一流的研究型大学做好基建保障，有利于提升学科科研水平、优化校园环境、提升学校形象。</w:t>
      </w:r>
    </w:p>
    <w:p>
      <w:pPr>
        <w:pStyle w:val="Heading2"/>
      </w:pPr>
      <w:r>
        <w:rPr>
          <w:rFonts w:ascii="Times New Roman" w:eastAsia="宋体"/>
          <w:sz w:val="21"/>
        </w:rPr>
        <w:t xml:space="preserve">15.3　问题与建议</w:t>
      </w:r>
    </w:p>
    <w:p>
      <w:pPr/>
      <w:r>
        <w:rPr>
          <w:b/>
          <w:rFonts w:ascii="Times New Roman" w:eastAsia="宋体"/>
          <w:sz w:val="21"/>
        </w:rPr>
        <w:t xml:space="preserve">（1）先行裁决并统一待审事项</w:t>
      </w:r>
      <w:r>
        <w:rPr>
          <w:rFonts w:ascii="Times New Roman" w:eastAsia="宋体"/>
          <w:sz w:val="21"/>
        </w:rPr>
        <w:t xml:space="preserve">。本报告登记了若干处同一指标在不同章节取值不一致的事项，以及若干处派生值与声明值不一致的事项。其中总建筑面积的冲突会</w:t>
      </w:r>
      <w:r>
        <w:rPr>
          <w:b/>
          <w:rFonts w:ascii="Times New Roman" w:eastAsia="宋体"/>
          <w:sz w:val="21"/>
        </w:rPr>
        <w:t xml:space="preserve">连锁阻塞</w:t>
      </w:r>
      <w:r>
        <w:rPr>
          <w:rFonts w:ascii="Times New Roman" w:eastAsia="宋体"/>
          <w:sz w:val="21"/>
        </w:rPr>
        <w:t xml:space="preserve">冷热负荷、单位面积能耗、单位造价等多个派生量的计算。建议在初步设计前完成口径统一。</w:t>
      </w:r>
    </w:p>
    <w:p>
      <w:pPr/>
      <w:r>
        <w:rPr>
          <w:b/>
          <w:rFonts w:ascii="Times New Roman" w:eastAsia="宋体"/>
          <w:sz w:val="21"/>
        </w:rPr>
        <w:t xml:space="preserve">（2）按现行有效版本核对全部引用标准</w:t>
      </w:r>
      <w:r>
        <w:rPr>
          <w:rFonts w:ascii="Times New Roman" w:eastAsia="宋体"/>
          <w:sz w:val="21"/>
        </w:rPr>
        <w:t xml:space="preserve">。包括但不限于：规划面积指标类建设标准的名称与版本；防火设计规范的版本与废止情况；节能设计标准、照明设计标准的版本；无障碍设计规范的编号；结构类标准的名称写法等。此类问题属可机检项，也是报审退回的高频原因。</w:t>
      </w:r>
    </w:p>
    <w:p>
      <w:pPr/>
      <w:r>
        <w:rPr>
          <w:b/>
          <w:rFonts w:ascii="Times New Roman" w:eastAsia="宋体"/>
          <w:sz w:val="21"/>
        </w:rPr>
        <w:t xml:space="preserve">（3）补齐前置条件</w:t>
      </w:r>
      <w:r>
        <w:rPr>
          <w:rFonts w:ascii="Times New Roman" w:eastAsia="宋体"/>
          <w:sz w:val="21"/>
        </w:rPr>
        <w:t xml:space="preserve">。包括原有建筑拆除手续、国拨资金批复文件、实验室通风专项设计条件（换气次数、通风柜台数、排风量）、负荷估算的面积基数口径、变压器容量匹配口径等。</w:t>
      </w:r>
    </w:p>
    <w:p>
      <w:pPr/>
      <w:r>
        <w:rPr>
          <w:b/>
          <w:rFonts w:ascii="Times New Roman" w:eastAsia="宋体"/>
          <w:sz w:val="21"/>
        </w:rPr>
        <w:t xml:space="preserve">（4）按现行大纲补齐章节内容项</w:t>
      </w:r>
      <w:r>
        <w:rPr>
          <w:rFonts w:ascii="Times New Roman" w:eastAsia="宋体"/>
          <w:sz w:val="21"/>
        </w:rPr>
        <w:t xml:space="preserve">。本项目原报告编制时点早于现行通用大纲，按现行口径报审时须补齐：项目运营方案（含绩效管理方案）、项目影响效果分析（含经济影响、资源和能源利用效果、碳达峰碳中和）、项目投融资与财务方案中的财务分析（盈利能力、融资方案比选、债务清偿能力、财务可持续性）等。</w:t>
      </w:r>
    </w:p>
    <w:p>
      <w:pPr/>
      <w:r>
        <w:rPr>
          <w:b/>
          <w:rFonts w:ascii="Times New Roman" w:eastAsia="宋体"/>
          <w:sz w:val="21"/>
        </w:rPr>
        <w:t xml:space="preserve">（5）投资估算表重排</w:t>
      </w:r>
      <w:r>
        <w:rPr>
          <w:rFonts w:ascii="Times New Roman" w:eastAsia="宋体"/>
          <w:sz w:val="21"/>
        </w:rPr>
        <w:t xml:space="preserve">。按统一舍入口径重算各层级分项与合计，消除 ±1 万元的舍入差，并对差异较大的室外总体工程逐项核对。</w:t>
      </w:r>
    </w:p>
    <w:p>
      <w:pPr/>
      <w:r>
        <w:rPr>
          <w:b/>
          <w:rFonts w:ascii="Times New Roman" w:eastAsia="宋体"/>
          <w:sz w:val="21"/>
        </w:rPr>
        <w:t xml:space="preserve">综上，在落实上述建议的前提下，本项目建设必要性充分、建设条件具备、建设内容明确、资金来源有保障、社会效益显著，建议有关部门按程序批复本报告。</w:t>
      </w:r>
    </w:p>
    <w:p>
      <w:pPr>
        <w:pStyle w:val="Heading1"/>
      </w:pPr>
      <w:r>
        <w:rPr>
          <w:rFonts w:ascii="Times New Roman" w:eastAsia="宋体"/>
          <w:sz w:val="21"/>
        </w:rPr>
        <w:t xml:space="preserve">第十六章　附件</w:t>
      </w:r>
    </w:p>
    <w:p>
      <w:pPr/>
      <w:r>
        <w:rPr>
          <w:rFonts w:ascii="Times New Roman" w:eastAsia="宋体"/>
          <w:sz w:val="21"/>
        </w:rPr>
        <w:t xml:space="preserve">本项目报告附件清单如下（含状态标注，</w:t>
      </w:r>
      <w:r>
        <w:rPr>
          <w:b/>
          <w:rFonts w:ascii="Times New Roman" w:eastAsia="宋体"/>
          <w:sz w:val="21"/>
        </w:rPr>
        <w:t xml:space="preserve">待补充件显式列出</w:t>
      </w:r>
      <w:r>
        <w:rPr>
          <w:rFonts w:ascii="Times New Roman" w:eastAsia="宋体"/>
          <w:sz w:val="21"/>
        </w:rPr>
        <w:t xml:space="preserve">）：</w:t>
      </w:r>
    </w:p>
    <w:p>
      <w:pPr/>
      <w:r>
        <w:rPr>
          <w:b/>
          <w:rFonts w:ascii="Times New Roman" w:eastAsia="宋体"/>
          <w:sz w:val="21"/>
        </w:rPr>
        <w:t xml:space="preserve">附件 1</w:t>
      </w:r>
      <w:r>
        <w:rPr>
          <w:rFonts w:ascii="Times New Roman" w:eastAsia="宋体"/>
          <w:sz w:val="21"/>
        </w:rPr>
        <w:t xml:space="preserve">　中共上海财经大学党委常委会议纪要（上财委会〔2019〕5 号）——</w:t>
      </w:r>
      <w:r>
        <w:rPr>
          <w:b/>
          <w:rFonts w:ascii="Times New Roman" w:eastAsia="宋体"/>
          <w:sz w:val="21"/>
        </w:rPr>
        <w:t xml:space="preserve">已具备</w:t>
      </w:r>
    </w:p>
    <w:p>
      <w:pPr/>
      <w:r>
        <w:rPr>
          <w:b/>
          <w:rFonts w:ascii="Times New Roman" w:eastAsia="宋体"/>
          <w:sz w:val="21"/>
        </w:rPr>
        <w:t xml:space="preserve">附件 2</w:t>
      </w:r>
      <w:r>
        <w:rPr>
          <w:rFonts w:ascii="Times New Roman" w:eastAsia="宋体"/>
          <w:sz w:val="21"/>
        </w:rPr>
        <w:t xml:space="preserve">　项目资金筹措方案说明——</w:t>
      </w:r>
      <w:r>
        <w:rPr>
          <w:b/>
          <w:rFonts w:ascii="Times New Roman" w:eastAsia="宋体"/>
          <w:sz w:val="21"/>
        </w:rPr>
        <w:t xml:space="preserve">已具备</w:t>
      </w:r>
    </w:p>
    <w:p>
      <w:pPr/>
      <w:r>
        <w:rPr>
          <w:b/>
          <w:rFonts w:ascii="Times New Roman" w:eastAsia="宋体"/>
          <w:sz w:val="21"/>
        </w:rPr>
        <w:t xml:space="preserve">附件 3</w:t>
      </w:r>
      <w:r>
        <w:rPr>
          <w:rFonts w:ascii="Times New Roman" w:eastAsia="宋体"/>
          <w:sz w:val="21"/>
        </w:rPr>
        <w:t xml:space="preserve">　上海财经大学虹口校区规划总平面图——</w:t>
      </w:r>
      <w:r>
        <w:rPr>
          <w:b/>
          <w:rFonts w:ascii="Times New Roman" w:eastAsia="宋体"/>
          <w:sz w:val="21"/>
        </w:rPr>
        <w:t xml:space="preserve">已具备</w:t>
      </w:r>
    </w:p>
    <w:p>
      <w:pPr/>
      <w:r>
        <w:rPr>
          <w:b/>
          <w:rFonts w:ascii="Times New Roman" w:eastAsia="宋体"/>
          <w:sz w:val="21"/>
        </w:rPr>
        <w:t xml:space="preserve">附件 4</w:t>
      </w:r>
      <w:r>
        <w:rPr>
          <w:rFonts w:ascii="Times New Roman" w:eastAsia="宋体"/>
          <w:sz w:val="21"/>
        </w:rPr>
        <w:t xml:space="preserve">　项目设计方案图纸——</w:t>
      </w:r>
      <w:r>
        <w:rPr>
          <w:b/>
          <w:rFonts w:ascii="Times New Roman" w:eastAsia="宋体"/>
          <w:sz w:val="21"/>
        </w:rPr>
        <w:t xml:space="preserve">另附</w:t>
      </w:r>
    </w:p>
    <w:p>
      <w:pPr/>
      <w:r>
        <w:rPr>
          <w:b/>
          <w:rFonts w:ascii="Times New Roman" w:eastAsia="宋体"/>
          <w:sz w:val="21"/>
        </w:rPr>
        <w:t xml:space="preserve">附件 5</w:t>
      </w:r>
      <w:r>
        <w:rPr>
          <w:rFonts w:ascii="Times New Roman" w:eastAsia="宋体"/>
          <w:sz w:val="21"/>
        </w:rPr>
        <w:t xml:space="preserve">　上海财经大学中山北一路校区原有第五教学楼拆除手续——</w:t>
      </w:r>
      <w:r>
        <w:rPr>
          <w:b/>
          <w:rFonts w:ascii="Times New Roman" w:eastAsia="宋体"/>
          <w:sz w:val="21"/>
        </w:rPr>
        <w:t xml:space="preserve">待补充</w:t>
      </w:r>
      <w:r>
        <w:rPr>
          <w:b/>
          <w:rFonts w:ascii="Times New Roman" w:eastAsia="宋体"/>
          <w:sz w:val="21"/>
        </w:rPr>
        <w:t xml:space="preserve">（原有第五教学楼拆除手续：待补充——原文：拆除手续正同步进行办理中；附件清单亦标注（待补充）。）</w:t>
      </w:r>
    </w:p>
    <w:p>
      <w:pPr/>
      <w:r>
        <w:rPr>
          <w:b/>
          <w:rFonts w:ascii="Times New Roman" w:eastAsia="宋体"/>
          <w:sz w:val="21"/>
        </w:rPr>
        <w:t xml:space="preserve">附件 6</w:t>
      </w:r>
      <w:r>
        <w:rPr>
          <w:rFonts w:ascii="Times New Roman" w:eastAsia="宋体"/>
          <w:sz w:val="21"/>
        </w:rPr>
        <w:t xml:space="preserve">　国拨资金批复文件——</w:t>
      </w:r>
      <w:r>
        <w:rPr>
          <w:b/>
          <w:rFonts w:ascii="Times New Roman" w:eastAsia="宋体"/>
          <w:sz w:val="21"/>
        </w:rPr>
        <w:t xml:space="preserve">待补充</w:t>
      </w:r>
      <w:r>
        <w:rPr>
          <w:b/>
          <w:rFonts w:ascii="Times New Roman" w:eastAsia="宋体"/>
          <w:sz w:val="21"/>
        </w:rPr>
        <w:t xml:space="preserve">（国拨资金批复文件：待补充——资金筹措方案列出申请国拨资金 6000 万元，但附件未含上级批复文件。）</w:t>
      </w:r>
    </w:p>
    <w:p>
      <w:pPr>
        <w:ind w:left="420"/>
      </w:pPr>
      <w:r>
        <w:rPr>
          <w:rFonts w:ascii="Times New Roman" w:eastAsia="宋体"/>
          <w:sz w:val="21"/>
        </w:rPr>
        <w:t xml:space="preserve">缺件是评审退回补正的常见原因。</w:t>
      </w:r>
      <w:r>
        <w:rPr>
          <w:b/>
          <w:rFonts w:ascii="Times New Roman" w:eastAsia="宋体"/>
          <w:sz w:val="21"/>
        </w:rPr>
        <w:t xml:space="preserve">主动标注缺件反而优于含糊处理</w:t>
      </w:r>
      <w:r>
        <w:rPr>
          <w:rFonts w:ascii="Times New Roman" w:eastAsia="宋体"/>
          <w:sz w:val="21"/>
        </w:rPr>
        <w:t xml:space="preserve">；本条已按「待补充」显式呈现，未列为已具备。</w:t>
      </w:r>
    </w:p>
    <w:p>
      <w:pPr>
        <w:pStyle w:val="Heading1"/>
      </w:pPr>
      <w:r>
        <w:rPr>
          <w:rFonts w:ascii="Times New Roman" w:eastAsia="宋体"/>
          <w:sz w:val="21"/>
        </w:rPr>
        <w:t xml:space="preserve">附录一　本稿的产生方式与数据来源</w:t>
      </w:r>
    </w:p>
    <w:p>
      <w:pPr/>
      <w:r>
        <w:rPr>
          <w:b/>
          <w:rFonts w:ascii="Times New Roman" w:eastAsia="宋体"/>
          <w:sz w:val="21"/>
        </w:rPr>
        <w:t xml:space="preserve">（一）本稿是什么</w:t>
      </w:r>
      <w:r>
        <w:rPr>
          <w:rFonts w:ascii="Times New Roman" w:eastAsia="宋体"/>
          <w:sz w:val="21"/>
        </w:rPr>
        <w:t xml:space="preserve">。本稿是以本项目可行性研究报告处理而成的</w:t>
      </w:r>
      <w:r>
        <w:rPr>
          <w:b/>
          <w:rFonts w:ascii="Times New Roman" w:eastAsia="宋体"/>
          <w:sz w:val="21"/>
        </w:rPr>
        <w:t xml:space="preserve">结构化知识资产</w:t>
      </w:r>
      <w:r>
        <w:rPr>
          <w:rFonts w:ascii="Times New Roman" w:eastAsia="宋体"/>
          <w:sz w:val="21"/>
        </w:rPr>
        <w:t xml:space="preserve">为数据源，沿章节骨架装配生成的报告还原稿。它不同于直接重写原文档：本稿的每一个数值都来自事实图谱节点，派生量由规则算出，技术判定的依据引用到外部规范条款，冲突与缺口显式呈现。</w:t>
      </w:r>
    </w:p>
    <w:p>
      <w:pPr/>
      <w:r>
        <w:rPr>
          <w:b/>
          <w:rFonts w:ascii="Times New Roman" w:eastAsia="宋体"/>
          <w:sz w:val="21"/>
        </w:rPr>
        <w:t xml:space="preserve">（二）分层装配</w:t>
      </w:r>
      <w:r>
        <w:rPr>
          <w:rFonts w:ascii="Times New Roman" w:eastAsia="宋体"/>
          <w:sz w:val="21"/>
        </w:rPr>
        <w:t xml:space="preserve">。</w:t>
      </w:r>
    </w:p>
    <w:p>
      <w:pPr/>
      <w:r>
        <w:rPr>
          <w:b/>
          <w:rFonts w:ascii="Times New Roman" w:eastAsia="宋体"/>
          <w:sz w:val="21"/>
        </w:rPr>
        <w:t xml:space="preserve">① 注入层</w:t>
      </w:r>
      <w:r>
        <w:rPr>
          <w:rFonts w:ascii="Times New Roman" w:eastAsia="宋体"/>
          <w:sz w:val="21"/>
        </w:rPr>
        <w:t xml:space="preserve">（每章恒定）：写作纪律、项目元信息、法定大纲覆盖核销表、逐章索引、冲突清单、缺口清单、依据判定要点、术语与量纲口径。</w:t>
      </w:r>
    </w:p>
    <w:p>
      <w:pPr/>
      <w:r>
        <w:rPr>
          <w:b/>
          <w:rFonts w:ascii="Times New Roman" w:eastAsia="宋体"/>
          <w:sz w:val="21"/>
        </w:rPr>
        <w:t xml:space="preserve">② 按节层</w:t>
      </w:r>
      <w:r>
        <w:rPr>
          <w:rFonts w:ascii="Times New Roman" w:eastAsia="宋体"/>
          <w:sz w:val="21"/>
        </w:rPr>
        <w:t xml:space="preserve">：16 个章节工作包，每包含本章 `must_cover`（法定内容项）、事实节点（含 `kind`/`caliber`/`status`/`instruction`）、论断（Toulmin 六元组）、本章冲突与缺口、返回契约。</w:t>
      </w:r>
    </w:p>
    <w:p>
      <w:pPr/>
      <w:r>
        <w:rPr>
          <w:b/>
          <w:rFonts w:ascii="Times New Roman" w:eastAsia="宋体"/>
          <w:sz w:val="21"/>
        </w:rPr>
        <w:t xml:space="preserve">③ 工具层</w:t>
      </w:r>
      <w:r>
        <w:rPr>
          <w:rFonts w:ascii="Times New Roman" w:eastAsia="宋体"/>
          <w:sz w:val="21"/>
        </w:rPr>
        <w:t xml:space="preserve">：章节骨架（段落功能顺序、表格列结构、论证句式槽位）、节点查询、规则推导解释、证据检索、跨章引用位置查询。</w:t>
      </w:r>
    </w:p>
    <w:p>
      <w:pPr/>
      <w:r>
        <w:rPr>
          <w:b/>
          <w:rFonts w:ascii="Times New Roman" w:eastAsia="宋体"/>
          <w:sz w:val="21"/>
        </w:rPr>
        <w:t xml:space="preserve">（三）数值的单一事实源</w:t>
      </w:r>
      <w:r>
        <w:rPr>
          <w:rFonts w:ascii="Times New Roman" w:eastAsia="宋体"/>
          <w:sz w:val="21"/>
        </w:rPr>
        <w:t xml:space="preserve">。正文中的数值共来自 1665 个量级的节点集合（本项目图谱共收录事实节点 343 个唯一节点、358 次陈述），不存在手打数字。派生量的计算均给出算式与复核结论；计算受阻于未裁决冲突或缺口径的，本稿留白而不给单一值。</w:t>
      </w:r>
    </w:p>
    <w:p>
      <w:pPr/>
      <w:r>
        <w:rPr>
          <w:b/>
          <w:rFonts w:ascii="Times New Roman" w:eastAsia="宋体"/>
          <w:sz w:val="21"/>
        </w:rPr>
        <w:t xml:space="preserve">（四）冲突与缺口的呈现纪律</w:t>
      </w:r>
      <w:r>
        <w:rPr>
          <w:rFonts w:ascii="Times New Roman" w:eastAsia="宋体"/>
          <w:sz w:val="21"/>
        </w:rPr>
        <w:t xml:space="preserve">。</w:t>
      </w:r>
    </w:p>
    <w:p>
      <w:pPr/>
      <w:r>
        <w:rPr>
          <w:b/>
          <w:rFonts w:ascii="Times New Roman" w:eastAsia="宋体"/>
          <w:sz w:val="21"/>
        </w:rPr>
        <w:t xml:space="preserve">冲突</w:t>
      </w:r>
      <w:r>
        <w:rPr>
          <w:rFonts w:ascii="Times New Roman" w:eastAsia="宋体"/>
          <w:sz w:val="21"/>
        </w:rPr>
        <w:t xml:space="preserve">：同一 (主体, 属性) 在不同章节取值不一致的，一律以「⚠ 待审」并列呈现，</w:t>
      </w:r>
      <w:r>
        <w:rPr>
          <w:b/>
          <w:rFonts w:ascii="Times New Roman" w:eastAsia="宋体"/>
          <w:sz w:val="21"/>
        </w:rPr>
        <w:t xml:space="preserve">不裁决、不取其一、不改数</w:t>
      </w:r>
      <w:r>
        <w:rPr>
          <w:rFonts w:ascii="Times New Roman" w:eastAsia="宋体"/>
          <w:sz w:val="21"/>
        </w:rPr>
        <w:t xml:space="preserve">。本稿共并列呈现 15 条待审事项。</w:t>
      </w:r>
    </w:p>
    <w:p>
      <w:pPr/>
      <w:r>
        <w:rPr>
          <w:b/>
          <w:rFonts w:ascii="Times New Roman" w:eastAsia="宋体"/>
          <w:sz w:val="21"/>
        </w:rPr>
        <w:t xml:space="preserve">缺口</w:t>
      </w:r>
      <w:r>
        <w:rPr>
          <w:rFonts w:ascii="Times New Roman" w:eastAsia="宋体"/>
          <w:sz w:val="21"/>
        </w:rPr>
        <w:t xml:space="preserve">：原文未给出的口径，正文以「待补充」「待 X 确认后生成」类定性措辞留白，</w:t>
      </w:r>
      <w:r>
        <w:rPr>
          <w:b/>
          <w:rFonts w:ascii="Times New Roman" w:eastAsia="宋体"/>
          <w:sz w:val="21"/>
        </w:rPr>
        <w:t xml:space="preserve">不估算、不套用同类项目、不写「暂按经验值」</w:t>
      </w:r>
      <w:r>
        <w:rPr>
          <w:rFonts w:ascii="Times New Roman" w:eastAsia="宋体"/>
          <w:sz w:val="21"/>
        </w:rPr>
        <w:t xml:space="preserve">。本稿共登记 15 条缺口。</w:t>
      </w:r>
    </w:p>
    <w:p>
      <w:pPr/>
      <w:r>
        <w:rPr>
          <w:b/>
          <w:rFonts w:ascii="Times New Roman" w:eastAsia="宋体"/>
          <w:sz w:val="21"/>
        </w:rPr>
        <w:t xml:space="preserve">派生差异</w:t>
      </w:r>
      <w:r>
        <w:rPr>
          <w:rFonts w:ascii="Times New Roman" w:eastAsia="宋体"/>
          <w:sz w:val="21"/>
        </w:rPr>
        <w:t xml:space="preserve">：由规则重算得到的值与原文声明值不一致的，两值并列并给出差额与占比，同样按「待审」处理。</w:t>
      </w:r>
    </w:p>
    <w:p>
      <w:pPr/>
      <w:r>
        <w:rPr>
          <w:b/>
          <w:rFonts w:ascii="Times New Roman" w:eastAsia="宋体"/>
          <w:sz w:val="21"/>
        </w:rPr>
        <w:t xml:space="preserve">（五）依据层</w:t>
      </w:r>
      <w:r>
        <w:rPr>
          <w:rFonts w:ascii="Times New Roman" w:eastAsia="宋体"/>
          <w:sz w:val="21"/>
        </w:rPr>
        <w:t xml:space="preserve">。本稿引用的规范与政策条款来自 20 份外部检索文件（含来源 URL、sha256 与检索状态），共建成 22 条条款节点、17 条取值域约束（其中 7 条为强制性条文）、15 条报告—依据绑定。复核结论分为四态：</w:t>
      </w:r>
      <w:r>
        <w:rPr>
          <w:b/>
          <w:rFonts w:ascii="Times New Roman" w:eastAsia="宋体"/>
          <w:sz w:val="21"/>
        </w:rPr>
        <w:t xml:space="preserve">合规 / 不合规 / 待审 / 待核查</w:t>
      </w:r>
      <w:r>
        <w:rPr>
          <w:rFonts w:ascii="Times New Roman" w:eastAsia="宋体"/>
          <w:sz w:val="21"/>
        </w:rPr>
        <w:t xml:space="preserve">。其中「待核查」表示</w:t>
      </w:r>
      <w:r>
        <w:rPr>
          <w:b/>
          <w:rFonts w:ascii="Times New Roman" w:eastAsia="宋体"/>
          <w:sz w:val="21"/>
        </w:rPr>
        <w:t xml:space="preserve">依据原文未取到，因此不下判定</w:t>
      </w:r>
      <w:r>
        <w:rPr>
          <w:rFonts w:ascii="Times New Roman" w:eastAsia="宋体"/>
          <w:sz w:val="21"/>
        </w:rPr>
        <w:t xml:space="preserve">——本稿不以沾边内容替代缺失依据。</w:t>
      </w:r>
    </w:p>
    <w:p>
      <w:pPr/>
      <w:r>
        <w:rPr>
          <w:b/>
          <w:rFonts w:ascii="Times New Roman" w:eastAsia="宋体"/>
          <w:sz w:val="21"/>
        </w:rPr>
        <w:t xml:space="preserve">（六）本稿的边界</w:t>
      </w:r>
      <w:r>
        <w:rPr>
          <w:rFonts w:ascii="Times New Roman" w:eastAsia="宋体"/>
          <w:sz w:val="21"/>
        </w:rPr>
        <w:t xml:space="preserve">。本稿不判断造价高低、人数是否合理，也不对任何数值的准确性负责（数值由建设单位、设计单位与造价单位提供）。本稿保证的是：法定内容不遗漏、事实在全文传播中不矛盾、每条论断可追溯到证据、变更影响可见、冲突与缺口显式待审。</w:t>
      </w:r>
    </w:p>
    <w:p>
      <w:pPr/>
      <w:r>
        <w:rPr>
          <w:b/>
          <w:rFonts w:ascii="Times New Roman" w:eastAsia="宋体"/>
          <w:sz w:val="21"/>
        </w:rPr>
        <w:t xml:space="preserve">（七）配套材料</w:t>
      </w:r>
      <w:r>
        <w:rPr>
          <w:rFonts w:ascii="Times New Roman" w:eastAsia="宋体"/>
          <w:sz w:val="21"/>
        </w:rPr>
        <w:t xml:space="preserve">。与本稿配套的还有：语料包（30 文件契约，入口 `manifest.yaml`）、16 个可复用资产域、依据层与合规复核、冲突待审清单、缺口清单、以及可观测的复现脚本。这些材料可供报审前的内部复核与后续阶段的持续维护使用。</w:t>
      </w:r>
    </w:p>
    <w:p>
      <w:pPr>
        <w:pStyle w:val="Heading1"/>
      </w:pPr>
      <w:r>
        <w:rPr>
          <w:rFonts w:ascii="Times New Roman" w:eastAsia="宋体"/>
          <w:sz w:val="21"/>
        </w:rPr>
        <w:t xml:space="preserve">附录二　待审事项与缺口汇总</w:t>
      </w:r>
    </w:p>
    <w:p>
      <w:pPr/>
      <w:r>
        <w:rPr>
          <w:rFonts w:ascii="Times New Roman" w:eastAsia="宋体"/>
          <w:sz w:val="21"/>
        </w:rPr>
        <w:t xml:space="preserve">本附录汇总本稿全部</w:t>
      </w:r>
      <w:r>
        <w:rPr>
          <w:b/>
          <w:rFonts w:ascii="Times New Roman" w:eastAsia="宋体"/>
          <w:sz w:val="21"/>
        </w:rPr>
        <w:t xml:space="preserve">待审事项</w:t>
      </w:r>
      <w:r>
        <w:rPr>
          <w:rFonts w:ascii="Times New Roman" w:eastAsia="宋体"/>
          <w:sz w:val="21"/>
        </w:rPr>
        <w:t xml:space="preserve">与</w:t>
      </w:r>
      <w:r>
        <w:rPr>
          <w:b/>
          <w:rFonts w:ascii="Times New Roman" w:eastAsia="宋体"/>
          <w:sz w:val="21"/>
        </w:rPr>
        <w:t xml:space="preserve">缺口事项</w:t>
      </w:r>
      <w:r>
        <w:rPr>
          <w:rFonts w:ascii="Times New Roman" w:eastAsia="宋体"/>
          <w:sz w:val="21"/>
        </w:rPr>
        <w:t xml:space="preserve">，供报审前逐条核销。待审事项的处置原则是「并列呈现、不裁决」；缺口事项的处置原则是「显式留白、不估算」。</w:t>
      </w:r>
    </w:p>
    <w:p>
      <w:pPr>
        <w:pStyle w:val="Heading2"/>
      </w:pPr>
      <w:r>
        <w:rPr>
          <w:rFonts w:ascii="Times New Roman" w:eastAsia="宋体"/>
          <w:sz w:val="21"/>
        </w:rPr>
        <w:t xml:space="preserve">附录 2.1　待审事项汇总</w:t>
      </w:r>
    </w:p>
    <w:p>
      <w:pPr/>
      <w:r>
        <w:rPr>
          <w:b/>
          <w:rFonts w:ascii="Times New Roman" w:eastAsia="宋体"/>
          <w:sz w:val="21"/>
        </w:rPr>
        <w:t xml:space="preserve">附表A-1 待审事项汇总</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w:t>
            </w:r>
          </w:p>
        </w:tc>
        <w:tc>
          <w:tcPr>
            <w:tcW w:w="0" w:type="auto"/>
          </w:tcPr>
          <w:p>
            <w:pPr/>
            <w:r>
              <w:rPr>
                <w:b/>
                <w:rFonts w:ascii="Times New Roman" w:eastAsia="宋体"/>
                <w:sz w:val="21"/>
              </w:rPr>
              <w:t xml:space="preserve">类型</w:t>
            </w:r>
          </w:p>
        </w:tc>
        <w:tc>
          <w:tcPr>
            <w:tcW w:w="0" w:type="auto"/>
          </w:tcPr>
          <w:p>
            <w:pPr/>
            <w:r>
              <w:rPr>
                <w:b/>
                <w:rFonts w:ascii="Times New Roman" w:eastAsia="宋体"/>
                <w:sz w:val="21"/>
              </w:rPr>
              <w:t xml:space="preserve">主体 · 属性</w:t>
            </w:r>
          </w:p>
        </w:tc>
        <w:tc>
          <w:tcPr>
            <w:tcW w:w="0" w:type="auto"/>
          </w:tcPr>
          <w:p>
            <w:pPr/>
            <w:r>
              <w:rPr>
                <w:b/>
                <w:rFonts w:ascii="Times New Roman" w:eastAsia="宋体"/>
                <w:sz w:val="21"/>
              </w:rPr>
              <w:t xml:space="preserve">并列取值</w:t>
            </w:r>
          </w:p>
        </w:tc>
        <w:tc>
          <w:tcPr>
            <w:tcW w:w="0" w:type="auto"/>
          </w:tcPr>
          <w:p>
            <w:pPr/>
            <w:r>
              <w:rPr>
                <w:b/>
                <w:rFonts w:ascii="Times New Roman" w:eastAsia="宋体"/>
                <w:sz w:val="21"/>
              </w:rPr>
              <w:t xml:space="preserve">说明</w:t>
            </w:r>
          </w:p>
        </w:tc>
      </w:tr>
      <w:tr>
        <w:tc>
          <w:tcPr>
            <w:tcW w:w="0" w:type="auto"/>
          </w:tcPr>
          <w:p>
            <w:pPr/>
            <w:r>
              <w:rPr>
                <w:rFonts w:ascii="Times New Roman" w:eastAsia="宋体"/>
                <w:sz w:val="21"/>
              </w:rPr>
              <w:t xml:space="preserve">1</w:t>
            </w:r>
          </w:p>
        </w:tc>
        <w:tc>
          <w:tcPr>
            <w:tcW w:w="0" w:type="auto"/>
          </w:tcPr>
          <w:p>
            <w:pPr/>
            <w:r>
              <w:rPr>
                <w:rFonts w:ascii="Times New Roman" w:eastAsia="宋体"/>
                <w:sz w:val="21"/>
              </w:rPr>
              <w:t xml:space="preserve">numeric</w:t>
            </w:r>
          </w:p>
        </w:tc>
        <w:tc>
          <w:tcPr>
            <w:tcW w:w="0" w:type="auto"/>
          </w:tcPr>
          <w:p>
            <w:pPr/>
            <w:r>
              <w:rPr>
                <w:rFonts w:ascii="Times New Roman" w:eastAsia="宋体"/>
                <w:sz w:val="21"/>
              </w:rPr>
              <w:t xml:space="preserve">本项目 · 总建筑面积</w:t>
            </w:r>
          </w:p>
        </w:tc>
        <w:tc>
          <w:tcPr>
            <w:tcW w:w="0" w:type="auto"/>
          </w:tcPr>
          <w:p>
            <w:pPr/>
            <w:r>
              <w:rPr>
                <w:rFonts w:ascii="Times New Roman" w:eastAsia="宋体"/>
                <w:sz w:val="21"/>
              </w:rPr>
              <w:t xml:space="preserve">18219 / 18319</w:t>
            </w:r>
          </w:p>
        </w:tc>
        <w:tc>
          <w:tcPr>
            <w:tcW w:w="0" w:type="auto"/>
          </w:tcPr>
          <w:p>
            <w:pPr/>
            <w:r>
              <w:rPr>
                <w:rFonts w:ascii="Times New Roman" w:eastAsia="宋体"/>
                <w:sz w:val="21"/>
              </w:rPr>
              <w:t xml:space="preserve">同 (主体, 属性) 在不同章节取值不一致，按「待审」呈现，未擅自裁决</w:t>
            </w:r>
          </w:p>
        </w:tc>
      </w:tr>
      <w:tr>
        <w:tc>
          <w:tcPr>
            <w:tcW w:w="0" w:type="auto"/>
          </w:tcPr>
          <w:p>
            <w:pPr/>
            <w:r>
              <w:rPr>
                <w:rFonts w:ascii="Times New Roman" w:eastAsia="宋体"/>
                <w:sz w:val="21"/>
              </w:rPr>
              <w:t xml:space="preserve">2</w:t>
            </w:r>
          </w:p>
        </w:tc>
        <w:tc>
          <w:tcPr>
            <w:tcW w:w="0" w:type="auto"/>
          </w:tcPr>
          <w:p>
            <w:pPr/>
            <w:r>
              <w:rPr>
                <w:rFonts w:ascii="Times New Roman" w:eastAsia="宋体"/>
                <w:sz w:val="21"/>
              </w:rPr>
              <w:t xml:space="preserve">numeric</w:t>
            </w:r>
          </w:p>
        </w:tc>
        <w:tc>
          <w:tcPr>
            <w:tcW w:w="0" w:type="auto"/>
          </w:tcPr>
          <w:p>
            <w:pPr/>
            <w:r>
              <w:rPr>
                <w:rFonts w:ascii="Times New Roman" w:eastAsia="宋体"/>
                <w:sz w:val="21"/>
              </w:rPr>
              <w:t xml:space="preserve">办公用水（288 人） · 用水定额</w:t>
            </w:r>
          </w:p>
        </w:tc>
        <w:tc>
          <w:tcPr>
            <w:tcW w:w="0" w:type="auto"/>
          </w:tcPr>
          <w:p>
            <w:pPr/>
            <w:r>
              <w:rPr>
                <w:rFonts w:ascii="Times New Roman" w:eastAsia="宋体"/>
                <w:sz w:val="21"/>
              </w:rPr>
              <w:t xml:space="preserve">35 / 50</w:t>
            </w:r>
          </w:p>
        </w:tc>
        <w:tc>
          <w:tcPr>
            <w:tcW w:w="0" w:type="auto"/>
          </w:tcPr>
          <w:p>
            <w:pPr/>
            <w:r>
              <w:rPr>
                <w:rFonts w:ascii="Times New Roman" w:eastAsia="宋体"/>
                <w:sz w:val="21"/>
              </w:rPr>
              <w:t xml:space="preserve">同 (主体, 属性) 在不同章节取值不一致，按「待审」呈现，未擅自裁决</w:t>
            </w:r>
          </w:p>
        </w:tc>
      </w:tr>
      <w:tr>
        <w:tc>
          <w:tcPr>
            <w:tcW w:w="0" w:type="auto"/>
          </w:tcPr>
          <w:p>
            <w:pPr/>
            <w:r>
              <w:rPr>
                <w:rFonts w:ascii="Times New Roman" w:eastAsia="宋体"/>
                <w:sz w:val="21"/>
              </w:rPr>
              <w:t xml:space="preserve">3</w:t>
            </w:r>
          </w:p>
        </w:tc>
        <w:tc>
          <w:tcPr>
            <w:tcW w:w="0" w:type="auto"/>
          </w:tcPr>
          <w:p>
            <w:pPr/>
            <w:r>
              <w:rPr>
                <w:rFonts w:ascii="Times New Roman" w:eastAsia="宋体"/>
                <w:sz w:val="21"/>
              </w:rPr>
              <w:t xml:space="preserve">derivation</w:t>
            </w:r>
          </w:p>
        </w:tc>
        <w:tc>
          <w:tcPr>
            <w:tcW w:w="0" w:type="auto"/>
          </w:tcPr>
          <w:p>
            <w:pPr/>
            <w:r>
              <w:rPr>
                <w:rFonts w:ascii="Times New Roman" w:eastAsia="宋体"/>
                <w:sz w:val="21"/>
              </w:rPr>
              <w:t xml:space="preserve">建筑高度控制 · 派生值 vs 原文值</w:t>
            </w:r>
          </w:p>
        </w:tc>
        <w:tc>
          <w:tcPr>
            <w:tcW w:w="0" w:type="auto"/>
          </w:tcPr>
          <w:p>
            <w:pPr/>
            <w:r>
              <w:rPr>
                <w:rFonts w:ascii="Times New Roman" w:eastAsia="宋体"/>
                <w:sz w:val="21"/>
              </w:rPr>
              <w:t xml:space="preserve">原文 60.0 / 重算 49.0</w:t>
            </w:r>
          </w:p>
        </w:tc>
        <w:tc>
          <w:tcPr>
            <w:tcW w:w="0" w:type="auto"/>
          </w:tcPr>
          <w:p>
            <w:pPr/>
            <w:r>
              <w:rPr>
                <w:rFonts w:ascii="Times New Roman" w:eastAsia="宋体"/>
                <w:sz w:val="21"/>
              </w:rPr>
              <w:t xml:space="preserve">按规则 R-建筑高度校核 重算得 49.0，原文写 60.0（差 11.0，18.33%）；按铁律不擅自改数</w:t>
            </w:r>
          </w:p>
        </w:tc>
      </w:tr>
      <w:tr>
        <w:tc>
          <w:tcPr>
            <w:tcW w:w="0" w:type="auto"/>
          </w:tcPr>
          <w:p>
            <w:pPr/>
            <w:r>
              <w:rPr>
                <w:rFonts w:ascii="Times New Roman" w:eastAsia="宋体"/>
                <w:sz w:val="21"/>
              </w:rPr>
              <w:t xml:space="preserve">4</w:t>
            </w:r>
          </w:p>
        </w:tc>
        <w:tc>
          <w:tcPr>
            <w:tcW w:w="0" w:type="auto"/>
          </w:tcPr>
          <w:p>
            <w:pPr/>
            <w:r>
              <w:rPr>
                <w:rFonts w:ascii="Times New Roman" w:eastAsia="宋体"/>
                <w:sz w:val="21"/>
              </w:rPr>
              <w:t xml:space="preserve">derivation</w:t>
            </w:r>
          </w:p>
        </w:tc>
        <w:tc>
          <w:tcPr>
            <w:tcW w:w="0" w:type="auto"/>
          </w:tcPr>
          <w:p>
            <w:pPr/>
            <w:r>
              <w:rPr>
                <w:rFonts w:ascii="Times New Roman" w:eastAsia="宋体"/>
                <w:sz w:val="21"/>
              </w:rPr>
              <w:t xml:space="preserve">年总耗电量 · 派生值 vs 原文值</w:t>
            </w:r>
          </w:p>
        </w:tc>
        <w:tc>
          <w:tcPr>
            <w:tcW w:w="0" w:type="auto"/>
          </w:tcPr>
          <w:p>
            <w:pPr/>
            <w:r>
              <w:rPr>
                <w:rFonts w:ascii="Times New Roman" w:eastAsia="宋体"/>
                <w:sz w:val="21"/>
              </w:rPr>
              <w:t xml:space="preserve">原文 72.0 / 重算 72.2</w:t>
            </w:r>
          </w:p>
        </w:tc>
        <w:tc>
          <w:tcPr>
            <w:tcW w:w="0" w:type="auto"/>
          </w:tcPr>
          <w:p>
            <w:pPr/>
            <w:r>
              <w:rPr>
                <w:rFonts w:ascii="Times New Roman" w:eastAsia="宋体"/>
                <w:sz w:val="21"/>
              </w:rPr>
              <w:t xml:space="preserve">按规则 R-年用电量 重算得 72.2，原文写 72.0（差 0.2，0.28%）；按铁律不擅自改数</w:t>
            </w:r>
          </w:p>
        </w:tc>
      </w:tr>
      <w:tr>
        <w:tc>
          <w:tcPr>
            <w:tcW w:w="0" w:type="auto"/>
          </w:tcPr>
          <w:p>
            <w:pPr/>
            <w:r>
              <w:rPr>
                <w:rFonts w:ascii="Times New Roman" w:eastAsia="宋体"/>
                <w:sz w:val="21"/>
              </w:rPr>
              <w:t xml:space="preserve">5</w:t>
            </w:r>
          </w:p>
        </w:tc>
        <w:tc>
          <w:tcPr>
            <w:tcW w:w="0" w:type="auto"/>
          </w:tcPr>
          <w:p>
            <w:pPr/>
            <w:r>
              <w:rPr>
                <w:rFonts w:ascii="Times New Roman" w:eastAsia="宋体"/>
                <w:sz w:val="21"/>
              </w:rPr>
              <w:t xml:space="preserve">derivation</w:t>
            </w:r>
          </w:p>
        </w:tc>
        <w:tc>
          <w:tcPr>
            <w:tcW w:w="0" w:type="auto"/>
          </w:tcPr>
          <w:p>
            <w:pPr/>
            <w:r>
              <w:rPr>
                <w:rFonts w:ascii="Times New Roman" w:eastAsia="宋体"/>
                <w:sz w:val="21"/>
              </w:rPr>
              <w:t xml:space="preserve">基本预备费 · 派生值 vs 原文值</w:t>
            </w:r>
          </w:p>
        </w:tc>
        <w:tc>
          <w:tcPr>
            <w:tcW w:w="0" w:type="auto"/>
          </w:tcPr>
          <w:p>
            <w:pPr/>
            <w:r>
              <w:rPr>
                <w:rFonts w:ascii="Times New Roman" w:eastAsia="宋体"/>
                <w:sz w:val="21"/>
              </w:rPr>
              <w:t xml:space="preserve">原文 618.0 / 重算 617.95</w:t>
            </w:r>
          </w:p>
        </w:tc>
        <w:tc>
          <w:tcPr>
            <w:tcW w:w="0" w:type="auto"/>
          </w:tcPr>
          <w:p>
            <w:pPr/>
            <w:r>
              <w:rPr>
                <w:rFonts w:ascii="Times New Roman" w:eastAsia="宋体"/>
                <w:sz w:val="21"/>
              </w:rPr>
              <w:t xml:space="preserve">按规则 R-基本预备费 重算得 617.95，原文写 618.0（差 0.05，0.01%）；按铁律不擅自改数</w:t>
            </w:r>
          </w:p>
        </w:tc>
      </w:tr>
      <w:tr>
        <w:tc>
          <w:tcPr>
            <w:tcW w:w="0" w:type="auto"/>
          </w:tcPr>
          <w:p>
            <w:pPr/>
            <w:r>
              <w:rPr>
                <w:rFonts w:ascii="Times New Roman" w:eastAsia="宋体"/>
                <w:sz w:val="21"/>
              </w:rPr>
              <w:t xml:space="preserve">6</w:t>
            </w:r>
          </w:p>
        </w:tc>
        <w:tc>
          <w:tcPr>
            <w:tcW w:w="0" w:type="auto"/>
          </w:tcPr>
          <w:p>
            <w:pPr/>
            <w:r>
              <w:rPr>
                <w:rFonts w:ascii="Times New Roman" w:eastAsia="宋体"/>
                <w:sz w:val="21"/>
              </w:rPr>
              <w:t xml:space="preserve">derivation</w:t>
            </w:r>
          </w:p>
        </w:tc>
        <w:tc>
          <w:tcPr>
            <w:tcW w:w="0" w:type="auto"/>
          </w:tcPr>
          <w:p>
            <w:pPr/>
            <w:r>
              <w:rPr>
                <w:rFonts w:ascii="Times New Roman" w:eastAsia="宋体"/>
                <w:sz w:val="21"/>
              </w:rPr>
              <w:t xml:space="preserve">建筑安装工程费用 · 派生值 vs 原文值</w:t>
            </w:r>
          </w:p>
        </w:tc>
        <w:tc>
          <w:tcPr>
            <w:tcW w:w="0" w:type="auto"/>
          </w:tcPr>
          <w:p>
            <w:pPr/>
            <w:r>
              <w:rPr>
                <w:rFonts w:ascii="Times New Roman" w:eastAsia="宋体"/>
                <w:sz w:val="21"/>
              </w:rPr>
              <w:t xml:space="preserve">原文 11188.0 / 重算 11189.0</w:t>
            </w:r>
          </w:p>
        </w:tc>
        <w:tc>
          <w:tcPr>
            <w:tcW w:w="0" w:type="auto"/>
          </w:tcPr>
          <w:p>
            <w:pPr/>
            <w:r>
              <w:rPr>
                <w:rFonts w:ascii="Times New Roman" w:eastAsia="宋体"/>
                <w:sz w:val="21"/>
              </w:rPr>
              <w:t xml:space="preserve">按规则 R-建安工程费用 重算得 11189.0，原文写 11188.0（差 1.0，0.01%）；按铁律不擅自改数</w:t>
            </w:r>
          </w:p>
        </w:tc>
      </w:tr>
      <w:tr>
        <w:tc>
          <w:tcPr>
            <w:tcW w:w="0" w:type="auto"/>
          </w:tcPr>
          <w:p>
            <w:pPr/>
            <w:r>
              <w:rPr>
                <w:rFonts w:ascii="Times New Roman" w:eastAsia="宋体"/>
                <w:sz w:val="21"/>
              </w:rPr>
              <w:t xml:space="preserve">7</w:t>
            </w:r>
          </w:p>
        </w:tc>
        <w:tc>
          <w:tcPr>
            <w:tcW w:w="0" w:type="auto"/>
          </w:tcPr>
          <w:p>
            <w:pPr/>
            <w:r>
              <w:rPr>
                <w:rFonts w:ascii="Times New Roman" w:eastAsia="宋体"/>
                <w:sz w:val="21"/>
              </w:rPr>
              <w:t xml:space="preserve">derivation</w:t>
            </w:r>
          </w:p>
        </w:tc>
        <w:tc>
          <w:tcPr>
            <w:tcW w:w="0" w:type="auto"/>
          </w:tcPr>
          <w:p>
            <w:pPr/>
            <w:r>
              <w:rPr>
                <w:rFonts w:ascii="Times New Roman" w:eastAsia="宋体"/>
                <w:sz w:val="21"/>
              </w:rPr>
              <w:t xml:space="preserve">单体工程 · 派生值 vs 原文值</w:t>
            </w:r>
          </w:p>
        </w:tc>
        <w:tc>
          <w:tcPr>
            <w:tcW w:w="0" w:type="auto"/>
          </w:tcPr>
          <w:p>
            <w:pPr/>
            <w:r>
              <w:rPr>
                <w:rFonts w:ascii="Times New Roman" w:eastAsia="宋体"/>
                <w:sz w:val="21"/>
              </w:rPr>
              <w:t xml:space="preserve">原文 10828.0 / 重算 10827.0</w:t>
            </w:r>
          </w:p>
        </w:tc>
        <w:tc>
          <w:tcPr>
            <w:tcW w:w="0" w:type="auto"/>
          </w:tcPr>
          <w:p>
            <w:pPr/>
            <w:r>
              <w:rPr>
                <w:rFonts w:ascii="Times New Roman" w:eastAsia="宋体"/>
                <w:sz w:val="21"/>
              </w:rPr>
              <w:t xml:space="preserve">按规则 R-单体工程 重算得 10827.0，原文写 10828.0（差 1.0，0.01%）；按铁律不擅自改数</w:t>
            </w:r>
          </w:p>
        </w:tc>
      </w:tr>
      <w:tr>
        <w:tc>
          <w:tcPr>
            <w:tcW w:w="0" w:type="auto"/>
          </w:tcPr>
          <w:p>
            <w:pPr/>
            <w:r>
              <w:rPr>
                <w:rFonts w:ascii="Times New Roman" w:eastAsia="宋体"/>
                <w:sz w:val="21"/>
              </w:rPr>
              <w:t xml:space="preserve">8</w:t>
            </w:r>
          </w:p>
        </w:tc>
        <w:tc>
          <w:tcPr>
            <w:tcW w:w="0" w:type="auto"/>
          </w:tcPr>
          <w:p>
            <w:pPr/>
            <w:r>
              <w:rPr>
                <w:rFonts w:ascii="Times New Roman" w:eastAsia="宋体"/>
                <w:sz w:val="21"/>
              </w:rPr>
              <w:t xml:space="preserve">derivation</w:t>
            </w:r>
          </w:p>
        </w:tc>
        <w:tc>
          <w:tcPr>
            <w:tcW w:w="0" w:type="auto"/>
          </w:tcPr>
          <w:p>
            <w:pPr/>
            <w:r>
              <w:rPr>
                <w:rFonts w:ascii="Times New Roman" w:eastAsia="宋体"/>
                <w:sz w:val="21"/>
              </w:rPr>
              <w:t xml:space="preserve">安装工程 · 派生值 vs 原文值</w:t>
            </w:r>
          </w:p>
        </w:tc>
        <w:tc>
          <w:tcPr>
            <w:tcW w:w="0" w:type="auto"/>
          </w:tcPr>
          <w:p>
            <w:pPr/>
            <w:r>
              <w:rPr>
                <w:rFonts w:ascii="Times New Roman" w:eastAsia="宋体"/>
                <w:sz w:val="21"/>
              </w:rPr>
              <w:t xml:space="preserve">原文 3034.0 / 重算 3035.0</w:t>
            </w:r>
          </w:p>
        </w:tc>
        <w:tc>
          <w:tcPr>
            <w:tcW w:w="0" w:type="auto"/>
          </w:tcPr>
          <w:p>
            <w:pPr/>
            <w:r>
              <w:rPr>
                <w:rFonts w:ascii="Times New Roman" w:eastAsia="宋体"/>
                <w:sz w:val="21"/>
              </w:rPr>
              <w:t xml:space="preserve">按规则 R-安装工程 重算得 3035.0，原文写 3034.0（差 1.0，0.03%）；按铁律不擅自改数</w:t>
            </w:r>
          </w:p>
        </w:tc>
      </w:tr>
      <w:tr>
        <w:tc>
          <w:tcPr>
            <w:tcW w:w="0" w:type="auto"/>
          </w:tcPr>
          <w:p>
            <w:pPr/>
            <w:r>
              <w:rPr>
                <w:rFonts w:ascii="Times New Roman" w:eastAsia="宋体"/>
                <w:sz w:val="21"/>
              </w:rPr>
              <w:t xml:space="preserve">9</w:t>
            </w:r>
          </w:p>
        </w:tc>
        <w:tc>
          <w:tcPr>
            <w:tcW w:w="0" w:type="auto"/>
          </w:tcPr>
          <w:p>
            <w:pPr/>
            <w:r>
              <w:rPr>
                <w:rFonts w:ascii="Times New Roman" w:eastAsia="宋体"/>
                <w:sz w:val="21"/>
              </w:rPr>
              <w:t xml:space="preserve">derivation</w:t>
            </w:r>
          </w:p>
        </w:tc>
        <w:tc>
          <w:tcPr>
            <w:tcW w:w="0" w:type="auto"/>
          </w:tcPr>
          <w:p>
            <w:pPr/>
            <w:r>
              <w:rPr>
                <w:rFonts w:ascii="Times New Roman" w:eastAsia="宋体"/>
                <w:sz w:val="21"/>
              </w:rPr>
              <w:t xml:space="preserve">室外总体工程 · 派生值 vs 原文值</w:t>
            </w:r>
          </w:p>
        </w:tc>
        <w:tc>
          <w:tcPr>
            <w:tcW w:w="0" w:type="auto"/>
          </w:tcPr>
          <w:p>
            <w:pPr/>
            <w:r>
              <w:rPr>
                <w:rFonts w:ascii="Times New Roman" w:eastAsia="宋体"/>
                <w:sz w:val="21"/>
              </w:rPr>
              <w:t xml:space="preserve">原文 49.0 / 重算 52.0</w:t>
            </w:r>
          </w:p>
        </w:tc>
        <w:tc>
          <w:tcPr>
            <w:tcW w:w="0" w:type="auto"/>
          </w:tcPr>
          <w:p>
            <w:pPr/>
            <w:r>
              <w:rPr>
                <w:rFonts w:ascii="Times New Roman" w:eastAsia="宋体"/>
                <w:sz w:val="21"/>
              </w:rPr>
              <w:t xml:space="preserve">按规则 R-室外总体工程 重算得 52.0，原文写 49.0（差 3.0，6.12%）；按铁律不擅自改数</w:t>
            </w:r>
          </w:p>
        </w:tc>
      </w:tr>
      <w:tr>
        <w:tc>
          <w:tcPr>
            <w:tcW w:w="0" w:type="auto"/>
          </w:tcPr>
          <w:p>
            <w:pPr/>
            <w:r>
              <w:rPr>
                <w:rFonts w:ascii="Times New Roman" w:eastAsia="宋体"/>
                <w:sz w:val="21"/>
              </w:rPr>
              <w:t xml:space="preserve">10</w:t>
            </w:r>
          </w:p>
        </w:tc>
        <w:tc>
          <w:tcPr>
            <w:tcW w:w="0" w:type="auto"/>
          </w:tcPr>
          <w:p>
            <w:pPr/>
            <w:r>
              <w:rPr>
                <w:rFonts w:ascii="Times New Roman" w:eastAsia="宋体"/>
                <w:sz w:val="21"/>
              </w:rPr>
              <w:t xml:space="preserve">derivation</w:t>
            </w:r>
          </w:p>
        </w:tc>
        <w:tc>
          <w:tcPr>
            <w:tcW w:w="0" w:type="auto"/>
          </w:tcPr>
          <w:p>
            <w:pPr/>
            <w:r>
              <w:rPr>
                <w:rFonts w:ascii="Times New Roman" w:eastAsia="宋体"/>
                <w:sz w:val="21"/>
              </w:rPr>
              <w:t xml:space="preserve">工程建设其他费 · 派生值 vs 原文值</w:t>
            </w:r>
          </w:p>
        </w:tc>
        <w:tc>
          <w:tcPr>
            <w:tcW w:w="0" w:type="auto"/>
          </w:tcPr>
          <w:p>
            <w:pPr/>
            <w:r>
              <w:rPr>
                <w:rFonts w:ascii="Times New Roman" w:eastAsia="宋体"/>
                <w:sz w:val="21"/>
              </w:rPr>
              <w:t xml:space="preserve">原文 1171.0 / 重算 1170.0</w:t>
            </w:r>
          </w:p>
        </w:tc>
        <w:tc>
          <w:tcPr>
            <w:tcW w:w="0" w:type="auto"/>
          </w:tcPr>
          <w:p>
            <w:pPr/>
            <w:r>
              <w:rPr>
                <w:rFonts w:ascii="Times New Roman" w:eastAsia="宋体"/>
                <w:sz w:val="21"/>
              </w:rPr>
              <w:t xml:space="preserve">按规则 R-工程建设其他费 重算得 1170.0，原文写 1171.0（差 1.0，0.09%）；按铁律不擅自改数</w:t>
            </w:r>
          </w:p>
        </w:tc>
      </w:tr>
      <w:tr>
        <w:tc>
          <w:tcPr>
            <w:tcW w:w="0" w:type="auto"/>
          </w:tcPr>
          <w:p>
            <w:pPr/>
            <w:r>
              <w:rPr>
                <w:rFonts w:ascii="Times New Roman" w:eastAsia="宋体"/>
                <w:sz w:val="21"/>
              </w:rPr>
              <w:t xml:space="preserve">11</w:t>
            </w:r>
          </w:p>
        </w:tc>
        <w:tc>
          <w:tcPr>
            <w:tcW w:w="0" w:type="auto"/>
          </w:tcPr>
          <w:p>
            <w:pPr/>
            <w:r>
              <w:rPr>
                <w:rFonts w:ascii="Times New Roman" w:eastAsia="宋体"/>
                <w:sz w:val="21"/>
              </w:rPr>
              <w:t xml:space="preserve">spec_version</w:t>
            </w:r>
          </w:p>
        </w:tc>
        <w:tc>
          <w:tcPr>
            <w:tcW w:w="0" w:type="auto"/>
          </w:tcPr>
          <w:p>
            <w:pPr/>
            <w:r>
              <w:rPr>
                <w:rFonts w:ascii="Times New Roman" w:eastAsia="宋体"/>
                <w:sz w:val="21"/>
              </w:rPr>
              <w:t xml:space="preserve">无障碍设计规范 · 引用版本</w:t>
            </w:r>
          </w:p>
        </w:tc>
        <w:tc>
          <w:tcPr>
            <w:tcW w:w="0" w:type="auto"/>
          </w:tcPr>
          <w:p>
            <w:pPr/>
            <w:r>
              <w:rPr>
                <w:rFonts w:ascii="Times New Roman" w:eastAsia="宋体"/>
                <w:sz w:val="21"/>
              </w:rPr>
              <w:t xml:space="preserve">GB50673-2002 / GB50763-2012 / JGJ50-2001</w:t>
            </w:r>
          </w:p>
        </w:tc>
        <w:tc>
          <w:tcPr>
            <w:tcW w:w="0" w:type="auto"/>
          </w:tcPr>
          <w:p>
            <w:pPr/>
            <w:r>
              <w:rPr>
                <w:rFonts w:ascii="Times New Roman" w:eastAsia="宋体"/>
                <w:sz w:val="21"/>
              </w:rPr>
              <w:t xml:space="preserve">同一规范在本报告内出现 3 种版本：GB50763-2012、GB50673-2002、JGJ50-2001；属软约束版</w:t>
            </w:r>
          </w:p>
        </w:tc>
      </w:tr>
      <w:tr>
        <w:tc>
          <w:tcPr>
            <w:tcW w:w="0" w:type="auto"/>
          </w:tcPr>
          <w:p>
            <w:pPr/>
            <w:r>
              <w:rPr>
                <w:rFonts w:ascii="Times New Roman" w:eastAsia="宋体"/>
                <w:sz w:val="21"/>
              </w:rPr>
              <w:t xml:space="preserve">12</w:t>
            </w:r>
          </w:p>
        </w:tc>
        <w:tc>
          <w:tcPr>
            <w:tcW w:w="0" w:type="auto"/>
          </w:tcPr>
          <w:p>
            <w:pPr/>
            <w:r>
              <w:rPr>
                <w:rFonts w:ascii="Times New Roman" w:eastAsia="宋体"/>
                <w:sz w:val="21"/>
              </w:rPr>
              <w:t xml:space="preserve">spec_version</w:t>
            </w:r>
          </w:p>
        </w:tc>
        <w:tc>
          <w:tcPr>
            <w:tcW w:w="0" w:type="auto"/>
          </w:tcPr>
          <w:p>
            <w:pPr/>
            <w:r>
              <w:rPr>
                <w:rFonts w:ascii="Times New Roman" w:eastAsia="宋体"/>
                <w:sz w:val="21"/>
              </w:rPr>
              <w:t xml:space="preserve">公共建筑节能设计标准 · 引用版本</w:t>
            </w:r>
          </w:p>
        </w:tc>
        <w:tc>
          <w:tcPr>
            <w:tcW w:w="0" w:type="auto"/>
          </w:tcPr>
          <w:p>
            <w:pPr/>
            <w:r>
              <w:rPr>
                <w:rFonts w:ascii="Times New Roman" w:eastAsia="宋体"/>
                <w:sz w:val="21"/>
              </w:rPr>
              <w:t xml:space="preserve">DGJ08-107-2012 / DGJ08-107-2015 / GB50189-2005</w:t>
            </w:r>
          </w:p>
        </w:tc>
        <w:tc>
          <w:tcPr>
            <w:tcW w:w="0" w:type="auto"/>
          </w:tcPr>
          <w:p>
            <w:pPr/>
            <w:r>
              <w:rPr>
                <w:rFonts w:ascii="Times New Roman" w:eastAsia="宋体"/>
                <w:sz w:val="21"/>
              </w:rPr>
              <w:t xml:space="preserve">同一规范在本报告内出现 3 种版本：GB50189-2005、DGJ08-107-2012、DGJ08-107-2015</w:t>
            </w:r>
          </w:p>
        </w:tc>
      </w:tr>
      <w:tr>
        <w:tc>
          <w:tcPr>
            <w:tcW w:w="0" w:type="auto"/>
          </w:tcPr>
          <w:p>
            <w:pPr/>
            <w:r>
              <w:rPr>
                <w:rFonts w:ascii="Times New Roman" w:eastAsia="宋体"/>
                <w:sz w:val="21"/>
              </w:rPr>
              <w:t xml:space="preserve">13</w:t>
            </w:r>
          </w:p>
        </w:tc>
        <w:tc>
          <w:tcPr>
            <w:tcW w:w="0" w:type="auto"/>
          </w:tcPr>
          <w:p>
            <w:pPr/>
            <w:r>
              <w:rPr>
                <w:rFonts w:ascii="Times New Roman" w:eastAsia="宋体"/>
                <w:sz w:val="21"/>
              </w:rPr>
              <w:t xml:space="preserve">spec_version</w:t>
            </w:r>
          </w:p>
        </w:tc>
        <w:tc>
          <w:tcPr>
            <w:tcW w:w="0" w:type="auto"/>
          </w:tcPr>
          <w:p>
            <w:pPr/>
            <w:r>
              <w:rPr>
                <w:rFonts w:ascii="Times New Roman" w:eastAsia="宋体"/>
                <w:sz w:val="21"/>
              </w:rPr>
              <w:t xml:space="preserve">建筑照明设计标准 · 引用版本</w:t>
            </w:r>
          </w:p>
        </w:tc>
        <w:tc>
          <w:tcPr>
            <w:tcW w:w="0" w:type="auto"/>
          </w:tcPr>
          <w:p>
            <w:pPr/>
            <w:r>
              <w:rPr>
                <w:rFonts w:ascii="Times New Roman" w:eastAsia="宋体"/>
                <w:sz w:val="21"/>
              </w:rPr>
              <w:t xml:space="preserve">GB50034-2004 / GB50034-2013</w:t>
            </w:r>
          </w:p>
        </w:tc>
        <w:tc>
          <w:tcPr>
            <w:tcW w:w="0" w:type="auto"/>
          </w:tcPr>
          <w:p>
            <w:pPr/>
            <w:r>
              <w:rPr>
                <w:rFonts w:ascii="Times New Roman" w:eastAsia="宋体"/>
                <w:sz w:val="21"/>
              </w:rPr>
              <w:t xml:space="preserve">同一规范在本报告内出现 2 种版本：GB50034-2004、GB50034-2013；属软约束版本冲突，按「待审」呈现</w:t>
            </w:r>
          </w:p>
        </w:tc>
      </w:tr>
      <w:tr>
        <w:tc>
          <w:tcPr>
            <w:tcW w:w="0" w:type="auto"/>
          </w:tcPr>
          <w:p>
            <w:pPr/>
            <w:r>
              <w:rPr>
                <w:rFonts w:ascii="Times New Roman" w:eastAsia="宋体"/>
                <w:sz w:val="21"/>
              </w:rPr>
              <w:t xml:space="preserve">14</w:t>
            </w:r>
          </w:p>
        </w:tc>
        <w:tc>
          <w:tcPr>
            <w:tcW w:w="0" w:type="auto"/>
          </w:tcPr>
          <w:p>
            <w:pPr/>
            <w:r>
              <w:rPr>
                <w:rFonts w:ascii="Times New Roman" w:eastAsia="宋体"/>
                <w:sz w:val="21"/>
              </w:rPr>
              <w:t xml:space="preserve">spec_version</w:t>
            </w:r>
          </w:p>
        </w:tc>
        <w:tc>
          <w:tcPr>
            <w:tcW w:w="0" w:type="auto"/>
          </w:tcPr>
          <w:p>
            <w:pPr/>
            <w:r>
              <w:rPr>
                <w:rFonts w:ascii="Times New Roman" w:eastAsia="宋体"/>
                <w:sz w:val="21"/>
              </w:rPr>
              <w:t xml:space="preserve">采暖通风与空气调节设计规范 · 引用版本</w:t>
            </w:r>
          </w:p>
        </w:tc>
        <w:tc>
          <w:tcPr>
            <w:tcW w:w="0" w:type="auto"/>
          </w:tcPr>
          <w:p>
            <w:pPr/>
            <w:r>
              <w:rPr>
                <w:rFonts w:ascii="Times New Roman" w:eastAsia="宋体"/>
                <w:sz w:val="21"/>
              </w:rPr>
              <w:t xml:space="preserve">GB50019-2003 / GB50736-2012</w:t>
            </w:r>
          </w:p>
        </w:tc>
        <w:tc>
          <w:tcPr>
            <w:tcW w:w="0" w:type="auto"/>
          </w:tcPr>
          <w:p>
            <w:pPr/>
            <w:r>
              <w:rPr>
                <w:rFonts w:ascii="Times New Roman" w:eastAsia="宋体"/>
                <w:sz w:val="21"/>
              </w:rPr>
              <w:t xml:space="preserve">同一规范在本报告内出现 2 种版本：GB50019-2003、GB50736-2012；属软约束版本冲突，按「待审」呈现</w:t>
            </w:r>
          </w:p>
        </w:tc>
      </w:tr>
      <w:tr>
        <w:tc>
          <w:tcPr>
            <w:tcW w:w="0" w:type="auto"/>
          </w:tcPr>
          <w:p>
            <w:pPr/>
            <w:r>
              <w:rPr>
                <w:rFonts w:ascii="Times New Roman" w:eastAsia="宋体"/>
                <w:sz w:val="21"/>
              </w:rPr>
              <w:t xml:space="preserve">15</w:t>
            </w:r>
          </w:p>
        </w:tc>
        <w:tc>
          <w:tcPr>
            <w:tcW w:w="0" w:type="auto"/>
          </w:tcPr>
          <w:p>
            <w:pPr/>
            <w:r>
              <w:rPr>
                <w:rFonts w:ascii="Times New Roman" w:eastAsia="宋体"/>
                <w:sz w:val="21"/>
              </w:rPr>
              <w:t xml:space="preserve">spec_naming</w:t>
            </w:r>
          </w:p>
        </w:tc>
        <w:tc>
          <w:tcPr>
            <w:tcW w:w="0" w:type="auto"/>
          </w:tcPr>
          <w:p>
            <w:pPr/>
            <w:r>
              <w:rPr>
                <w:rFonts w:ascii="Times New Roman" w:eastAsia="宋体"/>
                <w:sz w:val="21"/>
              </w:rPr>
              <w:t xml:space="preserve">建标191-2018 · 规范名称写法</w:t>
            </w:r>
          </w:p>
        </w:tc>
        <w:tc>
          <w:tcPr>
            <w:tcW w:w="0" w:type="auto"/>
          </w:tcPr>
          <w:p>
            <w:pPr/>
            <w:r>
              <w:rPr>
                <w:rFonts w:ascii="Times New Roman" w:eastAsia="宋体"/>
                <w:sz w:val="21"/>
              </w:rPr>
              <w:t xml:space="preserve">《普通高等学校建筑规划面积指标》（建标191-2018） / 《普通高等学校建筑面积指标》（建标191-2018）</w:t>
            </w:r>
          </w:p>
        </w:tc>
        <w:tc>
          <w:tcPr>
            <w:tcW w:w="0" w:type="auto"/>
          </w:tcPr>
          <w:p>
            <w:pPr/>
            <w:r>
              <w:rPr>
                <w:rFonts w:ascii="Times New Roman" w:eastAsia="宋体"/>
                <w:sz w:val="21"/>
              </w:rPr>
              <w:t xml:space="preserve">同一编号两种名称写法：1.2 节写「建筑规划面积指标」（旧文件名称），5.6 节写「建筑面积指标」；名称是否准确须按现行</w:t>
            </w:r>
          </w:p>
        </w:tc>
      </w:tr>
      <w:tr>
        <w:tc>
          <w:tcPr>
            <w:tcW w:w="0" w:type="auto"/>
          </w:tcPr>
          <w:p>
            <w:pPr/>
            <w:r>
              <w:rPr>
                <w:rFonts w:ascii="Times New Roman" w:eastAsia="宋体"/>
                <w:sz w:val="21"/>
              </w:rPr>
              <w:t xml:space="preserve">16</w:t>
            </w:r>
          </w:p>
        </w:tc>
        <w:tc>
          <w:tcPr>
            <w:tcW w:w="0" w:type="auto"/>
          </w:tcPr>
          <w:p>
            <w:pPr/>
            <w:r>
              <w:rPr>
                <w:rFonts w:ascii="Times New Roman" w:eastAsia="宋体"/>
                <w:sz w:val="21"/>
              </w:rPr>
              <w:t xml:space="preserve">derivation</w:t>
            </w:r>
          </w:p>
        </w:tc>
        <w:tc>
          <w:tcPr>
            <w:tcW w:w="0" w:type="auto"/>
          </w:tcPr>
          <w:p>
            <w:pPr/>
            <w:r>
              <w:rPr>
                <w:rFonts w:ascii="Times New Roman" w:eastAsia="宋体"/>
                <w:sz w:val="21"/>
              </w:rPr>
              <w:t xml:space="preserve">R-建筑高度校核 · 重算值 vs 声明值</w:t>
            </w:r>
          </w:p>
        </w:tc>
        <w:tc>
          <w:tcPr>
            <w:tcW w:w="0" w:type="auto"/>
          </w:tcPr>
          <w:p>
            <w:pPr/>
            <w:r>
              <w:rPr>
                <w:rFonts w:ascii="Times New Roman" w:eastAsia="宋体"/>
                <w:sz w:val="21"/>
              </w:rPr>
              <w:t xml:space="preserve">49.0 / 60.0</w:t>
            </w:r>
          </w:p>
        </w:tc>
        <w:tc>
          <w:tcPr>
            <w:tcW w:w="0" w:type="auto"/>
          </w:tcPr>
          <w:p>
            <w:pPr/>
            <w:r>
              <w:rPr>
                <w:rFonts w:ascii="Times New Roman" w:eastAsia="宋体"/>
                <w:sz w:val="21"/>
              </w:rPr>
              <w:t xml:space="preserve">规则 R-建筑高度校核 重算 49.0 ≠ 声明 60.0（差 11.0）；按待审处理，本稿不改数</w:t>
            </w:r>
          </w:p>
        </w:tc>
      </w:tr>
      <w:tr>
        <w:tc>
          <w:tcPr>
            <w:tcW w:w="0" w:type="auto"/>
          </w:tcPr>
          <w:p>
            <w:pPr/>
            <w:r>
              <w:rPr>
                <w:rFonts w:ascii="Times New Roman" w:eastAsia="宋体"/>
                <w:sz w:val="21"/>
              </w:rPr>
              <w:t xml:space="preserve">17</w:t>
            </w:r>
          </w:p>
        </w:tc>
        <w:tc>
          <w:tcPr>
            <w:tcW w:w="0" w:type="auto"/>
          </w:tcPr>
          <w:p>
            <w:pPr/>
            <w:r>
              <w:rPr>
                <w:rFonts w:ascii="Times New Roman" w:eastAsia="宋体"/>
                <w:sz w:val="21"/>
              </w:rPr>
              <w:t xml:space="preserve">derivation</w:t>
            </w:r>
          </w:p>
        </w:tc>
        <w:tc>
          <w:tcPr>
            <w:tcW w:w="0" w:type="auto"/>
          </w:tcPr>
          <w:p>
            <w:pPr/>
            <w:r>
              <w:rPr>
                <w:rFonts w:ascii="Times New Roman" w:eastAsia="宋体"/>
                <w:sz w:val="21"/>
              </w:rPr>
              <w:t xml:space="preserve">R-室外总体工程 · 重算值 vs 声明值</w:t>
            </w:r>
          </w:p>
        </w:tc>
        <w:tc>
          <w:tcPr>
            <w:tcW w:w="0" w:type="auto"/>
          </w:tcPr>
          <w:p>
            <w:pPr/>
            <w:r>
              <w:rPr>
                <w:rFonts w:ascii="Times New Roman" w:eastAsia="宋体"/>
                <w:sz w:val="21"/>
              </w:rPr>
              <w:t xml:space="preserve">52.0 / 49.0</w:t>
            </w:r>
          </w:p>
        </w:tc>
        <w:tc>
          <w:tcPr>
            <w:tcW w:w="0" w:type="auto"/>
          </w:tcPr>
          <w:p>
            <w:pPr/>
            <w:r>
              <w:rPr>
                <w:rFonts w:ascii="Times New Roman" w:eastAsia="宋体"/>
                <w:sz w:val="21"/>
              </w:rPr>
              <w:t xml:space="preserve">规则 R-室外总体工程 重算 52.0 ≠ 声明 49.0（差 3.0）；按待审处理，本稿不改数</w:t>
            </w:r>
          </w:p>
        </w:tc>
      </w:tr>
      <w:tr>
        <w:tc>
          <w:tcPr>
            <w:tcW w:w="0" w:type="auto"/>
          </w:tcPr>
          <w:p>
            <w:pPr/>
            <w:r>
              <w:rPr>
                <w:rFonts w:ascii="Times New Roman" w:eastAsia="宋体"/>
                <w:sz w:val="21"/>
              </w:rPr>
              <w:t xml:space="preserve">18</w:t>
            </w:r>
          </w:p>
        </w:tc>
        <w:tc>
          <w:tcPr>
            <w:tcW w:w="0" w:type="auto"/>
          </w:tcPr>
          <w:p>
            <w:pPr/>
            <w:r>
              <w:rPr>
                <w:rFonts w:ascii="Times New Roman" w:eastAsia="宋体"/>
                <w:sz w:val="21"/>
              </w:rPr>
              <w:t xml:space="preserve">numeric</w:t>
            </w:r>
          </w:p>
        </w:tc>
        <w:tc>
          <w:tcPr>
            <w:tcW w:w="0" w:type="auto"/>
          </w:tcPr>
          <w:p>
            <w:pPr/>
            <w:r>
              <w:rPr>
                <w:rFonts w:ascii="Times New Roman" w:eastAsia="宋体"/>
                <w:sz w:val="21"/>
              </w:rPr>
              <w:t xml:space="preserve">施工场界噪声 · 昼间限值</w:t>
            </w:r>
          </w:p>
        </w:tc>
        <w:tc>
          <w:tcPr>
            <w:tcW w:w="0" w:type="auto"/>
          </w:tcPr>
          <w:p>
            <w:pPr/>
            <w:r>
              <w:rPr>
                <w:rFonts w:ascii="Times New Roman" w:eastAsia="宋体"/>
                <w:sz w:val="21"/>
              </w:rPr>
              <w:t xml:space="preserve">70 / ≤70</w:t>
            </w:r>
          </w:p>
        </w:tc>
        <w:tc>
          <w:tcPr>
            <w:tcW w:w="0" w:type="auto"/>
          </w:tcPr>
          <w:p>
            <w:pPr/>
            <w:r>
              <w:rPr>
                <w:rFonts w:ascii="Times New Roman" w:eastAsia="宋体"/>
                <w:sz w:val="21"/>
              </w:rPr>
              <w:t xml:space="preserve">施工场界噪声·昼间限值 存在多个取值，按待审并列呈现</w:t>
            </w:r>
          </w:p>
        </w:tc>
      </w:tr>
      <w:tr>
        <w:tc>
          <w:tcPr>
            <w:tcW w:w="0" w:type="auto"/>
          </w:tcPr>
          <w:p>
            <w:pPr/>
            <w:r>
              <w:rPr>
                <w:rFonts w:ascii="Times New Roman" w:eastAsia="宋体"/>
                <w:sz w:val="21"/>
              </w:rPr>
              <w:t xml:space="preserve">19</w:t>
            </w:r>
          </w:p>
        </w:tc>
        <w:tc>
          <w:tcPr>
            <w:tcW w:w="0" w:type="auto"/>
          </w:tcPr>
          <w:p>
            <w:pPr/>
            <w:r>
              <w:rPr>
                <w:rFonts w:ascii="Times New Roman" w:eastAsia="宋体"/>
                <w:sz w:val="21"/>
              </w:rPr>
              <w:t xml:space="preserve">numeric</w:t>
            </w:r>
          </w:p>
        </w:tc>
        <w:tc>
          <w:tcPr>
            <w:tcW w:w="0" w:type="auto"/>
          </w:tcPr>
          <w:p>
            <w:pPr/>
            <w:r>
              <w:rPr>
                <w:rFonts w:ascii="Times New Roman" w:eastAsia="宋体"/>
                <w:sz w:val="21"/>
              </w:rPr>
              <w:t xml:space="preserve">本项目 · 年均资金需求量</w:t>
            </w:r>
          </w:p>
        </w:tc>
        <w:tc>
          <w:tcPr>
            <w:tcW w:w="0" w:type="auto"/>
          </w:tcPr>
          <w:p>
            <w:pPr/>
            <w:r>
              <w:rPr>
                <w:rFonts w:ascii="Times New Roman" w:eastAsia="宋体"/>
                <w:sz w:val="21"/>
              </w:rPr>
              <w:t xml:space="preserve">2300 / 约2300</w:t>
            </w:r>
          </w:p>
        </w:tc>
        <w:tc>
          <w:tcPr>
            <w:tcW w:w="0" w:type="auto"/>
          </w:tcPr>
          <w:p>
            <w:pPr/>
            <w:r>
              <w:rPr>
                <w:rFonts w:ascii="Times New Roman" w:eastAsia="宋体"/>
                <w:sz w:val="21"/>
              </w:rPr>
              <w:t xml:space="preserve">本项目·年均资金需求量 存在多个取值，按待审并列呈现</w:t>
            </w:r>
          </w:p>
        </w:tc>
      </w:tr>
      <w:tr>
        <w:tc>
          <w:tcPr>
            <w:tcW w:w="0" w:type="auto"/>
          </w:tcPr>
          <w:p>
            <w:pPr/>
            <w:r>
              <w:rPr>
                <w:rFonts w:ascii="Times New Roman" w:eastAsia="宋体"/>
                <w:sz w:val="21"/>
              </w:rPr>
              <w:t xml:space="preserve">20</w:t>
            </w:r>
          </w:p>
        </w:tc>
        <w:tc>
          <w:tcPr>
            <w:tcW w:w="0" w:type="auto"/>
          </w:tcPr>
          <w:p>
            <w:pPr/>
            <w:r>
              <w:rPr>
                <w:rFonts w:ascii="Times New Roman" w:eastAsia="宋体"/>
                <w:sz w:val="21"/>
              </w:rPr>
              <w:t xml:space="preserve">numeric</w:t>
            </w:r>
          </w:p>
        </w:tc>
        <w:tc>
          <w:tcPr>
            <w:tcW w:w="0" w:type="auto"/>
          </w:tcPr>
          <w:p>
            <w:pPr/>
            <w:r>
              <w:rPr>
                <w:rFonts w:ascii="Times New Roman" w:eastAsia="宋体"/>
                <w:sz w:val="21"/>
              </w:rPr>
              <w:t xml:space="preserve">直膨式新风机组 · 制冷量</w:t>
            </w:r>
          </w:p>
        </w:tc>
        <w:tc>
          <w:tcPr>
            <w:tcW w:w="0" w:type="auto"/>
          </w:tcPr>
          <w:p>
            <w:pPr/>
            <w:r>
              <w:rPr>
                <w:rFonts w:ascii="Times New Roman" w:eastAsia="宋体"/>
                <w:sz w:val="21"/>
              </w:rPr>
              <w:t xml:space="preserve">28 / 45</w:t>
            </w:r>
          </w:p>
        </w:tc>
        <w:tc>
          <w:tcPr>
            <w:tcW w:w="0" w:type="auto"/>
          </w:tcPr>
          <w:p>
            <w:pPr/>
            <w:r>
              <w:rPr>
                <w:rFonts w:ascii="Times New Roman" w:eastAsia="宋体"/>
                <w:sz w:val="21"/>
              </w:rPr>
              <w:t xml:space="preserve">直膨式新风机组·制冷量 存在多个取值，按待审并列呈现</w:t>
            </w:r>
          </w:p>
        </w:tc>
      </w:tr>
      <w:tr>
        <w:tc>
          <w:tcPr>
            <w:tcW w:w="0" w:type="auto"/>
          </w:tcPr>
          <w:p>
            <w:pPr/>
            <w:r>
              <w:rPr>
                <w:rFonts w:ascii="Times New Roman" w:eastAsia="宋体"/>
                <w:sz w:val="21"/>
              </w:rPr>
              <w:t xml:space="preserve">21</w:t>
            </w:r>
          </w:p>
        </w:tc>
        <w:tc>
          <w:tcPr>
            <w:tcW w:w="0" w:type="auto"/>
          </w:tcPr>
          <w:p>
            <w:pPr/>
            <w:r>
              <w:rPr>
                <w:rFonts w:ascii="Times New Roman" w:eastAsia="宋体"/>
                <w:sz w:val="21"/>
              </w:rPr>
              <w:t xml:space="preserve">numeric</w:t>
            </w:r>
          </w:p>
        </w:tc>
        <w:tc>
          <w:tcPr>
            <w:tcW w:w="0" w:type="auto"/>
          </w:tcPr>
          <w:p>
            <w:pPr/>
            <w:r>
              <w:rPr>
                <w:rFonts w:ascii="Times New Roman" w:eastAsia="宋体"/>
                <w:sz w:val="21"/>
              </w:rPr>
              <w:t xml:space="preserve">直膨式新风机组 · 制热量</w:t>
            </w:r>
          </w:p>
        </w:tc>
        <w:tc>
          <w:tcPr>
            <w:tcW w:w="0" w:type="auto"/>
          </w:tcPr>
          <w:p>
            <w:pPr/>
            <w:r>
              <w:rPr>
                <w:rFonts w:ascii="Times New Roman" w:eastAsia="宋体"/>
                <w:sz w:val="21"/>
              </w:rPr>
              <w:t xml:space="preserve">17.4 / 29.5</w:t>
            </w:r>
          </w:p>
        </w:tc>
        <w:tc>
          <w:tcPr>
            <w:tcW w:w="0" w:type="auto"/>
          </w:tcPr>
          <w:p>
            <w:pPr/>
            <w:r>
              <w:rPr>
                <w:rFonts w:ascii="Times New Roman" w:eastAsia="宋体"/>
                <w:sz w:val="21"/>
              </w:rPr>
              <w:t xml:space="preserve">直膨式新风机组·制热量 存在多个取值，按待审并列呈现</w:t>
            </w:r>
          </w:p>
        </w:tc>
      </w:tr>
      <w:tr>
        <w:tc>
          <w:tcPr>
            <w:tcW w:w="0" w:type="auto"/>
          </w:tcPr>
          <w:p>
            <w:pPr/>
            <w:r>
              <w:rPr>
                <w:rFonts w:ascii="Times New Roman" w:eastAsia="宋体"/>
                <w:sz w:val="21"/>
              </w:rPr>
              <w:t xml:space="preserve">22</w:t>
            </w:r>
          </w:p>
        </w:tc>
        <w:tc>
          <w:tcPr>
            <w:tcW w:w="0" w:type="auto"/>
          </w:tcPr>
          <w:p>
            <w:pPr/>
            <w:r>
              <w:rPr>
                <w:rFonts w:ascii="Times New Roman" w:eastAsia="宋体"/>
                <w:sz w:val="21"/>
              </w:rPr>
              <w:t xml:space="preserve">numeric</w:t>
            </w:r>
          </w:p>
        </w:tc>
        <w:tc>
          <w:tcPr>
            <w:tcW w:w="0" w:type="auto"/>
          </w:tcPr>
          <w:p>
            <w:pPr/>
            <w:r>
              <w:rPr>
                <w:rFonts w:ascii="Times New Roman" w:eastAsia="宋体"/>
                <w:sz w:val="21"/>
              </w:rPr>
              <w:t xml:space="preserve">直膨式新风机组 · 功率</w:t>
            </w:r>
          </w:p>
        </w:tc>
        <w:tc>
          <w:tcPr>
            <w:tcW w:w="0" w:type="auto"/>
          </w:tcPr>
          <w:p>
            <w:pPr/>
            <w:r>
              <w:rPr>
                <w:rFonts w:ascii="Times New Roman" w:eastAsia="宋体"/>
                <w:sz w:val="21"/>
              </w:rPr>
              <w:t xml:space="preserve">0.52 / 0.774</w:t>
            </w:r>
          </w:p>
        </w:tc>
        <w:tc>
          <w:tcPr>
            <w:tcW w:w="0" w:type="auto"/>
          </w:tcPr>
          <w:p>
            <w:pPr/>
            <w:r>
              <w:rPr>
                <w:rFonts w:ascii="Times New Roman" w:eastAsia="宋体"/>
                <w:sz w:val="21"/>
              </w:rPr>
              <w:t xml:space="preserve">直膨式新风机组·功率 存在多个取值，按待审并列呈现</w:t>
            </w:r>
          </w:p>
        </w:tc>
      </w:tr>
      <w:tr>
        <w:tc>
          <w:tcPr>
            <w:tcW w:w="0" w:type="auto"/>
          </w:tcPr>
          <w:p>
            <w:pPr/>
            <w:r>
              <w:rPr>
                <w:rFonts w:ascii="Times New Roman" w:eastAsia="宋体"/>
                <w:sz w:val="21"/>
              </w:rPr>
              <w:t xml:space="preserve">23</w:t>
            </w:r>
          </w:p>
        </w:tc>
        <w:tc>
          <w:tcPr>
            <w:tcW w:w="0" w:type="auto"/>
          </w:tcPr>
          <w:p>
            <w:pPr/>
            <w:r>
              <w:rPr>
                <w:rFonts w:ascii="Times New Roman" w:eastAsia="宋体"/>
                <w:sz w:val="21"/>
              </w:rPr>
              <w:t xml:space="preserve">numeric</w:t>
            </w:r>
          </w:p>
        </w:tc>
        <w:tc>
          <w:tcPr>
            <w:tcW w:w="0" w:type="auto"/>
          </w:tcPr>
          <w:p>
            <w:pPr/>
            <w:r>
              <w:rPr>
                <w:rFonts w:ascii="Times New Roman" w:eastAsia="宋体"/>
                <w:sz w:val="21"/>
              </w:rPr>
              <w:t xml:space="preserve">变制冷剂流量多联室内机组 · 制冷量</w:t>
            </w:r>
          </w:p>
        </w:tc>
        <w:tc>
          <w:tcPr>
            <w:tcW w:w="0" w:type="auto"/>
          </w:tcPr>
          <w:p>
            <w:pPr/>
            <w:r>
              <w:rPr>
                <w:rFonts w:ascii="Times New Roman" w:eastAsia="宋体"/>
                <w:sz w:val="21"/>
              </w:rPr>
              <w:t xml:space="preserve">11.2 / 14 / 8.0</w:t>
            </w:r>
          </w:p>
        </w:tc>
        <w:tc>
          <w:tcPr>
            <w:tcW w:w="0" w:type="auto"/>
          </w:tcPr>
          <w:p>
            <w:pPr/>
            <w:r>
              <w:rPr>
                <w:rFonts w:ascii="Times New Roman" w:eastAsia="宋体"/>
                <w:sz w:val="21"/>
              </w:rPr>
              <w:t xml:space="preserve">变制冷剂流量多联室内机组·制冷量 存在多个取值，按待审并列呈现</w:t>
            </w:r>
          </w:p>
        </w:tc>
      </w:tr>
      <w:tr>
        <w:tc>
          <w:tcPr>
            <w:tcW w:w="0" w:type="auto"/>
          </w:tcPr>
          <w:p>
            <w:pPr/>
            <w:r>
              <w:rPr>
                <w:rFonts w:ascii="Times New Roman" w:eastAsia="宋体"/>
                <w:sz w:val="21"/>
              </w:rPr>
              <w:t xml:space="preserve">24</w:t>
            </w:r>
          </w:p>
        </w:tc>
        <w:tc>
          <w:tcPr>
            <w:tcW w:w="0" w:type="auto"/>
          </w:tcPr>
          <w:p>
            <w:pPr/>
            <w:r>
              <w:rPr>
                <w:rFonts w:ascii="Times New Roman" w:eastAsia="宋体"/>
                <w:sz w:val="21"/>
              </w:rPr>
              <w:t xml:space="preserve">numeric</w:t>
            </w:r>
          </w:p>
        </w:tc>
        <w:tc>
          <w:tcPr>
            <w:tcW w:w="0" w:type="auto"/>
          </w:tcPr>
          <w:p>
            <w:pPr/>
            <w:r>
              <w:rPr>
                <w:rFonts w:ascii="Times New Roman" w:eastAsia="宋体"/>
                <w:sz w:val="21"/>
              </w:rPr>
              <w:t xml:space="preserve">变制冷剂流量多联室内机组 · 制热量</w:t>
            </w:r>
          </w:p>
        </w:tc>
        <w:tc>
          <w:tcPr>
            <w:tcW w:w="0" w:type="auto"/>
          </w:tcPr>
          <w:p>
            <w:pPr/>
            <w:r>
              <w:rPr>
                <w:rFonts w:ascii="Times New Roman" w:eastAsia="宋体"/>
                <w:sz w:val="21"/>
              </w:rPr>
              <w:t xml:space="preserve">12.5 / 16 / 9.0</w:t>
            </w:r>
          </w:p>
        </w:tc>
        <w:tc>
          <w:tcPr>
            <w:tcW w:w="0" w:type="auto"/>
          </w:tcPr>
          <w:p>
            <w:pPr/>
            <w:r>
              <w:rPr>
                <w:rFonts w:ascii="Times New Roman" w:eastAsia="宋体"/>
                <w:sz w:val="21"/>
              </w:rPr>
              <w:t xml:space="preserve">变制冷剂流量多联室内机组·制热量 存在多个取值，按待审并列呈现</w:t>
            </w:r>
          </w:p>
        </w:tc>
      </w:tr>
      <w:tr>
        <w:tc>
          <w:tcPr>
            <w:tcW w:w="0" w:type="auto"/>
          </w:tcPr>
          <w:p>
            <w:pPr/>
            <w:r>
              <w:rPr>
                <w:rFonts w:ascii="Times New Roman" w:eastAsia="宋体"/>
                <w:sz w:val="21"/>
              </w:rPr>
              <w:t xml:space="preserve">25</w:t>
            </w:r>
          </w:p>
        </w:tc>
        <w:tc>
          <w:tcPr>
            <w:tcW w:w="0" w:type="auto"/>
          </w:tcPr>
          <w:p>
            <w:pPr/>
            <w:r>
              <w:rPr>
                <w:rFonts w:ascii="Times New Roman" w:eastAsia="宋体"/>
                <w:sz w:val="21"/>
              </w:rPr>
              <w:t xml:space="preserve">numeric</w:t>
            </w:r>
          </w:p>
        </w:tc>
        <w:tc>
          <w:tcPr>
            <w:tcW w:w="0" w:type="auto"/>
          </w:tcPr>
          <w:p>
            <w:pPr/>
            <w:r>
              <w:rPr>
                <w:rFonts w:ascii="Times New Roman" w:eastAsia="宋体"/>
                <w:sz w:val="21"/>
              </w:rPr>
              <w:t xml:space="preserve">变制冷剂流量多联室内机组 · 功率</w:t>
            </w:r>
          </w:p>
        </w:tc>
        <w:tc>
          <w:tcPr>
            <w:tcW w:w="0" w:type="auto"/>
          </w:tcPr>
          <w:p>
            <w:pPr/>
            <w:r>
              <w:rPr>
                <w:rFonts w:ascii="Times New Roman" w:eastAsia="宋体"/>
                <w:sz w:val="21"/>
              </w:rPr>
              <w:t xml:space="preserve">255 / 410</w:t>
            </w:r>
          </w:p>
        </w:tc>
        <w:tc>
          <w:tcPr>
            <w:tcW w:w="0" w:type="auto"/>
          </w:tcPr>
          <w:p>
            <w:pPr/>
            <w:r>
              <w:rPr>
                <w:rFonts w:ascii="Times New Roman" w:eastAsia="宋体"/>
                <w:sz w:val="21"/>
              </w:rPr>
              <w:t xml:space="preserve">变制冷剂流量多联室内机组·功率 存在多个取值，按待审并列呈现</w:t>
            </w:r>
          </w:p>
        </w:tc>
      </w:tr>
    </w:tbl>
    <w:p>
      <w:pPr/>
      <w:r>
        <w:rPr>
          <w:b/>
          <w:rFonts w:ascii="Times New Roman" w:eastAsia="宋体"/>
          <w:sz w:val="21"/>
        </w:rPr>
        <w:t xml:space="preserve">关于「因未裁决冲突而阻塞的派生量」</w:t>
      </w:r>
      <w:r>
        <w:rPr>
          <w:rFonts w:ascii="Times New Roman" w:eastAsia="宋体"/>
          <w:sz w:val="21"/>
        </w:rPr>
        <w:t xml:space="preserve">：上述待审事项中，总建筑面积的取值冲突会连锁影响多个派生量的计算——冷热负荷、单位面积综合能耗、单位建筑面积电耗、单位造价等均由建筑面积参与推导，在该冲突裁决前，这些派生量无法给出单一值。本稿对这类量一律留白，而</w:t>
      </w:r>
      <w:r>
        <w:rPr>
          <w:b/>
          <w:rFonts w:ascii="Times New Roman" w:eastAsia="宋体"/>
          <w:sz w:val="21"/>
        </w:rPr>
        <w:t xml:space="preserve">不是</w:t>
      </w:r>
      <w:r>
        <w:rPr>
          <w:rFonts w:ascii="Times New Roman" w:eastAsia="宋体"/>
          <w:sz w:val="21"/>
        </w:rPr>
        <w:t xml:space="preserve">任取一个建筑面积硬算，以免把一处笔误扩散成全篇的数值不可信。</w:t>
      </w:r>
    </w:p>
    <w:p>
      <w:pPr/>
      <w:r>
        <w:rPr>
          <w:rFonts w:ascii="Times New Roman" w:eastAsia="宋体"/>
          <w:sz w:val="21"/>
        </w:rPr>
        <w:t xml:space="preserve">这一连锁关系也说明：</w:t>
      </w:r>
      <w:r>
        <w:rPr>
          <w:b/>
          <w:rFonts w:ascii="Times New Roman" w:eastAsia="宋体"/>
          <w:sz w:val="21"/>
        </w:rPr>
        <w:t xml:space="preserve">可研报告里的一处笔误，代价往往不是改一个字，而是让若干条派生链同时失效</w:t>
      </w:r>
      <w:r>
        <w:rPr>
          <w:rFonts w:ascii="Times New Roman" w:eastAsia="宋体"/>
          <w:sz w:val="21"/>
        </w:rPr>
        <w:t xml:space="preserve">。这也是「数值单源存储 + 正文只写引用」这一写法纪律的真正价值所在。</w:t>
      </w:r>
    </w:p>
    <w:p>
      <w:pPr>
        <w:pStyle w:val="Heading2"/>
      </w:pPr>
      <w:r>
        <w:rPr>
          <w:rFonts w:ascii="Times New Roman" w:eastAsia="宋体"/>
          <w:sz w:val="21"/>
        </w:rPr>
        <w:t xml:space="preserve">附录 2.2　缺口事项汇总</w:t>
      </w:r>
    </w:p>
    <w:p>
      <w:pPr/>
      <w:r>
        <w:rPr>
          <w:b/>
          <w:rFonts w:ascii="Times New Roman" w:eastAsia="宋体"/>
          <w:sz w:val="21"/>
        </w:rPr>
        <w:t xml:space="preserve">附表A-2 缺口事项汇总</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编号</w:t>
            </w:r>
          </w:p>
        </w:tc>
        <w:tc>
          <w:tcPr>
            <w:tcW w:w="0" w:type="auto"/>
          </w:tcPr>
          <w:p>
            <w:pPr/>
            <w:r>
              <w:rPr>
                <w:b/>
                <w:rFonts w:ascii="Times New Roman" w:eastAsia="宋体"/>
                <w:sz w:val="21"/>
              </w:rPr>
              <w:t xml:space="preserve">类型</w:t>
            </w:r>
          </w:p>
        </w:tc>
        <w:tc>
          <w:tcPr>
            <w:tcW w:w="0" w:type="auto"/>
          </w:tcPr>
          <w:p>
            <w:pPr/>
            <w:r>
              <w:rPr>
                <w:b/>
                <w:rFonts w:ascii="Times New Roman" w:eastAsia="宋体"/>
                <w:sz w:val="21"/>
              </w:rPr>
              <w:t xml:space="preserve">对象</w:t>
            </w:r>
          </w:p>
        </w:tc>
        <w:tc>
          <w:tcPr>
            <w:tcW w:w="0" w:type="auto"/>
          </w:tcPr>
          <w:p>
            <w:pPr/>
            <w:r>
              <w:rPr>
                <w:b/>
                <w:rFonts w:ascii="Times New Roman" w:eastAsia="宋体"/>
                <w:sz w:val="21"/>
              </w:rPr>
              <w:t xml:space="preserve">说明</w:t>
            </w:r>
          </w:p>
        </w:tc>
      </w:tr>
      <w:tr>
        <w:tc>
          <w:tcPr>
            <w:tcW w:w="0" w:type="auto"/>
          </w:tcPr>
          <w:p>
            <w:pPr/>
            <w:r>
              <w:rPr>
                <w:rFonts w:ascii="Times New Roman" w:eastAsia="宋体"/>
                <w:sz w:val="21"/>
              </w:rPr>
              <w:t xml:space="preserve">G-001</w:t>
            </w:r>
          </w:p>
        </w:tc>
        <w:tc>
          <w:tcPr>
            <w:tcW w:w="0" w:type="auto"/>
          </w:tcPr>
          <w:p>
            <w:pPr/>
            <w:r>
              <w:rPr>
                <w:rFonts w:ascii="Times New Roman" w:eastAsia="宋体"/>
                <w:sz w:val="21"/>
              </w:rPr>
              <w:t xml:space="preserve">missing_fact</w:t>
            </w:r>
          </w:p>
        </w:tc>
        <w:tc>
          <w:tcPr>
            <w:tcW w:w="0" w:type="auto"/>
          </w:tcPr>
          <w:p>
            <w:pPr/>
            <w:r>
              <w:rPr>
                <w:rFonts w:ascii="Times New Roman" w:eastAsia="宋体"/>
                <w:sz w:val="21"/>
              </w:rPr>
              <w:t xml:space="preserve">总计算负荷</w:t>
            </w:r>
          </w:p>
        </w:tc>
        <w:tc>
          <w:tcPr>
            <w:tcW w:w="0" w:type="auto"/>
          </w:tcPr>
          <w:p>
            <w:pPr/>
            <w:r>
              <w:rPr>
                <w:rFonts w:ascii="Times New Roman" w:eastAsia="宋体"/>
                <w:sz w:val="21"/>
              </w:rPr>
              <w:t xml:space="preserve">原文未给出该口径，保持显式未知；不估算、不套用同类项目。</w:t>
            </w:r>
          </w:p>
        </w:tc>
      </w:tr>
      <w:tr>
        <w:tc>
          <w:tcPr>
            <w:tcW w:w="0" w:type="auto"/>
          </w:tcPr>
          <w:p>
            <w:pPr/>
            <w:r>
              <w:rPr>
                <w:rFonts w:ascii="Times New Roman" w:eastAsia="宋体"/>
                <w:sz w:val="21"/>
              </w:rPr>
              <w:t xml:space="preserve">G-002</w:t>
            </w:r>
          </w:p>
        </w:tc>
        <w:tc>
          <w:tcPr>
            <w:tcW w:w="0" w:type="auto"/>
          </w:tcPr>
          <w:p>
            <w:pPr/>
            <w:r>
              <w:rPr>
                <w:rFonts w:ascii="Times New Roman" w:eastAsia="宋体"/>
                <w:sz w:val="21"/>
              </w:rPr>
              <w:t xml:space="preserve">blocked_by_conflict</w:t>
            </w:r>
          </w:p>
        </w:tc>
        <w:tc>
          <w:tcPr>
            <w:tcW w:w="0" w:type="auto"/>
          </w:tcPr>
          <w:p>
            <w:pPr/>
            <w:r>
              <w:rPr>
                <w:rFonts w:ascii="Times New Roman" w:eastAsia="宋体"/>
                <w:sz w:val="21"/>
              </w:rPr>
              <w:t xml:space="preserve">冷负荷</w:t>
            </w:r>
          </w:p>
        </w:tc>
        <w:tc>
          <w:tcPr>
            <w:tcW w:w="0" w:type="auto"/>
          </w:tcPr>
          <w:p>
            <w:pPr/>
            <w:r>
              <w:rPr>
                <w:rFonts w:ascii="Times New Roman" w:eastAsia="宋体"/>
                <w:sz w:val="21"/>
              </w:rPr>
              <w:t xml:space="preserve">依赖项存在未裁决数值冲突，按铁律「不带着冲突往下走」，派生校核阻塞。</w:t>
            </w:r>
          </w:p>
        </w:tc>
      </w:tr>
      <w:tr>
        <w:tc>
          <w:tcPr>
            <w:tcW w:w="0" w:type="auto"/>
          </w:tcPr>
          <w:p>
            <w:pPr/>
            <w:r>
              <w:rPr>
                <w:rFonts w:ascii="Times New Roman" w:eastAsia="宋体"/>
                <w:sz w:val="21"/>
              </w:rPr>
              <w:t xml:space="preserve">G-003</w:t>
            </w:r>
          </w:p>
        </w:tc>
        <w:tc>
          <w:tcPr>
            <w:tcW w:w="0" w:type="auto"/>
          </w:tcPr>
          <w:p>
            <w:pPr/>
            <w:r>
              <w:rPr>
                <w:rFonts w:ascii="Times New Roman" w:eastAsia="宋体"/>
                <w:sz w:val="21"/>
              </w:rPr>
              <w:t xml:space="preserve">blocked_by_conflict</w:t>
            </w:r>
          </w:p>
        </w:tc>
        <w:tc>
          <w:tcPr>
            <w:tcW w:w="0" w:type="auto"/>
          </w:tcPr>
          <w:p>
            <w:pPr/>
            <w:r>
              <w:rPr>
                <w:rFonts w:ascii="Times New Roman" w:eastAsia="宋体"/>
                <w:sz w:val="21"/>
              </w:rPr>
              <w:t xml:space="preserve">热负荷</w:t>
            </w:r>
          </w:p>
        </w:tc>
        <w:tc>
          <w:tcPr>
            <w:tcW w:w="0" w:type="auto"/>
          </w:tcPr>
          <w:p>
            <w:pPr/>
            <w:r>
              <w:rPr>
                <w:rFonts w:ascii="Times New Roman" w:eastAsia="宋体"/>
                <w:sz w:val="21"/>
              </w:rPr>
              <w:t xml:space="preserve">依赖项存在未裁决数值冲突，按铁律「不带着冲突往下走」，派生校核阻塞。</w:t>
            </w:r>
          </w:p>
        </w:tc>
      </w:tr>
      <w:tr>
        <w:tc>
          <w:tcPr>
            <w:tcW w:w="0" w:type="auto"/>
          </w:tcPr>
          <w:p>
            <w:pPr/>
            <w:r>
              <w:rPr>
                <w:rFonts w:ascii="Times New Roman" w:eastAsia="宋体"/>
                <w:sz w:val="21"/>
              </w:rPr>
              <w:t xml:space="preserve">G-004</w:t>
            </w:r>
          </w:p>
        </w:tc>
        <w:tc>
          <w:tcPr>
            <w:tcW w:w="0" w:type="auto"/>
          </w:tcPr>
          <w:p>
            <w:pPr/>
            <w:r>
              <w:rPr>
                <w:rFonts w:ascii="Times New Roman" w:eastAsia="宋体"/>
                <w:sz w:val="21"/>
              </w:rPr>
              <w:t xml:space="preserve">blocked_by_conflict</w:t>
            </w:r>
          </w:p>
        </w:tc>
        <w:tc>
          <w:tcPr>
            <w:tcW w:w="0" w:type="auto"/>
          </w:tcPr>
          <w:p>
            <w:pPr/>
            <w:r>
              <w:rPr>
                <w:rFonts w:ascii="Times New Roman" w:eastAsia="宋体"/>
                <w:sz w:val="21"/>
              </w:rPr>
              <w:t xml:space="preserve">单位面积综合能耗（当量值）</w:t>
            </w:r>
          </w:p>
        </w:tc>
        <w:tc>
          <w:tcPr>
            <w:tcW w:w="0" w:type="auto"/>
          </w:tcPr>
          <w:p>
            <w:pPr/>
            <w:r>
              <w:rPr>
                <w:rFonts w:ascii="Times New Roman" w:eastAsia="宋体"/>
                <w:sz w:val="21"/>
              </w:rPr>
              <w:t xml:space="preserve">依赖项存在未裁决数值冲突，按铁律「不带着冲突往下走」，派生校核阻塞。</w:t>
            </w:r>
          </w:p>
        </w:tc>
      </w:tr>
      <w:tr>
        <w:tc>
          <w:tcPr>
            <w:tcW w:w="0" w:type="auto"/>
          </w:tcPr>
          <w:p>
            <w:pPr/>
            <w:r>
              <w:rPr>
                <w:rFonts w:ascii="Times New Roman" w:eastAsia="宋体"/>
                <w:sz w:val="21"/>
              </w:rPr>
              <w:t xml:space="preserve">G-005</w:t>
            </w:r>
          </w:p>
        </w:tc>
        <w:tc>
          <w:tcPr>
            <w:tcW w:w="0" w:type="auto"/>
          </w:tcPr>
          <w:p>
            <w:pPr/>
            <w:r>
              <w:rPr>
                <w:rFonts w:ascii="Times New Roman" w:eastAsia="宋体"/>
                <w:sz w:val="21"/>
              </w:rPr>
              <w:t xml:space="preserve">blocked_by_conflict</w:t>
            </w:r>
          </w:p>
        </w:tc>
        <w:tc>
          <w:tcPr>
            <w:tcW w:w="0" w:type="auto"/>
          </w:tcPr>
          <w:p>
            <w:pPr/>
            <w:r>
              <w:rPr>
                <w:rFonts w:ascii="Times New Roman" w:eastAsia="宋体"/>
                <w:sz w:val="21"/>
              </w:rPr>
              <w:t xml:space="preserve">单位建筑面积电耗</w:t>
            </w:r>
          </w:p>
        </w:tc>
        <w:tc>
          <w:tcPr>
            <w:tcW w:w="0" w:type="auto"/>
          </w:tcPr>
          <w:p>
            <w:pPr/>
            <w:r>
              <w:rPr>
                <w:rFonts w:ascii="Times New Roman" w:eastAsia="宋体"/>
                <w:sz w:val="21"/>
              </w:rPr>
              <w:t xml:space="preserve">依赖项存在未裁决数值冲突，按铁律「不带着冲突往下走」，派生校核阻塞。</w:t>
            </w:r>
          </w:p>
        </w:tc>
      </w:tr>
      <w:tr>
        <w:tc>
          <w:tcPr>
            <w:tcW w:w="0" w:type="auto"/>
          </w:tcPr>
          <w:p>
            <w:pPr/>
            <w:r>
              <w:rPr>
                <w:rFonts w:ascii="Times New Roman" w:eastAsia="宋体"/>
                <w:sz w:val="21"/>
              </w:rPr>
              <w:t xml:space="preserve">G-006</w:t>
            </w:r>
          </w:p>
        </w:tc>
        <w:tc>
          <w:tcPr>
            <w:tcW w:w="0" w:type="auto"/>
          </w:tcPr>
          <w:p>
            <w:pPr/>
            <w:r>
              <w:rPr>
                <w:rFonts w:ascii="Times New Roman" w:eastAsia="宋体"/>
                <w:sz w:val="21"/>
              </w:rPr>
              <w:t xml:space="preserve">blocked_by_conflict</w:t>
            </w:r>
          </w:p>
        </w:tc>
        <w:tc>
          <w:tcPr>
            <w:tcW w:w="0" w:type="auto"/>
          </w:tcPr>
          <w:p>
            <w:pPr/>
            <w:r>
              <w:rPr>
                <w:rFonts w:ascii="Times New Roman" w:eastAsia="宋体"/>
                <w:sz w:val="21"/>
              </w:rPr>
              <w:t xml:space="preserve">单位造价（总投资口径）</w:t>
            </w:r>
          </w:p>
        </w:tc>
        <w:tc>
          <w:tcPr>
            <w:tcW w:w="0" w:type="auto"/>
          </w:tcPr>
          <w:p>
            <w:pPr/>
            <w:r>
              <w:rPr>
                <w:rFonts w:ascii="Times New Roman" w:eastAsia="宋体"/>
                <w:sz w:val="21"/>
              </w:rPr>
              <w:t xml:space="preserve">依赖项存在未裁决数值冲突，按铁律「不带着冲突往下走」，派生校核阻塞。</w:t>
            </w:r>
          </w:p>
        </w:tc>
      </w:tr>
      <w:tr>
        <w:tc>
          <w:tcPr>
            <w:tcW w:w="0" w:type="auto"/>
          </w:tcPr>
          <w:p>
            <w:pPr/>
            <w:r>
              <w:rPr>
                <w:rFonts w:ascii="Times New Roman" w:eastAsia="宋体"/>
                <w:sz w:val="21"/>
              </w:rPr>
              <w:t xml:space="preserve">G-901</w:t>
            </w:r>
          </w:p>
        </w:tc>
        <w:tc>
          <w:tcPr>
            <w:tcW w:w="0" w:type="auto"/>
          </w:tcPr>
          <w:p>
            <w:pPr/>
            <w:r>
              <w:rPr>
                <w:rFonts w:ascii="Times New Roman" w:eastAsia="宋体"/>
                <w:sz w:val="21"/>
              </w:rPr>
              <w:t xml:space="preserve">explicit_unknown</w:t>
            </w:r>
          </w:p>
        </w:tc>
        <w:tc>
          <w:tcPr>
            <w:tcW w:w="0" w:type="auto"/>
          </w:tcPr>
          <w:p>
            <w:pPr/>
            <w:r>
              <w:rPr>
                <w:rFonts w:ascii="Times New Roman" w:eastAsia="宋体"/>
                <w:sz w:val="21"/>
              </w:rPr>
              <w:t xml:space="preserve">容积率、绿地率</w:t>
            </w:r>
          </w:p>
        </w:tc>
        <w:tc>
          <w:tcPr>
            <w:tcW w:w="0" w:type="auto"/>
          </w:tcPr>
          <w:p>
            <w:pPr/>
            <w:r>
              <w:rPr>
                <w:rFonts w:ascii="Times New Roman" w:eastAsia="宋体"/>
                <w:sz w:val="21"/>
              </w:rPr>
              <w:t xml:space="preserve">原文：容积率、绿地率等指标全校统筹（表1-2 注），本项目无独立取值，保持未知。</w:t>
            </w:r>
          </w:p>
        </w:tc>
      </w:tr>
      <w:tr>
        <w:tc>
          <w:tcPr>
            <w:tcW w:w="0" w:type="auto"/>
          </w:tcPr>
          <w:p>
            <w:pPr/>
            <w:r>
              <w:rPr>
                <w:rFonts w:ascii="Times New Roman" w:eastAsia="宋体"/>
                <w:sz w:val="21"/>
              </w:rPr>
              <w:t xml:space="preserve">G-902</w:t>
            </w:r>
          </w:p>
        </w:tc>
        <w:tc>
          <w:tcPr>
            <w:tcW w:w="0" w:type="auto"/>
          </w:tcPr>
          <w:p>
            <w:pPr/>
            <w:r>
              <w:rPr>
                <w:rFonts w:ascii="Times New Roman" w:eastAsia="宋体"/>
                <w:sz w:val="21"/>
              </w:rPr>
              <w:t xml:space="preserve">explicit_unknown</w:t>
            </w:r>
          </w:p>
        </w:tc>
        <w:tc>
          <w:tcPr>
            <w:tcW w:w="0" w:type="auto"/>
          </w:tcPr>
          <w:p>
            <w:pPr/>
            <w:r>
              <w:rPr>
                <w:rFonts w:ascii="Times New Roman" w:eastAsia="宋体"/>
                <w:sz w:val="21"/>
              </w:rPr>
              <w:t xml:space="preserve">实验室通风专项取值</w:t>
            </w:r>
          </w:p>
        </w:tc>
        <w:tc>
          <w:tcPr>
            <w:tcW w:w="0" w:type="auto"/>
          </w:tcPr>
          <w:p>
            <w:pPr/>
            <w:r>
              <w:rPr>
                <w:rFonts w:ascii="Times New Roman" w:eastAsia="宋体"/>
                <w:sz w:val="21"/>
              </w:rPr>
              <w:t xml:space="preserve">原文表6-8 通风换气次数仅覆盖卫生间/电梯机房/水泵房，未给出实验室换气次数、通风柜台数与排风量；属高校科研用房评审必问取值点，保持未知并</w:t>
            </w:r>
          </w:p>
        </w:tc>
      </w:tr>
      <w:tr>
        <w:tc>
          <w:tcPr>
            <w:tcW w:w="0" w:type="auto"/>
          </w:tcPr>
          <w:p>
            <w:pPr/>
            <w:r>
              <w:rPr>
                <w:rFonts w:ascii="Times New Roman" w:eastAsia="宋体"/>
                <w:sz w:val="21"/>
              </w:rPr>
              <w:t xml:space="preserve">G-903</w:t>
            </w:r>
          </w:p>
        </w:tc>
        <w:tc>
          <w:tcPr>
            <w:tcW w:w="0" w:type="auto"/>
          </w:tcPr>
          <w:p>
            <w:pPr/>
            <w:r>
              <w:rPr>
                <w:rFonts w:ascii="Times New Roman" w:eastAsia="宋体"/>
                <w:sz w:val="21"/>
              </w:rPr>
              <w:t xml:space="preserve">explicit_unknown</w:t>
            </w:r>
          </w:p>
        </w:tc>
        <w:tc>
          <w:tcPr>
            <w:tcW w:w="0" w:type="auto"/>
          </w:tcPr>
          <w:p>
            <w:pPr/>
            <w:r>
              <w:rPr>
                <w:rFonts w:ascii="Times New Roman" w:eastAsia="宋体"/>
                <w:sz w:val="21"/>
              </w:rPr>
              <w:t xml:space="preserve">原有第五教学楼拆除手续</w:t>
            </w:r>
          </w:p>
        </w:tc>
        <w:tc>
          <w:tcPr>
            <w:tcW w:w="0" w:type="auto"/>
          </w:tcPr>
          <w:p>
            <w:pPr/>
            <w:r>
              <w:rPr>
                <w:rFonts w:ascii="Times New Roman" w:eastAsia="宋体"/>
                <w:sz w:val="21"/>
              </w:rPr>
              <w:t xml:space="preserve">原文：拆除手续正同步进行办理中；附件清单亦标注（待补充）。</w:t>
            </w:r>
          </w:p>
        </w:tc>
      </w:tr>
      <w:tr>
        <w:tc>
          <w:tcPr>
            <w:tcW w:w="0" w:type="auto"/>
          </w:tcPr>
          <w:p>
            <w:pPr/>
            <w:r>
              <w:rPr>
                <w:rFonts w:ascii="Times New Roman" w:eastAsia="宋体"/>
                <w:sz w:val="21"/>
              </w:rPr>
              <w:t xml:space="preserve">G-904</w:t>
            </w:r>
          </w:p>
        </w:tc>
        <w:tc>
          <w:tcPr>
            <w:tcW w:w="0" w:type="auto"/>
          </w:tcPr>
          <w:p>
            <w:pPr/>
            <w:r>
              <w:rPr>
                <w:rFonts w:ascii="Times New Roman" w:eastAsia="宋体"/>
                <w:sz w:val="21"/>
              </w:rPr>
              <w:t xml:space="preserve">explicit_unknown</w:t>
            </w:r>
          </w:p>
        </w:tc>
        <w:tc>
          <w:tcPr>
            <w:tcW w:w="0" w:type="auto"/>
          </w:tcPr>
          <w:p>
            <w:pPr/>
            <w:r>
              <w:rPr>
                <w:rFonts w:ascii="Times New Roman" w:eastAsia="宋体"/>
                <w:sz w:val="21"/>
              </w:rPr>
              <w:t xml:space="preserve">国拨资金批复文件</w:t>
            </w:r>
          </w:p>
        </w:tc>
        <w:tc>
          <w:tcPr>
            <w:tcW w:w="0" w:type="auto"/>
          </w:tcPr>
          <w:p>
            <w:pPr/>
            <w:r>
              <w:rPr>
                <w:rFonts w:ascii="Times New Roman" w:eastAsia="宋体"/>
                <w:sz w:val="21"/>
              </w:rPr>
              <w:t xml:space="preserve">资金筹措方案列出申请国拨资金 6000 万元，但附件未含上级批复文件。</w:t>
            </w:r>
          </w:p>
        </w:tc>
      </w:tr>
      <w:tr>
        <w:tc>
          <w:tcPr>
            <w:tcW w:w="0" w:type="auto"/>
          </w:tcPr>
          <w:p>
            <w:pPr/>
            <w:r>
              <w:rPr>
                <w:rFonts w:ascii="Times New Roman" w:eastAsia="宋体"/>
                <w:sz w:val="21"/>
              </w:rPr>
              <w:t xml:space="preserve">G-905</w:t>
            </w:r>
          </w:p>
        </w:tc>
        <w:tc>
          <w:tcPr>
            <w:tcW w:w="0" w:type="auto"/>
          </w:tcPr>
          <w:p>
            <w:pPr/>
            <w:r>
              <w:rPr>
                <w:rFonts w:ascii="Times New Roman" w:eastAsia="宋体"/>
                <w:sz w:val="21"/>
              </w:rPr>
              <w:t xml:space="preserve">explicit_unknown</w:t>
            </w:r>
          </w:p>
        </w:tc>
        <w:tc>
          <w:tcPr>
            <w:tcW w:w="0" w:type="auto"/>
          </w:tcPr>
          <w:p>
            <w:pPr/>
            <w:r>
              <w:rPr>
                <w:rFonts w:ascii="Times New Roman" w:eastAsia="宋体"/>
                <w:sz w:val="21"/>
              </w:rPr>
              <w:t xml:space="preserve">变压器容量匹配口径</w:t>
            </w:r>
          </w:p>
        </w:tc>
        <w:tc>
          <w:tcPr>
            <w:tcW w:w="0" w:type="auto"/>
          </w:tcPr>
          <w:p>
            <w:pPr/>
            <w:r>
              <w:rPr>
                <w:rFonts w:ascii="Times New Roman" w:eastAsia="宋体"/>
                <w:sz w:val="21"/>
              </w:rPr>
              <w:t xml:space="preserve">原文给出总计算负荷 952kW 与增容后 2×2000kVA，未给功率因数与需要系数，无法复算匹配性。</w:t>
            </w:r>
          </w:p>
        </w:tc>
      </w:tr>
      <w:tr>
        <w:tc>
          <w:tcPr>
            <w:tcW w:w="0" w:type="auto"/>
          </w:tcPr>
          <w:p>
            <w:pPr/>
            <w:r>
              <w:rPr>
                <w:rFonts w:ascii="Times New Roman" w:eastAsia="宋体"/>
                <w:sz w:val="21"/>
              </w:rPr>
              <w:t xml:space="preserve">G-906</w:t>
            </w:r>
          </w:p>
        </w:tc>
        <w:tc>
          <w:tcPr>
            <w:tcW w:w="0" w:type="auto"/>
          </w:tcPr>
          <w:p>
            <w:pPr/>
            <w:r>
              <w:rPr>
                <w:rFonts w:ascii="Times New Roman" w:eastAsia="宋体"/>
                <w:sz w:val="21"/>
              </w:rPr>
              <w:t xml:space="preserve">explicit_unknown</w:t>
            </w:r>
          </w:p>
        </w:tc>
        <w:tc>
          <w:tcPr>
            <w:tcW w:w="0" w:type="auto"/>
          </w:tcPr>
          <w:p>
            <w:pPr/>
            <w:r>
              <w:rPr>
                <w:rFonts w:ascii="Times New Roman" w:eastAsia="宋体"/>
                <w:sz w:val="21"/>
              </w:rPr>
              <w:t xml:space="preserve">负荷估算面积口径</w:t>
            </w:r>
          </w:p>
        </w:tc>
        <w:tc>
          <w:tcPr>
            <w:tcW w:w="0" w:type="auto"/>
          </w:tcPr>
          <w:p>
            <w:pPr/>
            <w:r>
              <w:rPr>
                <w:rFonts w:ascii="Times New Roman" w:eastAsia="宋体"/>
                <w:sz w:val="21"/>
              </w:rPr>
              <w:t xml:space="preserve">原文只给 45W/㎡ 与 25W/㎡ 两个指标与总计算负荷 952kW，未给出所采用的面积基数。</w:t>
            </w:r>
          </w:p>
        </w:tc>
      </w:tr>
      <w:tr>
        <w:tc>
          <w:tcPr>
            <w:tcW w:w="0" w:type="auto"/>
          </w:tcPr>
          <w:p>
            <w:pPr/>
            <w:r>
              <w:rPr>
                <w:rFonts w:ascii="Times New Roman" w:eastAsia="宋体"/>
                <w:sz w:val="21"/>
              </w:rPr>
              <w:t xml:space="preserve">G-907</w:t>
            </w:r>
          </w:p>
        </w:tc>
        <w:tc>
          <w:tcPr>
            <w:tcW w:w="0" w:type="auto"/>
          </w:tcPr>
          <w:p>
            <w:pPr/>
            <w:r>
              <w:rPr>
                <w:rFonts w:ascii="Times New Roman" w:eastAsia="宋体"/>
                <w:sz w:val="21"/>
              </w:rPr>
              <w:t xml:space="preserve">explicit_unknown</w:t>
            </w:r>
          </w:p>
        </w:tc>
        <w:tc>
          <w:tcPr>
            <w:tcW w:w="0" w:type="auto"/>
          </w:tcPr>
          <w:p>
            <w:pPr/>
            <w:r>
              <w:rPr>
                <w:rFonts w:ascii="Times New Roman" w:eastAsia="宋体"/>
                <w:sz w:val="21"/>
              </w:rPr>
              <w:t xml:space="preserve">竣工财务决算批准文号</w:t>
            </w:r>
          </w:p>
        </w:tc>
        <w:tc>
          <w:tcPr>
            <w:tcW w:w="0" w:type="auto"/>
          </w:tcPr>
          <w:p>
            <w:pPr/>
            <w:r>
              <w:rPr>
                <w:rFonts w:ascii="Times New Roman" w:eastAsia="宋体"/>
                <w:sz w:val="21"/>
              </w:rPr>
              <w:t xml:space="preserve">原文述及报发展规划司批准，未给出文号。</w:t>
            </w:r>
          </w:p>
        </w:tc>
      </w:tr>
      <w:tr>
        <w:tc>
          <w:tcPr>
            <w:tcW w:w="0" w:type="auto"/>
          </w:tcPr>
          <w:p>
            <w:pPr/>
            <w:r>
              <w:rPr>
                <w:rFonts w:ascii="Times New Roman" w:eastAsia="宋体"/>
                <w:sz w:val="21"/>
              </w:rPr>
              <w:t xml:space="preserve">G-911</w:t>
            </w:r>
          </w:p>
        </w:tc>
        <w:tc>
          <w:tcPr>
            <w:tcW w:w="0" w:type="auto"/>
          </w:tcPr>
          <w:p>
            <w:pPr/>
            <w:r>
              <w:rPr>
                <w:rFonts w:ascii="Times New Roman" w:eastAsia="宋体"/>
                <w:sz w:val="21"/>
              </w:rPr>
              <w:t xml:space="preserve">basis_missing</w:t>
            </w:r>
          </w:p>
        </w:tc>
        <w:tc>
          <w:tcPr>
            <w:tcW w:w="0" w:type="auto"/>
          </w:tcPr>
          <w:p>
            <w:pPr/>
            <w:r>
              <w:rPr>
                <w:rFonts w:ascii="Times New Roman" w:eastAsia="宋体"/>
                <w:sz w:val="21"/>
              </w:rPr>
              <w:t xml:space="preserve">R-消防用水量合计</w:t>
            </w:r>
          </w:p>
        </w:tc>
        <w:tc>
          <w:tcPr>
            <w:tcW w:w="0" w:type="auto"/>
          </w:tcPr>
          <w:p>
            <w:pPr/>
            <w:r>
              <w:rPr>
                <w:rFonts w:ascii="Times New Roman" w:eastAsia="宋体"/>
                <w:sz w:val="21"/>
              </w:rPr>
              <w:t xml:space="preserve">外部依据未取到，结论为「待核查」：不下判定、不用沾边文件顶上。须补取：补取 GB50084-2017 表5.0.1 原文（含民用建筑危险等级</w:t>
            </w:r>
          </w:p>
        </w:tc>
      </w:tr>
      <w:tr>
        <w:tc>
          <w:tcPr>
            <w:tcW w:w="0" w:type="auto"/>
          </w:tcPr>
          <w:p>
            <w:pPr/>
            <w:r>
              <w:rPr>
                <w:rFonts w:ascii="Times New Roman" w:eastAsia="宋体"/>
                <w:sz w:val="21"/>
              </w:rPr>
              <w:t xml:space="preserve">G-912</w:t>
            </w:r>
          </w:p>
        </w:tc>
        <w:tc>
          <w:tcPr>
            <w:tcW w:w="0" w:type="auto"/>
          </w:tcPr>
          <w:p>
            <w:pPr/>
            <w:r>
              <w:rPr>
                <w:rFonts w:ascii="Times New Roman" w:eastAsia="宋体"/>
                <w:sz w:val="21"/>
              </w:rPr>
              <w:t xml:space="preserve">basis_missing</w:t>
            </w:r>
          </w:p>
        </w:tc>
        <w:tc>
          <w:tcPr>
            <w:tcW w:w="0" w:type="auto"/>
          </w:tcPr>
          <w:p>
            <w:pPr/>
            <w:r>
              <w:rPr>
                <w:rFonts w:ascii="Times New Roman" w:eastAsia="宋体"/>
                <w:sz w:val="21"/>
              </w:rPr>
              <w:t xml:space="preserve">R-应建规模</w:t>
            </w:r>
          </w:p>
        </w:tc>
        <w:tc>
          <w:tcPr>
            <w:tcW w:w="0" w:type="auto"/>
          </w:tcPr>
          <w:p>
            <w:pPr/>
            <w:r>
              <w:rPr>
                <w:rFonts w:ascii="Times New Roman" w:eastAsia="宋体"/>
                <w:sz w:val="21"/>
              </w:rPr>
              <w:t xml:space="preserve">外部依据未取到，结论为「待核查」：不下判定、不用沾边文件顶上。须补取：补取建标191-2018 附录B（附表B）原文，确认研究生实验研究用房</w:t>
            </w:r>
          </w:p>
        </w:tc>
      </w:tr>
    </w:tbl>
    <w:p>
      <w:pPr/>
      <w:r>
        <w:rPr>
          <w:rFonts w:ascii="Times New Roman" w:eastAsia="宋体"/>
          <w:sz w:val="21"/>
        </w:rPr>
        <w:t xml:space="preserve">其中优先级最高的三项是：</w:t>
      </w:r>
      <w:r>
        <w:rPr>
          <w:b/>
          <w:rFonts w:ascii="Times New Roman" w:eastAsia="宋体"/>
          <w:sz w:val="21"/>
        </w:rPr>
        <w:t xml:space="preserve">① 实验室通风专项取值</w:t>
      </w:r>
      <w:r>
        <w:rPr>
          <w:rFonts w:ascii="Times New Roman" w:eastAsia="宋体"/>
          <w:sz w:val="21"/>
        </w:rPr>
        <w:t xml:space="preserve">（换气次数、通风柜台数、排风量）——高校科研用房评审必问，缺此一项会让技术方案章退化为通用条款；</w:t>
      </w:r>
      <w:r>
        <w:rPr>
          <w:b/>
          <w:rFonts w:ascii="Times New Roman" w:eastAsia="宋体"/>
          <w:sz w:val="21"/>
        </w:rPr>
        <w:t xml:space="preserve">② 负荷估算的面积基数口径</w:t>
      </w:r>
      <w:r>
        <w:rPr>
          <w:rFonts w:ascii="Times New Roman" w:eastAsia="宋体"/>
          <w:sz w:val="21"/>
        </w:rPr>
        <w:t xml:space="preserve">——决定强电负荷估算能否被复核；</w:t>
      </w:r>
      <w:r>
        <w:rPr>
          <w:b/>
          <w:rFonts w:ascii="Times New Roman" w:eastAsia="宋体"/>
          <w:sz w:val="21"/>
        </w:rPr>
        <w:t xml:space="preserve">③ 建标 191-2018 附录 B 的指标数值</w:t>
      </w:r>
      <w:r>
        <w:rPr>
          <w:rFonts w:ascii="Times New Roman" w:eastAsia="宋体"/>
          <w:sz w:val="21"/>
        </w:rPr>
        <w:t xml:space="preserve">——决定研究生用房人均指标 8 ㎡/人 能否被核实。</w:t>
      </w:r>
    </w:p>
    <w:p>
      <w:pPr>
        <w:pStyle w:val="Heading1"/>
      </w:pPr>
      <w:r>
        <w:rPr>
          <w:rFonts w:ascii="Times New Roman" w:eastAsia="宋体"/>
          <w:sz w:val="21"/>
        </w:rPr>
        <w:t xml:space="preserve">附录三　外部依据与合规复核汇总</w:t>
      </w:r>
    </w:p>
    <w:p>
      <w:pPr/>
      <w:r>
        <w:rPr>
          <w:rFonts w:ascii="Times New Roman" w:eastAsia="宋体"/>
          <w:sz w:val="21"/>
        </w:rPr>
        <w:t xml:space="preserve">本附录汇总报告技术函数与外部规范/政策条款的绑定关系及复核结论。四类判定含义：</w:t>
      </w:r>
      <w:r>
        <w:rPr>
          <w:b/>
          <w:rFonts w:ascii="Times New Roman" w:eastAsia="宋体"/>
          <w:sz w:val="21"/>
        </w:rPr>
        <w:t xml:space="preserve">合规</w:t>
      </w:r>
      <w:r>
        <w:rPr>
          <w:rFonts w:ascii="Times New Roman" w:eastAsia="宋体"/>
          <w:sz w:val="21"/>
        </w:rPr>
        <w:t xml:space="preserve">（取值与依据一致）；</w:t>
      </w:r>
      <w:r>
        <w:rPr>
          <w:b/>
          <w:rFonts w:ascii="Times New Roman" w:eastAsia="宋体"/>
          <w:sz w:val="21"/>
        </w:rPr>
        <w:t xml:space="preserve">不合规</w:t>
      </w:r>
      <w:r>
        <w:rPr>
          <w:rFonts w:ascii="Times New Roman" w:eastAsia="宋体"/>
          <w:sz w:val="21"/>
        </w:rPr>
        <w:t xml:space="preserve">（取值与依据冲突，须改正）；</w:t>
      </w:r>
      <w:r>
        <w:rPr>
          <w:b/>
          <w:rFonts w:ascii="Times New Roman" w:eastAsia="宋体"/>
          <w:sz w:val="21"/>
        </w:rPr>
        <w:t xml:space="preserve">待审</w:t>
      </w:r>
      <w:r>
        <w:rPr>
          <w:rFonts w:ascii="Times New Roman" w:eastAsia="宋体"/>
          <w:sz w:val="21"/>
        </w:rPr>
        <w:t xml:space="preserve">（前提未裁决，给出分支结论）；</w:t>
      </w:r>
      <w:r>
        <w:rPr>
          <w:b/>
          <w:rFonts w:ascii="Times New Roman" w:eastAsia="宋体"/>
          <w:sz w:val="21"/>
        </w:rPr>
        <w:t xml:space="preserve">待核查</w:t>
      </w:r>
      <w:r>
        <w:rPr>
          <w:rFonts w:ascii="Times New Roman" w:eastAsia="宋体"/>
          <w:sz w:val="21"/>
        </w:rPr>
        <w:t xml:space="preserve">（依据原文未取到，不下判定）。</w:t>
      </w:r>
    </w:p>
    <w:p>
      <w:pPr/>
      <w:r>
        <w:rPr>
          <w:b/>
          <w:rFonts w:ascii="Times New Roman" w:eastAsia="宋体"/>
          <w:sz w:val="21"/>
        </w:rPr>
        <w:t xml:space="preserve">附表B-1 外部依据与合规复核汇总</w:t>
      </w:r>
    </w:p>
    <w:tbl>
      <w:tblPr>
        <w:tblStyle w:val="TableGrid"/>
        <w:tblW w:w="5000" w:type="pct"/>
        <w:tblBorders>
          <w:top w:val="single" w:sz="4" w:color="808080"/>
          <w:left w:val="single" w:sz="4" w:color="808080"/>
          <w:bottom w:val="single" w:sz="4" w:color="808080"/>
          <w:right w:val="single" w:sz="4" w:color="808080"/>
          <w:insideH w:val="single" w:sz="4" w:color="808080"/>
          <w:insideV w:val="single" w:sz="4" w:color="808080"/>
        </w:tblBorders>
      </w:tblPr>
      <w:tr>
        <w:tc>
          <w:tcPr>
            <w:tcW w:w="0" w:type="auto"/>
          </w:tcPr>
          <w:p>
            <w:pPr/>
            <w:r>
              <w:rPr>
                <w:b/>
                <w:rFonts w:ascii="Times New Roman" w:eastAsia="宋体"/>
                <w:sz w:val="21"/>
              </w:rPr>
              <w:t xml:space="preserve">绑定</w:t>
            </w:r>
          </w:p>
        </w:tc>
        <w:tc>
          <w:tcPr>
            <w:tcW w:w="0" w:type="auto"/>
          </w:tcPr>
          <w:p>
            <w:pPr/>
            <w:r>
              <w:rPr>
                <w:b/>
                <w:rFonts w:ascii="Times New Roman" w:eastAsia="宋体"/>
                <w:sz w:val="21"/>
              </w:rPr>
              <w:t xml:space="preserve">判定</w:t>
            </w:r>
          </w:p>
        </w:tc>
        <w:tc>
          <w:tcPr>
            <w:tcW w:w="0" w:type="auto"/>
          </w:tcPr>
          <w:p>
            <w:pPr/>
            <w:r>
              <w:rPr>
                <w:b/>
                <w:rFonts w:ascii="Times New Roman" w:eastAsia="宋体"/>
                <w:sz w:val="21"/>
              </w:rPr>
              <w:t xml:space="preserve">报告取值</w:t>
            </w:r>
          </w:p>
        </w:tc>
        <w:tc>
          <w:tcPr>
            <w:tcW w:w="0" w:type="auto"/>
          </w:tcPr>
          <w:p>
            <w:pPr/>
            <w:r>
              <w:rPr>
                <w:b/>
                <w:rFonts w:ascii="Times New Roman" w:eastAsia="宋体"/>
                <w:sz w:val="21"/>
              </w:rPr>
              <w:t xml:space="preserve">依据条款</w:t>
            </w:r>
          </w:p>
        </w:tc>
        <w:tc>
          <w:tcPr>
            <w:tcW w:w="0" w:type="auto"/>
          </w:tcPr>
          <w:p>
            <w:pPr/>
            <w:r>
              <w:rPr>
                <w:b/>
                <w:rFonts w:ascii="Times New Roman" w:eastAsia="宋体"/>
                <w:sz w:val="21"/>
              </w:rPr>
              <w:t xml:space="preserve">角色</w:t>
            </w:r>
          </w:p>
        </w:tc>
      </w:tr>
      <w:tr>
        <w:tc>
          <w:tcPr>
            <w:tcW w:w="0" w:type="auto"/>
          </w:tcPr>
          <w:p>
            <w:pPr/>
            <w:r>
              <w:rPr>
                <w:rFonts w:ascii="Times New Roman" w:eastAsia="宋体"/>
                <w:sz w:val="21"/>
              </w:rPr>
              <w:t xml:space="preserve">B-01</w:t>
            </w:r>
          </w:p>
        </w:tc>
        <w:tc>
          <w:tcPr>
            <w:tcW w:w="0" w:type="auto"/>
          </w:tcPr>
          <w:p>
            <w:pPr/>
            <w:r>
              <w:rPr>
                <w:rFonts w:ascii="Times New Roman" w:eastAsia="宋体"/>
                <w:sz w:val="21"/>
              </w:rPr>
              <w:t xml:space="preserve">待审</w:t>
            </w:r>
          </w:p>
        </w:tc>
        <w:tc>
          <w:tcPr>
            <w:tcW w:w="0" w:type="auto"/>
          </w:tcPr>
          <w:p>
            <w:pPr/>
            <w:r>
              <w:rPr>
                <w:rFonts w:ascii="Times New Roman" w:eastAsia="宋体"/>
                <w:sz w:val="21"/>
              </w:rPr>
              <w:t xml:space="preserve">R-建筑高度校核</w:t>
            </w:r>
          </w:p>
        </w:tc>
        <w:tc>
          <w:tcPr>
            <w:tcW w:w="0" w:type="auto"/>
          </w:tcPr>
          <w:p>
            <w:pPr/>
            <w:r>
              <w:rPr>
                <w:rFonts w:ascii="Times New Roman" w:eastAsia="宋体"/>
                <w:sz w:val="21"/>
              </w:rPr>
              <w:t xml:space="preserve">GB50016-2014 第5.1.1条；GB50016-2014 表5.1.1</w:t>
            </w:r>
          </w:p>
        </w:tc>
        <w:tc>
          <w:tcPr>
            <w:tcW w:w="0" w:type="auto"/>
          </w:tcPr>
          <w:p>
            <w:pPr/>
            <w:r>
              <w:rPr>
                <w:rFonts w:ascii="Times New Roman" w:eastAsia="宋体"/>
                <w:sz w:val="21"/>
              </w:rPr>
              <w:t xml:space="preserve">constrains</w:t>
            </w:r>
          </w:p>
        </w:tc>
      </w:tr>
      <w:tr>
        <w:tc>
          <w:tcPr>
            <w:tcW w:w="0" w:type="auto"/>
          </w:tcPr>
          <w:p>
            <w:pPr/>
            <w:r>
              <w:rPr>
                <w:rFonts w:ascii="Times New Roman" w:eastAsia="宋体"/>
                <w:sz w:val="21"/>
              </w:rPr>
              <w:t xml:space="preserve">B-02</w:t>
            </w:r>
          </w:p>
        </w:tc>
        <w:tc>
          <w:tcPr>
            <w:tcW w:w="0" w:type="auto"/>
          </w:tcPr>
          <w:p>
            <w:pPr/>
            <w:r>
              <w:rPr>
                <w:rFonts w:ascii="Times New Roman" w:eastAsia="宋体"/>
                <w:sz w:val="21"/>
              </w:rPr>
              <w:t xml:space="preserve">待审</w:t>
            </w:r>
          </w:p>
        </w:tc>
        <w:tc>
          <w:tcPr>
            <w:tcW w:w="0" w:type="auto"/>
          </w:tcPr>
          <w:p>
            <w:pPr/>
            <w:r>
              <w:rPr>
                <w:rFonts w:ascii="Times New Roman" w:eastAsia="宋体"/>
                <w:sz w:val="21"/>
              </w:rPr>
              <w:t xml:space="preserve">耐火等级取值</w:t>
            </w:r>
          </w:p>
        </w:tc>
        <w:tc>
          <w:tcPr>
            <w:tcW w:w="0" w:type="auto"/>
          </w:tcPr>
          <w:p>
            <w:pPr/>
            <w:r>
              <w:rPr>
                <w:rFonts w:ascii="Times New Roman" w:eastAsia="宋体"/>
                <w:sz w:val="21"/>
              </w:rPr>
              <w:t xml:space="preserve">GB50016-2014 第5.1.3条</w:t>
            </w:r>
          </w:p>
        </w:tc>
        <w:tc>
          <w:tcPr>
            <w:tcW w:w="0" w:type="auto"/>
          </w:tcPr>
          <w:p>
            <w:pPr/>
            <w:r>
              <w:rPr>
                <w:rFonts w:ascii="Times New Roman" w:eastAsia="宋体"/>
                <w:sz w:val="21"/>
              </w:rPr>
              <w:t xml:space="preserve">constrains</w:t>
            </w:r>
          </w:p>
        </w:tc>
      </w:tr>
      <w:tr>
        <w:tc>
          <w:tcPr>
            <w:tcW w:w="0" w:type="auto"/>
          </w:tcPr>
          <w:p>
            <w:pPr/>
            <w:r>
              <w:rPr>
                <w:rFonts w:ascii="Times New Roman" w:eastAsia="宋体"/>
                <w:sz w:val="21"/>
              </w:rPr>
              <w:t xml:space="preserve">B-03</w:t>
            </w:r>
          </w:p>
        </w:tc>
        <w:tc>
          <w:tcPr>
            <w:tcW w:w="0" w:type="auto"/>
          </w:tcPr>
          <w:p>
            <w:pPr/>
            <w:r>
              <w:rPr>
                <w:rFonts w:ascii="Times New Roman" w:eastAsia="宋体"/>
                <w:sz w:val="21"/>
              </w:rPr>
              <w:t xml:space="preserve">待审</w:t>
            </w:r>
          </w:p>
        </w:tc>
        <w:tc>
          <w:tcPr>
            <w:tcW w:w="0" w:type="auto"/>
          </w:tcPr>
          <w:p>
            <w:pPr/>
            <w:r>
              <w:rPr>
                <w:rFonts w:ascii="Times New Roman" w:eastAsia="宋体"/>
                <w:sz w:val="21"/>
              </w:rPr>
              <w:t xml:space="preserve">高位消防水箱有效容积</w:t>
            </w:r>
          </w:p>
        </w:tc>
        <w:tc>
          <w:tcPr>
            <w:tcW w:w="0" w:type="auto"/>
          </w:tcPr>
          <w:p>
            <w:pPr/>
            <w:r>
              <w:rPr>
                <w:rFonts w:ascii="Times New Roman" w:eastAsia="宋体"/>
                <w:sz w:val="21"/>
              </w:rPr>
              <w:t xml:space="preserve">GB50974-2014 第5.2.1条</w:t>
            </w:r>
          </w:p>
        </w:tc>
        <w:tc>
          <w:tcPr>
            <w:tcW w:w="0" w:type="auto"/>
          </w:tcPr>
          <w:p>
            <w:pPr/>
            <w:r>
              <w:rPr>
                <w:rFonts w:ascii="Times New Roman" w:eastAsia="宋体"/>
                <w:sz w:val="21"/>
              </w:rPr>
              <w:t xml:space="preserve">constrains</w:t>
            </w:r>
          </w:p>
        </w:tc>
      </w:tr>
      <w:tr>
        <w:tc>
          <w:tcPr>
            <w:tcW w:w="0" w:type="auto"/>
          </w:tcPr>
          <w:p>
            <w:pPr/>
            <w:r>
              <w:rPr>
                <w:rFonts w:ascii="Times New Roman" w:eastAsia="宋体"/>
                <w:sz w:val="21"/>
              </w:rPr>
              <w:t xml:space="preserve">B-04</w:t>
            </w:r>
          </w:p>
        </w:tc>
        <w:tc>
          <w:tcPr>
            <w:tcW w:w="0" w:type="auto"/>
          </w:tcPr>
          <w:p>
            <w:pPr/>
            <w:r>
              <w:rPr>
                <w:rFonts w:ascii="Times New Roman" w:eastAsia="宋体"/>
                <w:sz w:val="21"/>
              </w:rPr>
              <w:t xml:space="preserve">待核查</w:t>
            </w:r>
          </w:p>
        </w:tc>
        <w:tc>
          <w:tcPr>
            <w:tcW w:w="0" w:type="auto"/>
          </w:tcPr>
          <w:p>
            <w:pPr/>
            <w:r>
              <w:rPr>
                <w:rFonts w:ascii="Times New Roman" w:eastAsia="宋体"/>
                <w:sz w:val="21"/>
              </w:rPr>
              <w:t xml:space="preserve">R-消防用水量合计</w:t>
            </w:r>
          </w:p>
        </w:tc>
        <w:tc>
          <w:tcPr>
            <w:tcW w:w="0" w:type="auto"/>
          </w:tcPr>
          <w:p>
            <w:pPr/>
            <w:r>
              <w:rPr>
                <w:rFonts w:ascii="Times New Roman" w:eastAsia="宋体"/>
                <w:sz w:val="21"/>
              </w:rPr>
              <w:t xml:space="preserve">GB50084-2017 第5.0.1条</w:t>
            </w:r>
          </w:p>
        </w:tc>
        <w:tc>
          <w:tcPr>
            <w:tcW w:w="0" w:type="auto"/>
          </w:tcPr>
          <w:p>
            <w:pPr/>
            <w:r>
              <w:rPr>
                <w:rFonts w:ascii="Times New Roman" w:eastAsia="宋体"/>
                <w:sz w:val="21"/>
              </w:rPr>
              <w:t xml:space="preserve">constrains</w:t>
            </w:r>
          </w:p>
        </w:tc>
      </w:tr>
      <w:tr>
        <w:tc>
          <w:tcPr>
            <w:tcW w:w="0" w:type="auto"/>
          </w:tcPr>
          <w:p>
            <w:pPr/>
            <w:r>
              <w:rPr>
                <w:rFonts w:ascii="Times New Roman" w:eastAsia="宋体"/>
                <w:sz w:val="21"/>
              </w:rPr>
              <w:t xml:space="preserve">B-05</w:t>
            </w:r>
          </w:p>
        </w:tc>
        <w:tc>
          <w:tcPr>
            <w:tcW w:w="0" w:type="auto"/>
          </w:tcPr>
          <w:p>
            <w:pPr/>
            <w:r>
              <w:rPr>
                <w:rFonts w:ascii="Times New Roman" w:eastAsia="宋体"/>
                <w:sz w:val="21"/>
              </w:rPr>
              <w:t xml:space="preserve">合规</w:t>
            </w:r>
          </w:p>
        </w:tc>
        <w:tc>
          <w:tcPr>
            <w:tcW w:w="0" w:type="auto"/>
          </w:tcPr>
          <w:p>
            <w:pPr/>
            <w:r>
              <w:rPr>
                <w:rFonts w:ascii="Times New Roman" w:eastAsia="宋体"/>
                <w:sz w:val="21"/>
              </w:rPr>
              <w:t xml:space="preserve">抗震设防类别取值</w:t>
            </w:r>
          </w:p>
        </w:tc>
        <w:tc>
          <w:tcPr>
            <w:tcW w:w="0" w:type="auto"/>
          </w:tcPr>
          <w:p>
            <w:pPr/>
            <w:r>
              <w:rPr>
                <w:rFonts w:ascii="Times New Roman" w:eastAsia="宋体"/>
                <w:sz w:val="21"/>
              </w:rPr>
              <w:t xml:space="preserve">GB50223-2008 第6.0.9条；GB50223-2008 第6.0.8条；GB50223-2008 第6.0.11条；GB5022</w:t>
            </w:r>
          </w:p>
        </w:tc>
        <w:tc>
          <w:tcPr>
            <w:tcW w:w="0" w:type="auto"/>
          </w:tcPr>
          <w:p>
            <w:pPr/>
            <w:r>
              <w:rPr>
                <w:rFonts w:ascii="Times New Roman" w:eastAsia="宋体"/>
                <w:sz w:val="21"/>
              </w:rPr>
              <w:t xml:space="preserve">constrains</w:t>
            </w:r>
          </w:p>
        </w:tc>
      </w:tr>
      <w:tr>
        <w:tc>
          <w:tcPr>
            <w:tcW w:w="0" w:type="auto"/>
          </w:tcPr>
          <w:p>
            <w:pPr/>
            <w:r>
              <w:rPr>
                <w:rFonts w:ascii="Times New Roman" w:eastAsia="宋体"/>
                <w:sz w:val="21"/>
              </w:rPr>
              <w:t xml:space="preserve">B-06</w:t>
            </w:r>
          </w:p>
        </w:tc>
        <w:tc>
          <w:tcPr>
            <w:tcW w:w="0" w:type="auto"/>
          </w:tcPr>
          <w:p>
            <w:pPr/>
            <w:r>
              <w:rPr>
                <w:rFonts w:ascii="Times New Roman" w:eastAsia="宋体"/>
                <w:sz w:val="21"/>
              </w:rPr>
              <w:t xml:space="preserve">待审</w:t>
            </w:r>
          </w:p>
        </w:tc>
        <w:tc>
          <w:tcPr>
            <w:tcW w:w="0" w:type="auto"/>
          </w:tcPr>
          <w:p>
            <w:pPr/>
            <w:r>
              <w:rPr>
                <w:rFonts w:ascii="Times New Roman" w:eastAsia="宋体"/>
                <w:sz w:val="21"/>
              </w:rPr>
              <w:t xml:space="preserve">R-抗震分组校核</w:t>
            </w:r>
          </w:p>
        </w:tc>
        <w:tc>
          <w:tcPr>
            <w:tcW w:w="0" w:type="auto"/>
          </w:tcPr>
          <w:p>
            <w:pPr/>
            <w:r>
              <w:rPr>
                <w:rFonts w:ascii="Times New Roman" w:eastAsia="宋体"/>
                <w:sz w:val="21"/>
              </w:rPr>
              <w:t xml:space="preserve">GB50011-2010 附录A（上海市）</w:t>
            </w:r>
          </w:p>
        </w:tc>
        <w:tc>
          <w:tcPr>
            <w:tcW w:w="0" w:type="auto"/>
          </w:tcPr>
          <w:p>
            <w:pPr/>
            <w:r>
              <w:rPr>
                <w:rFonts w:ascii="Times New Roman" w:eastAsia="宋体"/>
                <w:sz w:val="21"/>
              </w:rPr>
              <w:t xml:space="preserve">constrains</w:t>
            </w:r>
          </w:p>
        </w:tc>
      </w:tr>
      <w:tr>
        <w:tc>
          <w:tcPr>
            <w:tcW w:w="0" w:type="auto"/>
          </w:tcPr>
          <w:p>
            <w:pPr/>
            <w:r>
              <w:rPr>
                <w:rFonts w:ascii="Times New Roman" w:eastAsia="宋体"/>
                <w:sz w:val="21"/>
              </w:rPr>
              <w:t xml:space="preserve">B-07</w:t>
            </w:r>
          </w:p>
        </w:tc>
        <w:tc>
          <w:tcPr>
            <w:tcW w:w="0" w:type="auto"/>
          </w:tcPr>
          <w:p>
            <w:pPr/>
            <w:r>
              <w:rPr>
                <w:rFonts w:ascii="Times New Roman" w:eastAsia="宋体"/>
                <w:sz w:val="21"/>
              </w:rPr>
              <w:t xml:space="preserve">合规</w:t>
            </w:r>
          </w:p>
        </w:tc>
        <w:tc>
          <w:tcPr>
            <w:tcW w:w="0" w:type="auto"/>
          </w:tcPr>
          <w:p>
            <w:pPr/>
            <w:r>
              <w:rPr>
                <w:rFonts w:ascii="Times New Roman" w:eastAsia="宋体"/>
                <w:sz w:val="21"/>
              </w:rPr>
              <w:t xml:space="preserve">R-应建规模</w:t>
            </w:r>
          </w:p>
        </w:tc>
        <w:tc>
          <w:tcPr>
            <w:tcW w:w="0" w:type="auto"/>
          </w:tcPr>
          <w:p>
            <w:pPr/>
            <w:r>
              <w:rPr>
                <w:rFonts w:ascii="Times New Roman" w:eastAsia="宋体"/>
                <w:sz w:val="21"/>
              </w:rPr>
              <w:t xml:space="preserve">建标191-2018 附录D</w:t>
            </w:r>
          </w:p>
        </w:tc>
        <w:tc>
          <w:tcPr>
            <w:tcW w:w="0" w:type="auto"/>
          </w:tcPr>
          <w:p>
            <w:pPr/>
            <w:r>
              <w:rPr>
                <w:rFonts w:ascii="Times New Roman" w:eastAsia="宋体"/>
                <w:sz w:val="21"/>
              </w:rPr>
              <w:t xml:space="preserve">warrants</w:t>
            </w:r>
          </w:p>
        </w:tc>
      </w:tr>
      <w:tr>
        <w:tc>
          <w:tcPr>
            <w:tcW w:w="0" w:type="auto"/>
          </w:tcPr>
          <w:p>
            <w:pPr/>
            <w:r>
              <w:rPr>
                <w:rFonts w:ascii="Times New Roman" w:eastAsia="宋体"/>
                <w:sz w:val="21"/>
              </w:rPr>
              <w:t xml:space="preserve">B-08</w:t>
            </w:r>
          </w:p>
        </w:tc>
        <w:tc>
          <w:tcPr>
            <w:tcW w:w="0" w:type="auto"/>
          </w:tcPr>
          <w:p>
            <w:pPr/>
            <w:r>
              <w:rPr>
                <w:rFonts w:ascii="Times New Roman" w:eastAsia="宋体"/>
                <w:sz w:val="21"/>
              </w:rPr>
              <w:t xml:space="preserve">待核查</w:t>
            </w:r>
          </w:p>
        </w:tc>
        <w:tc>
          <w:tcPr>
            <w:tcW w:w="0" w:type="auto"/>
          </w:tcPr>
          <w:p>
            <w:pPr/>
            <w:r>
              <w:rPr>
                <w:rFonts w:ascii="Times New Roman" w:eastAsia="宋体"/>
                <w:sz w:val="21"/>
              </w:rPr>
              <w:t xml:space="preserve">R-应建规模</w:t>
            </w:r>
          </w:p>
        </w:tc>
        <w:tc>
          <w:tcPr>
            <w:tcW w:w="0" w:type="auto"/>
          </w:tcPr>
          <w:p>
            <w:pPr/>
            <w:r>
              <w:rPr>
                <w:rFonts w:ascii="Times New Roman" w:eastAsia="宋体"/>
                <w:sz w:val="21"/>
              </w:rPr>
              <w:t xml:space="preserve">建标191-2018 附录B</w:t>
            </w:r>
          </w:p>
        </w:tc>
        <w:tc>
          <w:tcPr>
            <w:tcW w:w="0" w:type="auto"/>
          </w:tcPr>
          <w:p>
            <w:pPr/>
            <w:r>
              <w:rPr>
                <w:rFonts w:ascii="Times New Roman" w:eastAsia="宋体"/>
                <w:sz w:val="21"/>
              </w:rPr>
              <w:t xml:space="preserve">warrants</w:t>
            </w:r>
          </w:p>
        </w:tc>
      </w:tr>
      <w:tr>
        <w:tc>
          <w:tcPr>
            <w:tcW w:w="0" w:type="auto"/>
          </w:tcPr>
          <w:p>
            <w:pPr/>
            <w:r>
              <w:rPr>
                <w:rFonts w:ascii="Times New Roman" w:eastAsia="宋体"/>
                <w:sz w:val="21"/>
              </w:rPr>
              <w:t xml:space="preserve">B-09</w:t>
            </w:r>
          </w:p>
        </w:tc>
        <w:tc>
          <w:tcPr>
            <w:tcW w:w="0" w:type="auto"/>
          </w:tcPr>
          <w:p>
            <w:pPr/>
            <w:r>
              <w:rPr>
                <w:rFonts w:ascii="Times New Roman" w:eastAsia="宋体"/>
                <w:sz w:val="21"/>
              </w:rPr>
              <w:t xml:space="preserve">合规</w:t>
            </w:r>
          </w:p>
        </w:tc>
        <w:tc>
          <w:tcPr>
            <w:tcW w:w="0" w:type="auto"/>
          </w:tcPr>
          <w:p>
            <w:pPr/>
            <w:r>
              <w:rPr>
                <w:rFonts w:ascii="Times New Roman" w:eastAsia="宋体"/>
                <w:sz w:val="21"/>
              </w:rPr>
              <w:t xml:space="preserve">R-配套用房建筑面积</w:t>
            </w:r>
          </w:p>
        </w:tc>
        <w:tc>
          <w:tcPr>
            <w:tcW w:w="0" w:type="auto"/>
          </w:tcPr>
          <w:p>
            <w:pPr/>
            <w:r>
              <w:rPr>
                <w:rFonts w:ascii="Times New Roman" w:eastAsia="宋体"/>
                <w:sz w:val="21"/>
              </w:rPr>
              <w:t xml:space="preserve">建标191-2018 附录E</w:t>
            </w:r>
          </w:p>
        </w:tc>
        <w:tc>
          <w:tcPr>
            <w:tcW w:w="0" w:type="auto"/>
          </w:tcPr>
          <w:p>
            <w:pPr/>
            <w:r>
              <w:rPr>
                <w:rFonts w:ascii="Times New Roman" w:eastAsia="宋体"/>
                <w:sz w:val="21"/>
              </w:rPr>
              <w:t xml:space="preserve">warrants</w:t>
            </w:r>
          </w:p>
        </w:tc>
      </w:tr>
      <w:tr>
        <w:tc>
          <w:tcPr>
            <w:tcW w:w="0" w:type="auto"/>
          </w:tcPr>
          <w:p>
            <w:pPr/>
            <w:r>
              <w:rPr>
                <w:rFonts w:ascii="Times New Roman" w:eastAsia="宋体"/>
                <w:sz w:val="21"/>
              </w:rPr>
              <w:t xml:space="preserve">B-10</w:t>
            </w:r>
          </w:p>
        </w:tc>
        <w:tc>
          <w:tcPr>
            <w:tcW w:w="0" w:type="auto"/>
          </w:tcPr>
          <w:p>
            <w:pPr/>
            <w:r>
              <w:rPr>
                <w:rFonts w:ascii="Times New Roman" w:eastAsia="宋体"/>
                <w:sz w:val="21"/>
              </w:rPr>
              <w:t xml:space="preserve">待审</w:t>
            </w:r>
          </w:p>
        </w:tc>
        <w:tc>
          <w:tcPr>
            <w:tcW w:w="0" w:type="auto"/>
          </w:tcPr>
          <w:p>
            <w:pPr/>
            <w:r>
              <w:rPr>
                <w:rFonts w:ascii="Times New Roman" w:eastAsia="宋体"/>
                <w:sz w:val="21"/>
              </w:rPr>
              <w:t xml:space="preserve">引用标准版本</w:t>
            </w:r>
          </w:p>
        </w:tc>
        <w:tc>
          <w:tcPr>
            <w:tcW w:w="0" w:type="auto"/>
          </w:tcPr>
          <w:p>
            <w:pPr/>
            <w:r>
              <w:rPr>
                <w:rFonts w:ascii="Times New Roman" w:eastAsia="宋体"/>
                <w:sz w:val="21"/>
              </w:rPr>
              <w:t xml:space="preserve">住建部公告2019年第61号</w:t>
            </w:r>
          </w:p>
        </w:tc>
        <w:tc>
          <w:tcPr>
            <w:tcW w:w="0" w:type="auto"/>
          </w:tcPr>
          <w:p>
            <w:pPr/>
            <w:r>
              <w:rPr>
                <w:rFonts w:ascii="Times New Roman" w:eastAsia="宋体"/>
                <w:sz w:val="21"/>
              </w:rPr>
              <w:t xml:space="preserve">benchmark</w:t>
            </w:r>
          </w:p>
        </w:tc>
      </w:tr>
      <w:tr>
        <w:tc>
          <w:tcPr>
            <w:tcW w:w="0" w:type="auto"/>
          </w:tcPr>
          <w:p>
            <w:pPr/>
            <w:r>
              <w:rPr>
                <w:rFonts w:ascii="Times New Roman" w:eastAsia="宋体"/>
                <w:sz w:val="21"/>
              </w:rPr>
              <w:t xml:space="preserve">B-11</w:t>
            </w:r>
          </w:p>
        </w:tc>
        <w:tc>
          <w:tcPr>
            <w:tcW w:w="0" w:type="auto"/>
          </w:tcPr>
          <w:p>
            <w:pPr/>
            <w:r>
              <w:rPr>
                <w:rFonts w:ascii="Times New Roman" w:eastAsia="宋体"/>
                <w:sz w:val="21"/>
              </w:rPr>
              <w:t xml:space="preserve">不合规</w:t>
            </w:r>
          </w:p>
        </w:tc>
        <w:tc>
          <w:tcPr>
            <w:tcW w:w="0" w:type="auto"/>
          </w:tcPr>
          <w:p>
            <w:pPr/>
            <w:r>
              <w:rPr>
                <w:rFonts w:ascii="Times New Roman" w:eastAsia="宋体"/>
                <w:sz w:val="21"/>
              </w:rPr>
              <w:t xml:space="preserve">引用标准版本</w:t>
            </w:r>
          </w:p>
        </w:tc>
        <w:tc>
          <w:tcPr>
            <w:tcW w:w="0" w:type="auto"/>
          </w:tcPr>
          <w:p>
            <w:pPr/>
            <w:r>
              <w:rPr>
                <w:rFonts w:ascii="Times New Roman" w:eastAsia="宋体"/>
                <w:sz w:val="21"/>
              </w:rPr>
              <w:t xml:space="preserve">南建〔2015〕70号</w:t>
            </w:r>
          </w:p>
        </w:tc>
        <w:tc>
          <w:tcPr>
            <w:tcW w:w="0" w:type="auto"/>
          </w:tcPr>
          <w:p>
            <w:pPr/>
            <w:r>
              <w:rPr>
                <w:rFonts w:ascii="Times New Roman" w:eastAsia="宋体"/>
                <w:sz w:val="21"/>
              </w:rPr>
              <w:t xml:space="preserve">benchmark</w:t>
            </w:r>
          </w:p>
        </w:tc>
      </w:tr>
      <w:tr>
        <w:tc>
          <w:tcPr>
            <w:tcW w:w="0" w:type="auto"/>
          </w:tcPr>
          <w:p>
            <w:pPr/>
            <w:r>
              <w:rPr>
                <w:rFonts w:ascii="Times New Roman" w:eastAsia="宋体"/>
                <w:sz w:val="21"/>
              </w:rPr>
              <w:t xml:space="preserve">B-12</w:t>
            </w:r>
          </w:p>
        </w:tc>
        <w:tc>
          <w:tcPr>
            <w:tcW w:w="0" w:type="auto"/>
          </w:tcPr>
          <w:p>
            <w:pPr/>
            <w:r>
              <w:rPr>
                <w:rFonts w:ascii="Times New Roman" w:eastAsia="宋体"/>
                <w:sz w:val="21"/>
              </w:rPr>
              <w:t xml:space="preserve">不合规</w:t>
            </w:r>
          </w:p>
        </w:tc>
        <w:tc>
          <w:tcPr>
            <w:tcW w:w="0" w:type="auto"/>
          </w:tcPr>
          <w:p>
            <w:pPr/>
            <w:r>
              <w:rPr>
                <w:rFonts w:ascii="Times New Roman" w:eastAsia="宋体"/>
                <w:sz w:val="21"/>
              </w:rPr>
              <w:t xml:space="preserve">引用标准名称</w:t>
            </w:r>
          </w:p>
        </w:tc>
        <w:tc>
          <w:tcPr>
            <w:tcW w:w="0" w:type="auto"/>
          </w:tcPr>
          <w:p>
            <w:pPr/>
            <w:r>
              <w:rPr>
                <w:rFonts w:ascii="Times New Roman" w:eastAsia="宋体"/>
                <w:sz w:val="21"/>
              </w:rPr>
              <w:t xml:space="preserve">建标﹝2018﹞32号</w:t>
            </w:r>
          </w:p>
        </w:tc>
        <w:tc>
          <w:tcPr>
            <w:tcW w:w="0" w:type="auto"/>
          </w:tcPr>
          <w:p>
            <w:pPr/>
            <w:r>
              <w:rPr>
                <w:rFonts w:ascii="Times New Roman" w:eastAsia="宋体"/>
                <w:sz w:val="21"/>
              </w:rPr>
              <w:t xml:space="preserve">benchmark</w:t>
            </w:r>
          </w:p>
        </w:tc>
      </w:tr>
      <w:tr>
        <w:tc>
          <w:tcPr>
            <w:tcW w:w="0" w:type="auto"/>
          </w:tcPr>
          <w:p>
            <w:pPr/>
            <w:r>
              <w:rPr>
                <w:rFonts w:ascii="Times New Roman" w:eastAsia="宋体"/>
                <w:sz w:val="21"/>
              </w:rPr>
              <w:t xml:space="preserve">B-13</w:t>
            </w:r>
          </w:p>
        </w:tc>
        <w:tc>
          <w:tcPr>
            <w:tcW w:w="0" w:type="auto"/>
          </w:tcPr>
          <w:p>
            <w:pPr/>
            <w:r>
              <w:rPr>
                <w:rFonts w:ascii="Times New Roman" w:eastAsia="宋体"/>
                <w:sz w:val="21"/>
              </w:rPr>
              <w:t xml:space="preserve">合规</w:t>
            </w:r>
          </w:p>
        </w:tc>
        <w:tc>
          <w:tcPr>
            <w:tcW w:w="0" w:type="auto"/>
          </w:tcPr>
          <w:p>
            <w:pPr/>
            <w:r>
              <w:rPr>
                <w:rFonts w:ascii="Times New Roman" w:eastAsia="宋体"/>
                <w:sz w:val="21"/>
              </w:rPr>
              <w:t xml:space="preserve">招标范围判定（表12-1）</w:t>
            </w:r>
          </w:p>
        </w:tc>
        <w:tc>
          <w:tcPr>
            <w:tcW w:w="0" w:type="auto"/>
          </w:tcPr>
          <w:p>
            <w:pPr/>
            <w:r>
              <w:rPr>
                <w:rFonts w:ascii="Times New Roman" w:eastAsia="宋体"/>
                <w:sz w:val="21"/>
              </w:rPr>
              <w:t xml:space="preserve">国家发展改革委令第16号 第五条；国家发展改革委令第16号 第二条</w:t>
            </w:r>
          </w:p>
        </w:tc>
        <w:tc>
          <w:tcPr>
            <w:tcW w:w="0" w:type="auto"/>
          </w:tcPr>
          <w:p>
            <w:pPr/>
            <w:r>
              <w:rPr>
                <w:rFonts w:ascii="Times New Roman" w:eastAsia="宋体"/>
                <w:sz w:val="21"/>
              </w:rPr>
              <w:t xml:space="preserve">benchmark</w:t>
            </w:r>
          </w:p>
        </w:tc>
      </w:tr>
      <w:tr>
        <w:tc>
          <w:tcPr>
            <w:tcW w:w="0" w:type="auto"/>
          </w:tcPr>
          <w:p>
            <w:pPr/>
            <w:r>
              <w:rPr>
                <w:rFonts w:ascii="Times New Roman" w:eastAsia="宋体"/>
                <w:sz w:val="21"/>
              </w:rPr>
              <w:t xml:space="preserve">B-14</w:t>
            </w:r>
          </w:p>
        </w:tc>
        <w:tc>
          <w:tcPr>
            <w:tcW w:w="0" w:type="auto"/>
          </w:tcPr>
          <w:p>
            <w:pPr/>
            <w:r>
              <w:rPr>
                <w:rFonts w:ascii="Times New Roman" w:eastAsia="宋体"/>
                <w:sz w:val="21"/>
              </w:rPr>
              <w:t xml:space="preserve">不合规</w:t>
            </w:r>
          </w:p>
        </w:tc>
        <w:tc>
          <w:tcPr>
            <w:tcW w:w="0" w:type="auto"/>
          </w:tcPr>
          <w:p>
            <w:pPr/>
            <w:r>
              <w:rPr>
                <w:rFonts w:ascii="Times New Roman" w:eastAsia="宋体"/>
                <w:sz w:val="21"/>
              </w:rPr>
              <w:t xml:space="preserve">报告章节体系</w:t>
            </w:r>
          </w:p>
        </w:tc>
        <w:tc>
          <w:tcPr>
            <w:tcW w:w="0" w:type="auto"/>
          </w:tcPr>
          <w:p>
            <w:pPr/>
            <w:r>
              <w:rPr>
                <w:rFonts w:ascii="Times New Roman" w:eastAsia="宋体"/>
                <w:sz w:val="21"/>
              </w:rPr>
              <w:t xml:space="preserve">发改投资规〔2023〕304号</w:t>
            </w:r>
          </w:p>
        </w:tc>
        <w:tc>
          <w:tcPr>
            <w:tcW w:w="0" w:type="auto"/>
          </w:tcPr>
          <w:p>
            <w:pPr/>
            <w:r>
              <w:rPr>
                <w:rFonts w:ascii="Times New Roman" w:eastAsia="宋体"/>
                <w:sz w:val="21"/>
              </w:rPr>
              <w:t xml:space="preserve">driver</w:t>
            </w:r>
          </w:p>
        </w:tc>
      </w:tr>
      <w:tr>
        <w:tc>
          <w:tcPr>
            <w:tcW w:w="0" w:type="auto"/>
          </w:tcPr>
          <w:p>
            <w:pPr/>
            <w:r>
              <w:rPr>
                <w:rFonts w:ascii="Times New Roman" w:eastAsia="宋体"/>
                <w:sz w:val="21"/>
              </w:rPr>
              <w:t xml:space="preserve">B-15</w:t>
            </w:r>
          </w:p>
        </w:tc>
        <w:tc>
          <w:tcPr>
            <w:tcW w:w="0" w:type="auto"/>
          </w:tcPr>
          <w:p>
            <w:pPr/>
            <w:r>
              <w:rPr>
                <w:rFonts w:ascii="Times New Roman" w:eastAsia="宋体"/>
                <w:sz w:val="21"/>
              </w:rPr>
              <w:t xml:space="preserve">合规</w:t>
            </w:r>
          </w:p>
        </w:tc>
        <w:tc>
          <w:tcPr>
            <w:tcW w:w="0" w:type="auto"/>
          </w:tcPr>
          <w:p>
            <w:pPr/>
            <w:r>
              <w:rPr>
                <w:rFonts w:ascii="Times New Roman" w:eastAsia="宋体"/>
                <w:sz w:val="21"/>
              </w:rPr>
              <w:t xml:space="preserve">引用标准时效</w:t>
            </w:r>
          </w:p>
        </w:tc>
        <w:tc>
          <w:tcPr>
            <w:tcW w:w="0" w:type="auto"/>
          </w:tcPr>
          <w:p>
            <w:pPr/>
            <w:r>
              <w:rPr>
                <w:rFonts w:ascii="Times New Roman" w:eastAsia="宋体"/>
                <w:sz w:val="21"/>
              </w:rPr>
              <w:t xml:space="preserve">住建部公告2019年第171号；国家发展改革委令第44号</w:t>
            </w:r>
          </w:p>
        </w:tc>
        <w:tc>
          <w:tcPr>
            <w:tcW w:w="0" w:type="auto"/>
          </w:tcPr>
          <w:p>
            <w:pPr/>
            <w:r>
              <w:rPr>
                <w:rFonts w:ascii="Times New Roman" w:eastAsia="宋体"/>
                <w:sz w:val="21"/>
              </w:rPr>
              <w:t xml:space="preserve">benchmark</w:t>
            </w:r>
          </w:p>
        </w:tc>
      </w:tr>
    </w:tbl>
    <w:p>
      <w:pPr>
        <w:pStyle w:val="Heading2"/>
      </w:pPr>
      <w:r>
        <w:rPr>
          <w:rFonts w:ascii="Times New Roman" w:eastAsia="宋体"/>
          <w:sz w:val="21"/>
        </w:rPr>
        <w:t xml:space="preserve">附录 3.1　三条不合规项</w:t>
      </w:r>
    </w:p>
    <w:p>
      <w:pPr/>
      <w:r>
        <w:rPr>
          <w:b/>
          <w:rFonts w:ascii="Times New Roman" w:eastAsia="宋体"/>
          <w:sz w:val="21"/>
        </w:rPr>
        <w:t xml:space="preserve">（1）引用已废止规范</w:t>
      </w:r>
      <w:r>
        <w:rPr>
          <w:rFonts w:ascii="Times New Roman" w:eastAsia="宋体"/>
          <w:sz w:val="21"/>
        </w:rPr>
        <w:t xml:space="preserve">：设计总说明将《高层民用建筑设计防火规范》列为设计依据，而该规范已自新版防火设计规范施行之日起废止。</w:t>
      </w:r>
    </w:p>
    <w:p>
      <w:pPr>
        <w:ind w:left="420"/>
      </w:pPr>
      <w:r>
        <w:rPr>
          <w:b/>
          <w:rFonts w:ascii="Times New Roman" w:eastAsia="宋体"/>
          <w:sz w:val="21"/>
        </w:rPr>
        <w:t xml:space="preserve">❌ 依据复核（B-11）</w:t>
      </w:r>
      <w:r>
        <w:rPr>
          <w:rFonts w:ascii="Times New Roman" w:eastAsia="宋体"/>
          <w:sz w:val="21"/>
        </w:rPr>
        <w:t xml:space="preserve">：报告 6.1 设计总说明把《高层民用建筑设计防火规范》列为设计依据。住建部、质检总局 2014-08-27 发布 GB50016-2014（2015-05-01 施行），</w:t>
      </w:r>
      <w:r>
        <w:rPr>
          <w:b/>
          <w:rFonts w:ascii="Times New Roman" w:eastAsia="宋体"/>
          <w:sz w:val="21"/>
        </w:rPr>
        <w:t xml:space="preserve">原《高层民用建筑设计防火规范》GB50045-95 同时废止</w:t>
      </w:r>
      <w:r>
        <w:rPr>
          <w:rFonts w:ascii="Times New Roman" w:eastAsia="宋体"/>
          <w:sz w:val="21"/>
        </w:rPr>
        <w:t xml:space="preserve">。本报告编制于 2019 年 8 月，距该规范废止已逾 4 年，属</w:t>
      </w:r>
      <w:r>
        <w:rPr>
          <w:b/>
          <w:rFonts w:ascii="Times New Roman" w:eastAsia="宋体"/>
          <w:sz w:val="21"/>
        </w:rPr>
        <w:t xml:space="preserve">引用已废止规范</w:t>
      </w:r>
      <w:r>
        <w:rPr>
          <w:rFonts w:ascii="Times New Roman" w:eastAsia="宋体"/>
          <w:sz w:val="21"/>
        </w:rPr>
        <w:t xml:space="preserve">。</w:t>
      </w:r>
    </w:p>
    <w:p>
      <w:pPr>
        <w:ind w:left="420"/>
      </w:pPr>
      <w:r>
        <w:rPr>
          <w:rFonts w:ascii="Times New Roman" w:eastAsia="宋体"/>
          <w:sz w:val="21"/>
        </w:rPr>
        <w:t xml:space="preserve">- 须核对：删除该依据或替换为现行《建筑设计防火规范》GB50016-2014（2018年版）</w:t>
      </w:r>
    </w:p>
    <w:p>
      <w:pPr/>
      <w:r>
        <w:rPr>
          <w:b/>
          <w:rFonts w:ascii="Times New Roman" w:eastAsia="宋体"/>
          <w:sz w:val="21"/>
        </w:rPr>
        <w:t xml:space="preserve">（2）沿用已废止的建设标准名称</w:t>
      </w:r>
      <w:r>
        <w:rPr>
          <w:rFonts w:ascii="Times New Roman" w:eastAsia="宋体"/>
          <w:sz w:val="21"/>
        </w:rPr>
        <w:t xml:space="preserve">：编制依据沿用《普通高等学校建筑规划面积指标》旧名称，而该名称对应的文件已被新名称文件替代。</w:t>
      </w:r>
    </w:p>
    <w:p>
      <w:pPr>
        <w:ind w:left="420"/>
      </w:pPr>
      <w:r>
        <w:rPr>
          <w:b/>
          <w:rFonts w:ascii="Times New Roman" w:eastAsia="宋体"/>
          <w:sz w:val="21"/>
        </w:rPr>
        <w:t xml:space="preserve">❌ 依据复核（B-12）</w:t>
      </w:r>
      <w:r>
        <w:rPr>
          <w:rFonts w:ascii="Times New Roman" w:eastAsia="宋体"/>
          <w:sz w:val="21"/>
        </w:rPr>
        <w:t xml:space="preserve">：报告 1.2 编制依据写作《普通高等学校</w:t>
      </w:r>
      <w:r>
        <w:rPr>
          <w:b/>
          <w:rFonts w:ascii="Times New Roman" w:eastAsia="宋体"/>
          <w:sz w:val="21"/>
        </w:rPr>
        <w:t xml:space="preserve">建筑规划</w:t>
      </w:r>
      <w:r>
        <w:rPr>
          <w:rFonts w:ascii="Times New Roman" w:eastAsia="宋体"/>
          <w:sz w:val="21"/>
        </w:rPr>
        <w:t xml:space="preserve">面积指标》（建标191-2018）。建标﹝2018﹞32号通知：正式名称为《普通高等学校</w:t>
      </w:r>
      <w:r>
        <w:rPr>
          <w:b/>
          <w:rFonts w:ascii="Times New Roman" w:eastAsia="宋体"/>
          <w:sz w:val="21"/>
        </w:rPr>
        <w:t xml:space="preserve">建筑</w:t>
      </w:r>
      <w:r>
        <w:rPr>
          <w:rFonts w:ascii="Times New Roman" w:eastAsia="宋体"/>
          <w:sz w:val="21"/>
        </w:rPr>
        <w:t xml:space="preserve">面积指标》，自 2018-09-01 施行，</w:t>
      </w:r>
      <w:r>
        <w:rPr>
          <w:b/>
          <w:rFonts w:ascii="Times New Roman" w:eastAsia="宋体"/>
          <w:sz w:val="21"/>
        </w:rPr>
        <w:t xml:space="preserve">原《普通高等学校建筑规划面积指标》同时废止</w:t>
      </w:r>
      <w:r>
        <w:rPr>
          <w:rFonts w:ascii="Times New Roman" w:eastAsia="宋体"/>
          <w:sz w:val="21"/>
        </w:rPr>
        <w:t xml:space="preserve">。报告编制于 2019 年 8 月，仍沿用已废止的旧文件名称；且同一报告 5.6 节又写作《普通高等学校建筑面积指标》，</w:t>
      </w:r>
      <w:r>
        <w:rPr>
          <w:b/>
          <w:rFonts w:ascii="Times New Roman" w:eastAsia="宋体"/>
          <w:sz w:val="21"/>
        </w:rPr>
        <w:t xml:space="preserve">同一编号两种名称并存</w:t>
      </w:r>
      <w:r>
        <w:rPr>
          <w:rFonts w:ascii="Times New Roman" w:eastAsia="宋体"/>
          <w:sz w:val="21"/>
        </w:rPr>
        <w:t xml:space="preserve">，其中一个是已废止名称。</w:t>
      </w:r>
    </w:p>
    <w:p>
      <w:pPr>
        <w:ind w:left="420"/>
      </w:pPr>
      <w:r>
        <w:rPr>
          <w:rFonts w:ascii="Times New Roman" w:eastAsia="宋体"/>
          <w:sz w:val="21"/>
        </w:rPr>
        <w:t xml:space="preserve">- 须核对：统一按现名《普通高等学校建筑面积指标》引用</w:t>
      </w:r>
    </w:p>
    <w:p>
      <w:pPr/>
      <w:r>
        <w:rPr>
          <w:b/>
          <w:rFonts w:ascii="Times New Roman" w:eastAsia="宋体"/>
          <w:sz w:val="21"/>
        </w:rPr>
        <w:t xml:space="preserve">（3）章节体系与现行大纲的覆盖差异</w:t>
      </w:r>
      <w:r>
        <w:rPr>
          <w:rFonts w:ascii="Times New Roman" w:eastAsia="宋体"/>
          <w:sz w:val="21"/>
        </w:rPr>
        <w:t xml:space="preserve">：按现行通用大纲法定十章 × 各章法定内容项逐项比对，本项目原报告缺少独立成章的运营方案，且投融资与财务方案章缺财务分析、影响效果分析章缺经济影响等内容项。</w:t>
      </w:r>
    </w:p>
    <w:p>
      <w:pPr>
        <w:ind w:left="420"/>
      </w:pPr>
      <w:r>
        <w:rPr>
          <w:b/>
          <w:rFonts w:ascii="Times New Roman" w:eastAsia="宋体"/>
          <w:sz w:val="21"/>
        </w:rPr>
        <w:t xml:space="preserve">❌ 依据复核（B-14）</w:t>
      </w:r>
      <w:r>
        <w:rPr>
          <w:rFonts w:ascii="Times New Roman" w:eastAsia="宋体"/>
          <w:sz w:val="21"/>
        </w:rPr>
        <w:t xml:space="preserve">：报告的章节体系为 16 章（2019 年编制）。按发改投资规〔2023〕304号《通用大纲》</w:t>
      </w:r>
      <w:r>
        <w:rPr>
          <w:b/>
          <w:rFonts w:ascii="Times New Roman" w:eastAsia="宋体"/>
          <w:sz w:val="21"/>
        </w:rPr>
        <w:t xml:space="preserve">法定十章 × 各章法定内容项</w:t>
      </w:r>
      <w:r>
        <w:rPr>
          <w:rFonts w:ascii="Times New Roman" w:eastAsia="宋体"/>
          <w:sz w:val="21"/>
        </w:rPr>
        <w:t xml:space="preserve">逐项比对：可对应 3 章、部分对应（有未覆盖内容项）6 章、</w:t>
      </w:r>
      <w:r>
        <w:rPr>
          <w:b/>
          <w:rFonts w:ascii="Times New Roman" w:eastAsia="宋体"/>
          <w:sz w:val="21"/>
        </w:rPr>
        <w:t xml:space="preserve">未见对应章 1 章</w:t>
      </w:r>
      <w:r>
        <w:rPr>
          <w:rFonts w:ascii="Times New Roman" w:eastAsia="宋体"/>
          <w:sz w:val="21"/>
        </w:rPr>
        <w:t xml:space="preserve">（项目运营方案）。部分对应的章及其未覆盖内容项：项目需求分析与产出方案（缺 项目产出方案）；项目选址与要素保障（缺 要素保障分析）；项目建设方案（缺 数字化方案、建设管理方案）；项目投融资与财务方案（缺 盈利能力分析、融资方案、债务清偿能力分析、财务可持续性分析）；项目影响效果分析（缺 经济影响分析）；项目风险管控方案（缺 风险应急预案）。报告编制时点早于 2023 版大纲，属版本代际差异；按现行口径编写时须以十章及其内容项为准。</w:t>
      </w:r>
    </w:p>
    <w:p>
      <w:pPr>
        <w:ind w:left="420"/>
      </w:pPr>
      <w:r>
        <w:rPr>
          <w:rFonts w:ascii="Times New Roman" w:eastAsia="宋体"/>
          <w:sz w:val="21"/>
        </w:rPr>
        <w:t xml:space="preserve">- 若 项目需求分析与产出方案 ⇒ 缺 项目产出方案</w:t>
      </w:r>
    </w:p>
    <w:p>
      <w:pPr>
        <w:ind w:left="420"/>
      </w:pPr>
      <w:r>
        <w:rPr>
          <w:rFonts w:ascii="Times New Roman" w:eastAsia="宋体"/>
          <w:sz w:val="21"/>
        </w:rPr>
        <w:t xml:space="preserve">- 若 项目选址与要素保障 ⇒ 缺 要素保障分析</w:t>
      </w:r>
    </w:p>
    <w:p>
      <w:pPr>
        <w:ind w:left="420"/>
      </w:pPr>
      <w:r>
        <w:rPr>
          <w:rFonts w:ascii="Times New Roman" w:eastAsia="宋体"/>
          <w:sz w:val="21"/>
        </w:rPr>
        <w:t xml:space="preserve">- 若 项目建设方案 ⇒ 缺 数字化方案、建设管理方案</w:t>
      </w:r>
    </w:p>
    <w:p>
      <w:pPr>
        <w:ind w:left="420"/>
      </w:pPr>
      <w:r>
        <w:rPr>
          <w:rFonts w:ascii="Times New Roman" w:eastAsia="宋体"/>
          <w:sz w:val="21"/>
        </w:rPr>
        <w:t xml:space="preserve">- 若 项目投融资与财务方案 ⇒ 缺 盈利能力分析、融资方案、债务清偿能力分析、财务可持续性分析</w:t>
      </w:r>
    </w:p>
    <w:p>
      <w:pPr>
        <w:ind w:left="420"/>
      </w:pPr>
      <w:r>
        <w:rPr>
          <w:rFonts w:ascii="Times New Roman" w:eastAsia="宋体"/>
          <w:sz w:val="21"/>
        </w:rPr>
        <w:t xml:space="preserve">- 若 项目影响效果分析 ⇒ 缺 经济影响分析</w:t>
      </w:r>
    </w:p>
    <w:p>
      <w:pPr>
        <w:ind w:left="420"/>
      </w:pPr>
      <w:r>
        <w:rPr>
          <w:rFonts w:ascii="Times New Roman" w:eastAsia="宋体"/>
          <w:sz w:val="21"/>
        </w:rPr>
        <w:t xml:space="preserve">- 若 项目风险管控方案 ⇒ 缺 风险应急预案</w:t>
      </w:r>
    </w:p>
    <w:p>
      <w:pPr>
        <w:ind w:left="420"/>
      </w:pPr>
      <w:r>
        <w:rPr>
          <w:rFonts w:ascii="Times New Roman" w:eastAsia="宋体"/>
          <w:sz w:val="21"/>
        </w:rPr>
        <w:t xml:space="preserve">- 须核对：确认项目资金性质（政府投资/企业投资）与报审时点，据此确定适用通用大纲还是参考大纲</w:t>
      </w:r>
    </w:p>
    <w:p>
      <w:pPr>
        <w:pStyle w:val="Heading2"/>
      </w:pPr>
      <w:r>
        <w:rPr>
          <w:rFonts w:ascii="Times New Roman" w:eastAsia="宋体"/>
          <w:sz w:val="21"/>
        </w:rPr>
        <w:t xml:space="preserve">附录 3.2　五条待审项（须先行裁决）</w:t>
      </w:r>
    </w:p>
    <w:p>
      <w:pPr/>
      <w:r>
        <w:rPr>
          <w:rFonts w:ascii="Times New Roman" w:eastAsia="宋体"/>
          <w:sz w:val="21"/>
        </w:rPr>
        <w:t xml:space="preserve">建筑高度与高层类别、耐火等级、高位消防水箱有效容积三者同源——均由建筑高度争议引发；抗震设计分组与特征周期为独立的一组；绿色建筑评价标准的版本适用性取决于实际报审时点。详见第六章与相关依据复核框。</w:t>
      </w:r>
    </w:p>
    <w:p>
      <w:pPr>
        <w:pStyle w:val="Heading2"/>
      </w:pPr>
      <w:r>
        <w:rPr>
          <w:rFonts w:ascii="Times New Roman" w:eastAsia="宋体"/>
          <w:sz w:val="21"/>
        </w:rPr>
        <w:t xml:space="preserve">附录 3.3　两条待核查项（依据未取到，不下判定）</w:t>
      </w:r>
    </w:p>
    <w:p>
      <w:pPr/>
      <w:r>
        <w:rPr>
          <w:rFonts w:ascii="Times New Roman" w:eastAsia="宋体"/>
          <w:sz w:val="21"/>
        </w:rPr>
        <w:t xml:space="preserve">（1）自动喷水灭火系统的设计基本参数表：被检索页面剥离了表格数值，无法核对报告的中危Ⅰ级喷水强度与作用面积取值。</w:t>
      </w:r>
    </w:p>
    <w:p>
      <w:pPr>
        <w:ind w:left="420"/>
      </w:pPr>
      <w:r>
        <w:rPr>
          <w:b/>
          <w:rFonts w:ascii="Times New Roman" w:eastAsia="宋体"/>
          <w:sz w:val="21"/>
        </w:rPr>
        <w:t xml:space="preserve">🔍 依据复核（B-04）</w:t>
      </w:r>
      <w:r>
        <w:rPr>
          <w:rFonts w:ascii="Times New Roman" w:eastAsia="宋体"/>
          <w:sz w:val="21"/>
        </w:rPr>
        <w:t xml:space="preserve">：报告 6.4.4 给出「地上部分按中危Ⅰ级，设计喷水强度 6 L/(min·㎡)，作用面积 160㎡，系统设计最小用水量 21 L/s」；而表6-3「消防用水量表」对自动喷水灭火系统取 25 L/s。两者并存（本包已登记为数字冲突）。要判定 6/160/21 是否正确，需 GB50084-2017 表5.0.1 中「中危Ⅰ级」对应的喷水强度与作用面积数值——该表在被检索页面中被剥离，</w:t>
      </w:r>
      <w:r>
        <w:rPr>
          <w:b/>
          <w:rFonts w:ascii="Times New Roman" w:eastAsia="宋体"/>
          <w:sz w:val="21"/>
        </w:rPr>
        <w:t xml:space="preserve">依据未取到，故不下判定</w:t>
      </w:r>
      <w:r>
        <w:rPr>
          <w:rFonts w:ascii="Times New Roman" w:eastAsia="宋体"/>
          <w:sz w:val="21"/>
        </w:rPr>
        <w:t xml:space="preserve">。</w:t>
      </w:r>
    </w:p>
    <w:p>
      <w:pPr>
        <w:ind w:left="420"/>
      </w:pPr>
      <w:r>
        <w:rPr>
          <w:rFonts w:ascii="Times New Roman" w:eastAsia="宋体"/>
          <w:sz w:val="21"/>
        </w:rPr>
        <w:t xml:space="preserve">- 须核对：补取 GB50084-2017 表5.0.1 原文（含民用建筑危险等级对应参数）；确认 21 L/s 与 25 L/s 两个数值的各自含义（设计最小用水量 vs 消防用水量表取值）</w:t>
      </w:r>
    </w:p>
    <w:p>
      <w:pPr/>
      <w:r>
        <w:rPr>
          <w:rFonts w:ascii="Times New Roman" w:eastAsia="宋体"/>
          <w:sz w:val="21"/>
        </w:rPr>
        <w:t xml:space="preserve">（2）建设标准附录 B 的研究生校舍建筑面积补助指标数值：未取到，无法核对报告的研究生用房人均指标。</w:t>
      </w:r>
    </w:p>
    <w:p>
      <w:pPr>
        <w:ind w:left="420"/>
      </w:pPr>
      <w:r>
        <w:rPr>
          <w:b/>
          <w:rFonts w:ascii="Times New Roman" w:eastAsia="宋体"/>
          <w:sz w:val="21"/>
        </w:rPr>
        <w:t xml:space="preserve">🔍 依据复核（B-08）</w:t>
      </w:r>
      <w:r>
        <w:rPr>
          <w:rFonts w:ascii="Times New Roman" w:eastAsia="宋体"/>
          <w:sz w:val="21"/>
        </w:rPr>
        <w:t xml:space="preserve">：报告 5.6 把「研究生、博士生、访问学者用房人均建筑面积指标应不超过 8㎡/人」与专职科研机构用房指标并列写在「参考《普通高等学校建筑面积指标》（建标191-2018）对</w:t>
      </w:r>
      <w:r>
        <w:rPr>
          <w:b/>
          <w:rFonts w:ascii="Times New Roman" w:eastAsia="宋体"/>
          <w:sz w:val="21"/>
        </w:rPr>
        <w:t xml:space="preserve">专职科研机构用房</w:t>
      </w:r>
      <w:r>
        <w:rPr>
          <w:rFonts w:ascii="Times New Roman" w:eastAsia="宋体"/>
          <w:sz w:val="21"/>
        </w:rPr>
        <w:t xml:space="preserve">的规划建筑面积指标的规定」之下。按建标191-2018 的体例，专职科研机构用房指标出自</w:t>
      </w:r>
      <w:r>
        <w:rPr>
          <w:b/>
          <w:rFonts w:ascii="Times New Roman" w:eastAsia="宋体"/>
          <w:sz w:val="21"/>
        </w:rPr>
        <w:t xml:space="preserve">附录D</w:t>
      </w:r>
      <w:r>
        <w:rPr>
          <w:rFonts w:ascii="Times New Roman" w:eastAsia="宋体"/>
          <w:sz w:val="21"/>
        </w:rPr>
        <w:t xml:space="preserve">；研究生用房指标应出自</w:t>
      </w:r>
      <w:r>
        <w:rPr>
          <w:b/>
          <w:rFonts w:ascii="Times New Roman" w:eastAsia="宋体"/>
          <w:sz w:val="21"/>
        </w:rPr>
        <w:t xml:space="preserve">附录B（研究生校舍建筑面积补助指标）</w:t>
      </w:r>
      <w:r>
        <w:rPr>
          <w:rFonts w:ascii="Times New Roman" w:eastAsia="宋体"/>
          <w:sz w:val="21"/>
        </w:rPr>
        <w:t xml:space="preserve">。报告未区分两个附录，且本次检索</w:t>
      </w:r>
      <w:r>
        <w:rPr>
          <w:b/>
          <w:rFonts w:ascii="Times New Roman" w:eastAsia="宋体"/>
          <w:sz w:val="21"/>
        </w:rPr>
        <w:t xml:space="preserve">未取到附表B 的数值</w:t>
      </w:r>
      <w:r>
        <w:rPr>
          <w:rFonts w:ascii="Times New Roman" w:eastAsia="宋体"/>
          <w:sz w:val="21"/>
        </w:rPr>
        <w:t xml:space="preserve">（只取到表16 研究生宿舍补助：硕士生 5.0㎡/生、博士生 10.0㎡/生）。故 8㎡/人 的出处与数值均</w:t>
      </w:r>
      <w:r>
        <w:rPr>
          <w:b/>
          <w:rFonts w:ascii="Times New Roman" w:eastAsia="宋体"/>
          <w:sz w:val="21"/>
        </w:rPr>
        <w:t xml:space="preserve">无法核对，不下判定</w:t>
      </w:r>
      <w:r>
        <w:rPr>
          <w:rFonts w:ascii="Times New Roman" w:eastAsia="宋体"/>
          <w:sz w:val="21"/>
        </w:rPr>
        <w:t xml:space="preserve">。</w:t>
      </w:r>
    </w:p>
    <w:p>
      <w:pPr>
        <w:ind w:left="420"/>
      </w:pPr>
      <w:r>
        <w:rPr>
          <w:rFonts w:ascii="Times New Roman" w:eastAsia="宋体"/>
          <w:sz w:val="21"/>
        </w:rPr>
        <w:t xml:space="preserve">- 须核对：补取建标191-2018 附录B（附表B）原文，确认研究生实验研究用房补助指标数值；确认 8㎡/人 的出处是附录B 还是其他条款；并修正报告 5.6 的援引表述</w:t>
      </w:r>
    </w:p>
    <w:p>
      <w:pPr/>
      <w:r>
        <w:rPr>
          <w:b/>
          <w:rFonts w:ascii="Times New Roman" w:eastAsia="宋体"/>
          <w:sz w:val="21"/>
        </w:rPr>
        <w:t xml:space="preserve">这两条之所以不下判定，是为了避免用「沾边的内容」替代缺失依据</w:t>
      </w:r>
      <w:r>
        <w:rPr>
          <w:rFonts w:ascii="Times New Roman" w:eastAsia="宋体"/>
          <w:sz w:val="21"/>
        </w:rPr>
        <w:t xml:space="preserve">——那是评审最难发现、也最致命的一类问题。正确做法是补取原文后再补结论。</w:t>
      </w:r>
    </w:p>
    <w:p>
      <w:pPr>
        <w:pStyle w:val="Heading2"/>
      </w:pPr>
      <w:r>
        <w:rPr>
          <w:rFonts w:ascii="Times New Roman" w:eastAsia="宋体"/>
          <w:sz w:val="21"/>
        </w:rPr>
        <w:t xml:space="preserve">附录 3.4　可复用的规范依赖模式</w:t>
      </w:r>
    </w:p>
    <w:p>
      <w:pPr/>
      <w:r>
        <w:rPr>
          <w:rFonts w:ascii="Times New Roman" w:eastAsia="宋体"/>
          <w:sz w:val="21"/>
        </w:rPr>
        <w:t xml:space="preserve">本次复核沉淀了六条可复用的检查模式，适用于同类项目：</w:t>
      </w:r>
      <w:r>
        <w:rPr>
          <w:b/>
          <w:rFonts w:ascii="Times New Roman" w:eastAsia="宋体"/>
          <w:sz w:val="21"/>
        </w:rPr>
        <w:t xml:space="preserve">阈值穿越检查</w:t>
      </w:r>
      <w:r>
        <w:rPr>
          <w:rFonts w:ascii="Times New Roman" w:eastAsia="宋体"/>
          <w:sz w:val="21"/>
        </w:rPr>
        <w:t xml:space="preserve">（当报告存在两个互不一致的量、而规范阈值恰落在两者之间时，结论必须是「待审」并给出分支，不得按任一取值下结论）；</w:t>
      </w:r>
      <w:r>
        <w:rPr>
          <w:b/>
          <w:rFonts w:ascii="Times New Roman" w:eastAsia="宋体"/>
          <w:sz w:val="21"/>
        </w:rPr>
        <w:t xml:space="preserve">强制性条文优先</w:t>
      </w:r>
      <w:r>
        <w:rPr>
          <w:rFonts w:ascii="Times New Roman" w:eastAsia="宋体"/>
          <w:sz w:val="21"/>
        </w:rPr>
        <w:t xml:space="preserve">；</w:t>
      </w:r>
      <w:r>
        <w:rPr>
          <w:b/>
          <w:rFonts w:ascii="Times New Roman" w:eastAsia="宋体"/>
          <w:sz w:val="21"/>
        </w:rPr>
        <w:t xml:space="preserve">依据可得性分级</w:t>
      </w:r>
      <w:r>
        <w:rPr>
          <w:rFonts w:ascii="Times New Roman" w:eastAsia="宋体"/>
          <w:sz w:val="21"/>
        </w:rPr>
        <w:t xml:space="preserve">（原文可取 / 二手转录 / 表格被剥离 / 检索失败）；</w:t>
      </w:r>
      <w:r>
        <w:rPr>
          <w:b/>
          <w:rFonts w:ascii="Times New Roman" w:eastAsia="宋体"/>
          <w:sz w:val="21"/>
        </w:rPr>
        <w:t xml:space="preserve">多角色不塌缩</w:t>
      </w:r>
      <w:r>
        <w:rPr>
          <w:rFonts w:ascii="Times New Roman" w:eastAsia="宋体"/>
          <w:sz w:val="21"/>
        </w:rPr>
        <w:t xml:space="preserve">（同一份文件在必要性章是驱动、在合规性小节是基准、在论断下是保证、在技术取值上是取值域约束）；</w:t>
      </w:r>
      <w:r>
        <w:rPr>
          <w:b/>
          <w:rFonts w:ascii="Times New Roman" w:eastAsia="宋体"/>
          <w:sz w:val="21"/>
        </w:rPr>
        <w:t xml:space="preserve">引用写法核对</w:t>
      </w:r>
      <w:r>
        <w:rPr>
          <w:rFonts w:ascii="Times New Roman" w:eastAsia="宋体"/>
          <w:sz w:val="21"/>
        </w:rPr>
        <w:t xml:space="preserve">；</w:t>
      </w:r>
      <w:r>
        <w:rPr>
          <w:b/>
          <w:rFonts w:ascii="Times New Roman" w:eastAsia="宋体"/>
          <w:sz w:val="21"/>
        </w:rPr>
        <w:t xml:space="preserve">时效三查</w:t>
      </w:r>
      <w:r>
        <w:rPr>
          <w:rFonts w:ascii="Times New Roman" w:eastAsia="宋体"/>
          <w:sz w:val="21"/>
        </w:rPr>
        <w:t xml:space="preserve">。</w:t>
      </w:r>
    </w:p>
    <w:sectPr>
      <w:pgSz w:w="11906" w:h="16838"/>
      <w:pgMar w:top="1440" w:right="1247" w:bottom="1440" w:left="1247"/>
    </w:sectPr>
  </w:body>
</w:document>
</file>

<file path=word/styles.xml><?xml version="1.0" encoding="utf-8"?>
<w:styles xmlns:w="http://schemas.openxmlformats.org/wordprocessingml/2006/main">
  <w:docDefaults>
    <w:rPrDefault>
      <w:rPr>
        <w:rFonts w:ascii="Times New Roman" w:eastAsia="宋体"/>
        <w:sz w:val="21"/>
      </w:rPr>
    </w:rPrDefault>
  </w:docDefaults>
  <w:style w:type="paragraph" w:default="1" w:styleId="Normal">
    <w:name w:val="Normal"/>
    <w:pPr>
      <w:spacing w:line="320" w:lineRule="auto" w:after="80"/>
    </w:pPr>
  </w:style>
  <w:style w:type="paragraph" w:styleId="Heading1">
    <w:name w:val="heading 1"/>
    <w:basedOn w:val="Normal"/>
    <w:pPr>
      <w:spacing w:before="240" w:after="120"/>
      <w:outlineLvl w:val="0"/>
    </w:pPr>
    <w:rPr>
      <w:b/>
      <w:sz w:val="32"/>
    </w:rPr>
  </w:style>
  <w:style w:type="paragraph" w:styleId="Heading2">
    <w:name w:val="heading 2"/>
    <w:basedOn w:val="Normal"/>
    <w:pPr>
      <w:spacing w:before="180" w:after="90"/>
      <w:outlineLvl w:val="1"/>
    </w:pPr>
    <w:rPr>
      <w:b/>
      <w:sz w:val="26"/>
    </w:rPr>
  </w:style>
  <w:style w:type="paragraph" w:styleId="Heading3">
    <w:name w:val="heading 3"/>
    <w:basedOn w:val="Normal"/>
    <w:pPr>
      <w:spacing w:before="140" w:after="70"/>
      <w:outlineLvl w:val="2"/>
    </w:pPr>
    <w:rPr>
      <w:b/>
      <w:sz w:val="23"/>
    </w:rPr>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