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 research run.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define recovery as identifying an embedded association through a valid analysis and retaining that finding in the final report with the correct comparison, direction, and subgroup. Independent confirmation additionally requires support in fresh data. We will evaluate both recovery of the embedded discoveries and the sequence of hypotheses, analyses, and decisions leading to those findings.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A generation LLM will propose candidate expected and neutral discoveries and develop search queries for supporting and potentially contradictory evidence. We will retrieve the corresponding literature and have the LLM compare each candidate with the reported population, exposure or perturbation, comparator, outcome, and direction. Candidates lacking adequate support will be replaced through further hypothesis generation and literature review. The retained candidates will be translated into explicit outcome-generation equations before paired datasets are simulated.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initial reference tasks use fully observed progression-free survival on a natural-log scale. We will extend these tasks to binary outcomes and censored time-to-event outcomes, with explicit control of missingness and nuisance associations. Each extension will require validated reference analyses specifying the comparison, adjustment variables, and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 generation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to reverse, which we will call the key discovery. We will compare two dataset versions that differ in the direction of this discovery.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key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key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We will calibrate statistical association strength across paired datasets so that the key discovery is similarly detectable in its expected and surprising versions. We will consider subgroup prevalence, number of defining variables, effect magnitude, treatment balance, missingness, nuisance correlations, and visibility in marginal analyses. Because overlapping discoveries can reinforce or obscure one another, calibration will use the complete data generation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using corresponding structured fields, with scientific interpretations and references to analyses executed by the controller. Deterministic rules will recognize equivalent variable names, reversed coding, and logically equivalent subgroup definitions. Exact recovery will require the correct outcome, comparison, direction, and complete set of subgroup conditions, a valid discovery-sample analysis, and acceptance in the final report. Independently confirmed recovery will additionally require support in fresh data. Treatment-effect modification will require the relevant interaction; a marginal association alone will not establish that discovery.</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meaningful associations, assess effect sizes and uncertainty using their own judgment, and continue research within the iteration budget. Agents will receive outcome scales and numerical results, without a prescribed minimum effect size or rules telling them which conclusion earns credit. Generators, answer keys, literature categories, paired assignments, and evaluator cutoffs will remain private. The release will include versioned task-generation code, response schemas, reference analyses, scoring rules, and adapters that work through a common model-provider interface. Plasmode-derived materials will follow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key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iteration will have four stages: explore, analyze, appraise, and synthesize. During exploration, the agent registers hypotheses, an anticipated direction or lack of expectation, and an initial assessment. During analysis, it selects up to 12 registered comparisons for the controller to execute on the discovery dataset. During appraisal, it assesses those results and may request independent validation. Requested or due scheduled validation is then released before synthesis, when the agent assesses the new evidence and updates its accepted findings. This order lets agents consider exploratory results before deciding what to validate.</w:t>
      </w:r>
    </w:p>
    <w:p>
      <w:pPr>
        <w:widowControl/>
      </w:pPr>
      <w:r>
        <w:t>Clinical and cell-line runs will both allow 25 iterations, with equal token and tool budgets within each paired comparison. Broad exploration and focused follow-up will remain available throughout, without mandatory early or late phases or category quotas. The reference harness executes structured analysis requests; extensions to agent-written code or literature-search tools will require separately specified evaluations. Discovery analyses return 95% Welch confidence intervals and require at least 20 observations in each comparison cell.</w:t>
      </w:r>
    </w:p>
    <w:p>
      <w:pPr>
        <w:widowControl/>
      </w:pPr>
      <w:r>
        <w:t>The record will retain each hypothesis’s initial expectation, later accept/reject/unresolved assessments, whether investigation is active, deferred, or closed, and the evidence available at each decision. A revised comparison receives a new identifier linked to its parent and motivating results. Equivalent comparisons, including reversed coding or direction, share numerical evidence and cannot earn duplicate testing or validation credit. Initial expectations recorded after equivalent evidence was already seen will be distinguished from expectations formed before evidence. Agents may accept a finding before requesting validation; final benchmark confirmation occurs after the run.</w:t>
      </w:r>
    </w:p>
    <w:p>
      <w:pPr>
        <w:widowControl/>
      </w:pPr>
      <w:r>
        <w:rPr>
          <w:b/>
        </w:rPr>
        <w:t xml:space="preserve">Discovery endpoints. </w:t>
      </w:r>
      <w:r>
        <w:t>The primary endpoint will be exact, independently confirmed recovery of the key discovery in the final report. We will report its absolute recovery probability in expected and surprising versions and their paired difference, defined as surprising minus expected. A lower probability in the surprising condition would support the hypothesis that established knowledge can impede discovery despite similarly detectable statistical associations. Secondary endpoints will include recovery of all six embedded discoveries by literature category, exact and near recovery over time, time to the first exact hypothesis, and retention in the final report.</w:t>
      </w:r>
    </w:p>
    <w:p>
      <w:pPr>
        <w:widowControl/>
      </w:pPr>
      <w:r>
        <w:t>Recall, or the recovery rate, will measure sensitivity to the embedded discoveries: the fraction tested, accepted, and independently confirmed within each literature category, averaged equally across expected, neutral, and surprising categories. Precision will measure positive predictive value: the fraction of distinct final accepted claims that were tested on discovery data and pass final independent confirmation. Valid additional discoveries can contribute to precision even when absent from the six embedded targets. Untested accepted claims remain in its denominator. These are benchmark-relative measures because confirmation uses private reference criteria.</w:t>
      </w:r>
    </w:p>
    <w:p>
      <w:pPr>
        <w:widowControl/>
      </w:pPr>
      <w:r>
        <w:t>We will combine recall and precision as F1* = 200 × recall × precision / (recall + precision), using recall and precision on a 0–1 scale and F1* on a 0–100 scale. An empty accepted set gives zero recall and F1*, with precision unavailable because its denominator is zero. F1* is also zero whenever both recall and precision are zero. The asterisk identifies an F1-style score: recall gives the three discovery categories equal weight, whereas precision includes additional discoveries, so they do not arise from one ordinary classification confusion matrix. F1* will supplement the primary paired comparison of recovery of the key discovery. Exact-or-near recovery will be a separate secondary score.</w:t>
      </w:r>
    </w:p>
    <w:p>
      <w:pPr>
        <w:widowControl/>
      </w:pPr>
      <w:r>
        <w:rPr>
          <w:b/>
        </w:rPr>
        <w:t xml:space="preserve">Exploration. </w:t>
      </w:r>
      <w:r>
        <w:t>Exploration coverage will measure how broadly and how early the agent tests the embedded comparisons. At each iteration, we will calculate the fraction of target comparisons tested within each literature category, average the three category fractions equally, then average across the full iteration budget and multiply by 100. Earlier testing therefore earns more credit. A valid test counts regardless of the agent’s anticipated direction, acceptance, or the numerical result; an interaction target requires testing that interaction. Exact comparison coverage is primary, with exact-or-near coverage reported separately. If research ends early, achieved coverage carries forward through the remaining fixed budget.</w:t>
      </w:r>
    </w:p>
    <w:p>
      <w:pPr>
        <w:widowControl/>
      </w:pPr>
      <w:r>
        <w:t>We will also report newly proposed and tested hypotheses and broader lines of inquiry, grouping comparisons by outcome, exposure/comparator, contrast, and subgroup variables. Changes to a cutoff or direction can then be separated from exploring a new family of comparisons. Hypotheses outside the embedded inventory contribute to these descriptive exploration counts, while coverage refers to the target comparisons.</w:t>
      </w:r>
    </w:p>
    <w:p>
      <w:pPr>
        <w:widowControl/>
      </w:pPr>
      <w:r>
        <w:rPr>
          <w:b/>
        </w:rPr>
        <w:t xml:space="preserve">Independent validation. </w:t>
      </w:r>
      <w:r>
        <w:t>Independent validation will test a comparison selected during exploration on newly generated observations that the agent has not seen. The original discovery dataset is the dataset the agent uses to propose and investigate hypotheses. Once a comparison is selected for validation, an automated analysis service will hold its outcome, exposure, comparator, subgroup, and statistical contrast fixed and apply the same analysis to a fresh dataset of the same size. For example, a treatment association found among patients with a specified biomarker will be tested among patients meeting that same definition in a new simulated cohort. The agent will receive the estimated effect, confidence interval, number of observations in each comparison group, and analysis diagnostics; it will not receive the validation dataset for further exploration.</w:t>
      </w:r>
    </w:p>
    <w:p>
      <w:pPr>
        <w:widowControl/>
      </w:pPr>
      <w:r>
        <w:t>For fully synthetic tasks, the service will generate new covariates and outcomes from the same data generation process, with a random seed separate from the discovery sample. For plasmode tasks, it will draw a new sample from the prespecified empirical covariate distribution and generate fresh outcomes using the same outcome model. Independence refers to these new sampling and outcome draws; plasmode samples can include covariate profiles from the same source cohort and therefore do not constitute a new external clinical cohort. The validation data will preserve all six embedded associations and the assigned expected or surprising version of the key discovery.</w:t>
      </w:r>
    </w:p>
    <w:p>
      <w:pPr>
        <w:widowControl/>
      </w:pPr>
      <w:r>
        <w:t>Separating validation observations from the data used to select a hypothesis helps address the dependence created by adapting later analyses to earlier results (Dwork et al., 2015). A result that looked strong by chance in the discovery data may weaken or reverse in the fresh sample. Validation therefore asks whether the specified association reproduces under the same generating conditions. It does not establish a biological mechanism or transportability to another population. Agents will use their own judgment to interpret the result and may accept a discovery before requesting validation.</w:t>
      </w:r>
    </w:p>
    <w:p>
      <w:pPr>
        <w:widowControl/>
      </w:pPr>
      <w:r>
        <w:t>Agents will have both voluntary and scheduled opportunities to receive this evidence. Each run will permit up to ten voluntary validation requests, with at most one new comparison requested per iteration. A request must concern a comparison with a valid analysis on discovery data. During appraisal, the agent will choose whether further evidence is useful; the result will arrive before synthesis. Scheduled validation will provide evidence for some already investigated comparisons even when the agent has not requested it.</w:t>
      </w:r>
    </w:p>
    <w:p>
      <w:pPr>
        <w:widowControl/>
      </w:pPr>
      <w:r>
        <w:t>Scheduled results will be released in clinical iterations 5, 12, and 20 and cell-line iterations 3, 6, and 8. One iteration before release, the evaluator will select and freeze a previously tested comparison before appraisal. Selection will rotate among discovery intervals above, below, or crossing the private reference cutoff, using a seeded order and fallback when a category is empty. It will never use target membership, literature category, or unseen validation results. An empty eligible pool will be recorded, without introducing a hypothesis the agent has not investigated.</w:t>
      </w:r>
    </w:p>
    <w:p>
      <w:pPr>
        <w:widowControl/>
      </w:pPr>
      <w:r>
        <w:t>If the agent requests a selected comparison before its scheduled delivery, that request also fulfills the scheduled opportunity. A shared cache will return the same independent result for repeated requests, opposite directions, and equivalent coding. Thus, ten voluntary and three scheduled slots permit at most 13 distinct validation comparisons. Confidence intervals will allocate error probability 0.05/13 to each comparison, regardless of unused slots or delivery route. Schedules, sample identities, request use, and unavailable opportunities will be logged. Agents will know that scheduled evidence can arrive, but individual selections will remain private until release.</w:t>
      </w:r>
    </w:p>
    <w:p>
      <w:pPr>
        <w:widowControl/>
      </w:pPr>
      <w:r>
        <w:rPr>
          <w:b/>
        </w:rPr>
        <w:t xml:space="preserve">Responsiveness to evidence. </w:t>
      </w:r>
      <w:r>
        <w:t>The agent will assess new validation evidence immediately and reassess the original claim at the end of the second subsequent iteration. Evidence received in iteration 5, for example, will be reassessed in iteration 7. The later assessment supplies the principal response score; the immediate assessment describes the initial reaction. Two iterations defines a scoring checkpoint, not a cap on investigation. Agents can remain unresolved, refine hypotheses, and keep investigating within the full run budget. A refined claim will have its own identity and cannot substitute for the required reassessment of its parent.</w:t>
      </w:r>
    </w:p>
    <w:p>
      <w:pPr>
        <w:widowControl/>
      </w:pPr>
      <w:r>
        <w:t>For scoring, the evaluator will compare the interval in the claimed direction with a private reference magnitude, δ: 0.10 on natural-log progression-free survival and 0.15 dependency-score units in the initial tasks. More negative dependency scores indicate greater dependency; results will be oriented to the claim before comparison. These cutoffs will not appear in agent instructions, task metadata, or returned evidence. The table defines agreement with this benchmark reference. An agent can reasonably judge a smaller effect to be meaningful; disagreement alone will not establish poor scientific judgment.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3024"/>
        <w:gridCol w:w="3456"/>
      </w:tblGrid>
      <w:tr>
        <w:trPr>
          <w:cantSplit/>
          <w:tblHeader/>
        </w:trPr>
        <w:tc>
          <w:tcPr>
            <w:tcW w:type="dxa" w:w="4320"/>
            <w:vAlign w:val="center"/>
            <w:shd w:fill="E4EDF4"/>
          </w:tcPr>
          <w:p>
            <w:pPr>
              <w:spacing w:after="0" w:line="240" w:lineRule="auto"/>
            </w:pPr>
            <w:r>
              <w:rPr>
                <w:rFonts w:ascii="Arial" w:hAnsi="Arial"/>
                <w:b/>
                <w:color w:val="000000"/>
                <w:sz w:val="20"/>
              </w:rPr>
              <w:t>Independent validation interval</w:t>
            </w:r>
          </w:p>
        </w:tc>
        <w:tc>
          <w:tcPr>
            <w:tcW w:type="dxa" w:w="3024"/>
            <w:vAlign w:val="center"/>
            <w:shd w:fill="E4EDF4"/>
          </w:tcPr>
          <w:p>
            <w:pPr>
              <w:spacing w:after="0" w:line="240" w:lineRule="auto"/>
            </w:pPr>
            <w:r>
              <w:rPr>
                <w:rFonts w:ascii="Arial" w:hAnsi="Arial"/>
                <w:b/>
                <w:color w:val="000000"/>
                <w:sz w:val="20"/>
              </w:rPr>
              <w:t>Private reference assessment</w:t>
            </w:r>
          </w:p>
        </w:tc>
        <w:tc>
          <w:tcPr>
            <w:tcW w:type="dxa" w:w="3456"/>
            <w:vAlign w:val="center"/>
            <w:shd w:fill="E4EDF4"/>
          </w:tcPr>
          <w:p>
            <w:pPr>
              <w:spacing w:after="0" w:line="240" w:lineRule="auto"/>
            </w:pPr>
            <w:r>
              <w:rPr>
                <w:rFonts w:ascii="Arial" w:hAnsi="Arial"/>
                <w:b/>
                <w:color w:val="000000"/>
                <w:sz w:val="20"/>
              </w:rPr>
              <w:t>Scored at the later checkpoint</w:t>
            </w:r>
          </w:p>
        </w:tc>
      </w:tr>
      <w:tr>
        <w:trPr>
          <w:cantSplit/>
        </w:trPr>
        <w:tc>
          <w:tcPr>
            <w:tcW w:type="dxa" w:w="4320"/>
            <w:vAlign w:val="center"/>
          </w:tcPr>
          <w:p>
            <w:pPr>
              <w:spacing w:after="0" w:line="240" w:lineRule="auto"/>
            </w:pPr>
            <w:r>
              <w:rPr>
                <w:rFonts w:ascii="Arial" w:hAnsi="Arial"/>
                <w:b w:val="0"/>
                <w:color w:val="000000"/>
                <w:sz w:val="20"/>
              </w:rPr>
              <w:t>Lower bound is greater than δ.</w:t>
            </w:r>
          </w:p>
        </w:tc>
        <w:tc>
          <w:tcPr>
            <w:tcW w:type="dxa" w:w="3024"/>
            <w:vAlign w:val="center"/>
          </w:tcPr>
          <w:p>
            <w:pPr>
              <w:spacing w:after="0" w:line="240" w:lineRule="auto"/>
            </w:pPr>
            <w:r>
              <w:rPr>
                <w:rFonts w:ascii="Arial" w:hAnsi="Arial"/>
                <w:b w:val="0"/>
                <w:color w:val="000000"/>
                <w:sz w:val="20"/>
              </w:rPr>
              <w:t>Accept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Upper bound is less than δ.</w:t>
            </w:r>
          </w:p>
        </w:tc>
        <w:tc>
          <w:tcPr>
            <w:tcW w:type="dxa" w:w="3024"/>
            <w:vAlign w:val="center"/>
          </w:tcPr>
          <w:p>
            <w:pPr>
              <w:spacing w:after="0" w:line="240" w:lineRule="auto"/>
            </w:pPr>
            <w:r>
              <w:rPr>
                <w:rFonts w:ascii="Arial" w:hAnsi="Arial"/>
                <w:b w:val="0"/>
                <w:color w:val="000000"/>
                <w:sz w:val="20"/>
              </w:rPr>
              <w:t>Reject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Interval contains or touches δ.</w:t>
            </w:r>
          </w:p>
        </w:tc>
        <w:tc>
          <w:tcPr>
            <w:tcW w:type="dxa" w:w="3024"/>
            <w:vAlign w:val="center"/>
          </w:tcPr>
          <w:p>
            <w:pPr>
              <w:spacing w:after="0" w:line="240" w:lineRule="auto"/>
            </w:pPr>
            <w:r>
              <w:rPr>
                <w:rFonts w:ascii="Arial" w:hAnsi="Arial"/>
                <w:b w:val="0"/>
                <w:color w:val="000000"/>
                <w:sz w:val="20"/>
              </w:rPr>
              <w:t>Unresolved</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Result fails a validity check.</w:t>
            </w:r>
          </w:p>
        </w:tc>
        <w:tc>
          <w:tcPr>
            <w:tcW w:type="dxa" w:w="3024"/>
            <w:vAlign w:val="center"/>
          </w:tcPr>
          <w:p>
            <w:pPr>
              <w:spacing w:after="0" w:line="240" w:lineRule="auto"/>
            </w:pPr>
            <w:r>
              <w:rPr>
                <w:rFonts w:ascii="Arial" w:hAnsi="Arial"/>
                <w:b w:val="0"/>
                <w:color w:val="000000"/>
                <w:sz w:val="20"/>
              </w:rPr>
              <w:t>No reference assessment</w:t>
            </w:r>
          </w:p>
        </w:tc>
        <w:tc>
          <w:tcPr>
            <w:tcW w:type="dxa" w:w="3456"/>
            <w:vAlign w:val="center"/>
          </w:tcPr>
          <w:p>
            <w:pPr>
              <w:spacing w:after="0" w:line="240" w:lineRule="auto"/>
            </w:pPr>
            <w:r>
              <w:rPr>
                <w:rFonts w:ascii="Arial" w:hAnsi="Arial"/>
                <w:b w:val="0"/>
                <w:color w:val="000000"/>
                <w:sz w:val="20"/>
              </w:rPr>
              <w:t>Excluded and reported separately</w:t>
            </w:r>
          </w:p>
        </w:tc>
      </w:tr>
    </w:tbl>
    <w:p>
      <w:pPr>
        <w:widowControl/>
        <w:spacing w:before="120"/>
      </w:pPr>
      <w:r>
        <w:t>Evidence responsiveness will average the delayed agreement rate separately for each of the three valid evidence categories and give those rates equal weight, on a 0–100 scale. We will report the category-specific counts and rates alongside changes from the pre-validation assessment. A missing assessment at a due checkpoint counts as disagreement. Invalid results, evidence received too late to allow two later iterations, and interrupted response windows will be excluded from this score and counted separately. If any of the three categories has no scorable example at a reporting level, the responsiveness score will be unavailable there. In particular, no ambiguous examples means no interval crossing or touching the cutoff with a completed response window; it does not imply that the agent avoided uncertainty.</w:t>
      </w:r>
    </w:p>
    <w:p>
      <w:pPr>
        <w:widowControl/>
      </w:pPr>
      <w:r>
        <w:t>Rejecting the private minimum-effect reference does not establish a zero effect or the opposite direction. We will show disagreement between discovery and validation results explicitly, without treating adaptively selected exploratory evidence as a fresh confirmatory sample. Validation from the same generating setting also provides no evidence of biological mechanism or generalizability to another population. Responsiveness will therefore be interpreted with the evidence actually encountered and the agent’s research history.</w:t>
      </w:r>
    </w:p>
    <w:p>
      <w:pPr>
        <w:widowControl/>
      </w:pPr>
      <w:r>
        <w:rPr>
          <w:b/>
        </w:rPr>
        <w:t xml:space="preserve">Exploration following new evidence. </w:t>
      </w:r>
      <w:r>
        <w:t>We will measure new lines of inquiry and refinements proposed and tested during the two iterations after both a first discovery result and independent validation. Results will be grouped by whether they agree with the agent’s recorded initial expectation, oppose it, or concern a hypothesis without a directional expectation; literature category will remain a separate variable. Linked records will distinguish subgroup changes, cutoff changes, and direction reversals. We will account for effect magnitude, interval width, cell sizes, comparison complexity, and remaining budget. These observational comparisons will describe how evidence relates to subsequent exploration; they will not alone establish that evidence caused a change in behavior.</w:t>
      </w:r>
    </w:p>
    <w:p>
      <w:pPr>
        <w:widowControl/>
      </w:pPr>
      <w:r>
        <w:rPr>
          <w:b/>
        </w:rPr>
        <w:t xml:space="preserve">Independent confirmation and additional discoveries. </w:t>
      </w:r>
      <w:r>
        <w:t>After each run, the benchmark will evaluate every distinct final accepted claim on a third, separately generated source of data, independent of both the discovery data and the validation samples used during research. The agent will have no access to these final confirmation data or results before submitting its final accepted claims. With M accepted claims, intervals will allocate error probability 0.05/M. Confirmation will require a valid analysis and a lower bound in the reported direction exceeding the private reference magnitude. Credit toward recall or precision will also require a valid discovery-sample test. This final check applies whether or not the agent requested validation during research. We will report structural matches and independent confirmation separately; no accepted discoveries yields zero recovery of the key discovery, zero recall, and zero F1*, with precision unavailable.</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 generation process, either analytically or through independent simulation with quantified Monte Carlo uncertainty. Reports will distinguish confirmed additional discoveries, claims contradicted by the data generation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We will estimate paired differences in recovery of the key discovery within each base dataset, model, and harness, then average across the prespecified panel. For recall, precision, F1*, and coverage, repeated runs will first be averaged within each version, the two versions equally within each base dataset, and base datasets equally. For responsiveness, we will apply the same order within each evidence category among runs with scorable examples, then average the three category rates equally. The contributing runs and datasets can differ by evidence category, so we will report those denominators. A combined responsiveness score can be available even when individual runs lack a category, provided all three categories contribute at the combined level.</w:t>
      </w:r>
    </w:p>
    <w:p>
      <w:pPr>
        <w:widowControl/>
      </w:pPr>
      <w:r>
        <w:t>We will obtain 95% confidence intervals by resampling base datasets within the four combinations of task family and data source, retaining both paired versions and all repeated runs together and recomputing the scores. Intervals will be unavailable when too few base datasets contribute. Secondary mixed-effects models will examine variation by model, harness, task family, data source, and overall reversal versus subgroup exception, accounting for repeated observations within datasets and runs. Time-to-discovery analyses will censor unrecovered discoveries at the iteration or resource limit. Development simulations will assess power and precision under dataset heterogeneity and variation across repeated runs. False-discovery-rate adjustment will apply within prespecified families of secondary comparisons.</w:t>
      </w:r>
    </w:p>
    <w:p>
      <w:pPr>
        <w:widowControl/>
      </w:pPr>
      <w:r>
        <w:rPr>
          <w:b/>
        </w:rPr>
        <w:t xml:space="preserve">Controlled assessment of responsiveness. </w:t>
      </w:r>
      <w:r>
        <w:t>Scheduled validation reduces dependence on whether an agent asks for evidence, but eligible comparisons still depend on its search. We will therefore supplement the full runs with a planned controlled assessment in which each system receives the same numerical evidence for a specified hypothesis. Eight templates, balanced by task family and data source, will each have an expected and a surprising version and three evidence conditions: above, below, or crossing the private reference cutoff. Five model families, three harnesses, and four fresh repeats yield 2,880 brief experiments in addition to the 5,760 full runs. This separate assessment will compare responsiveness with the hypothesis and evidence held constant across systems.</w:t>
      </w:r>
    </w:p>
    <w:p>
      <w:pPr>
        <w:widowControl/>
      </w:pPr>
      <w:r>
        <w:rPr>
          <w:b/>
        </w:rPr>
        <w:t xml:space="preserve">Potential problems and alternative strategies. </w:t>
      </w:r>
      <w:r>
        <w:t>Discoveries may still differ in how easily they can be detected after association strengths have been calibrated. We will report paired comparisons alongside reference recovery, subgroup prevalence, effect magnitude, and interaction complexity. Floor or ceiling performance will inform later task development. Responsiveness may be unavailable when few comparisons are investigated or an evidence category is absent. We will report validation use, source, eligibility, evidence-category counts, and discovery coverage, with the controlled assessment providing complementary information. Because agent-selected comparisons differ, responsiveness will describe response to encountered evidence and will not by itself support an unconditional ranking of scientific judgment.</w:t>
      </w:r>
    </w:p>
    <w:p>
      <w:pPr>
        <w:widowControl/>
      </w:pPr>
      <w:r>
        <w:rPr>
          <w:b/>
        </w:rPr>
        <w:t xml:space="preserve">Rigor and reproducibility. </w:t>
      </w:r>
      <w:r>
        <w:t>Formal evaluation will begin after task instances, the model–harness panel, prompts, resource allowances, validation policies, and scoring rules are frozen. Separate version identifiers will track the numerical generators, workflow, prompts, schemas, and scoring, allowing workflow changes to reuse identical dataset bytes. Messages, registered hypotheses, executed analyses, evidence, decisions, and errors will be retained with timestamps and reproducible sample seeds. Validation samples will be cached across technical retries so retries cannot obtain new evidence.</w:t>
      </w:r>
    </w:p>
    <w:p>
      <w:pPr>
        <w:widowControl/>
      </w:pPr>
      <w:r>
        <w:t>The reference workflow permits two technical retries per stage for malformed responses or contract violations. Scientific disagreement with the evaluator will never trigger a retry. Runs that exhaust retries will remain in the assigned denominator with zero primary recovery of the key discovery and F1*, alongside separate results using first attempts only; documented infrastructure outages will follow a prespecified policy. Access controls will separate agent workspaces from generators, answer keys, and confirmation samples. Provider adapters will keep the workflow independent of any testing server. Before formal evaluation, six-iteration smoke tests will check both task families and paired versions, using scheduled validation in iterations 2 and 4 and error probability 0.05/12. These shorter tests will verify execution and scoring; the full study will use 25 iterations for both task families.</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10"/>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