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Approach for Subaims 1a and 1b</w:t>
      </w:r>
    </w:p>
    <w:p>
      <w:pPr>
        <w:pStyle w:val="Heading1"/>
        <w:widowControl/>
      </w:pPr>
      <w:r>
        <w:t>Subaim 1a Develop oncology datasets and deterministic measures of exploration and responsiveness to evidence</w:t>
      </w:r>
    </w:p>
    <w:p>
      <w:pPr>
        <w:widowControl/>
      </w:pPr>
      <w:r>
        <w:rPr>
          <w:b/>
        </w:rPr>
        <w:t xml:space="preserve">Conceptual framework. </w:t>
      </w:r>
      <w:r>
        <w:t>We will operationalize open-minded discovery as an iterative process in which exploration determines which evidence a co-scientist encounters, and its response to that evidence shapes subsequent exploration. OCSB will embed multiple recoverable findings in each dataset and record hypothesis generation, analysis, evidence appraisal, and synthesis throughout the rollout. We will distinguish failure to investigate a relationship from failure to acknowledge or pursue evidence once encountered. Discovery accuracy, exploration, and responsiveness will be reported separately; no LLM judge or composite personality score will determine performance.</w:t>
      </w:r>
    </w:p>
    <w:p>
      <w:pPr>
        <w:widowControl/>
      </w:pPr>
      <w:r>
        <w:rPr>
          <w:b/>
        </w:rPr>
        <w:t xml:space="preserve">Task library and paradigm classification. </w:t>
      </w:r>
      <w:r>
        <w:t>We will construct 24 base datasets: six in each combination of clinical versus CRISPR gene-dependency research and fully synthetic versus plasmode simulation</w:t>
      </w:r>
      <w:r>
        <w:rPr>
          <w:vertAlign w:val="superscript"/>
        </w:rPr>
        <w:t>35</w:t>
      </w:r>
      <w:r>
        <w:t>. Each will contain six embedded findings, with paradigm-concordant, paradigm-neutral, and paradigm-discordant findings represented. Concordant findings agree with established evidence for a specified population, exposure, comparator, and endpoint; discordant findings oppose that expectation; neutral findings concern relationships for which existing evidence does not establish a directional expectation. Two domain experts will independently assign categories using a dated literature review and adjudicate disagreements before formal testing. Ambiguous items will be excluded from the primary contrast. These labels describe the literature reference, not an assumed belief of every model.</w:t>
      </w:r>
    </w:p>
    <w:p>
      <w:pPr>
        <w:widowControl/>
      </w:pPr>
      <w:r>
        <w:rPr>
          <w:b/>
        </w:rPr>
        <w:t xml:space="preserve">Data generation. </w:t>
      </w:r>
      <w:r>
        <w:t>Clinical datasets will include biomarkers, disease characteristics, treatments, covariates, and binary, continuous, or time-to-event outcomes. Findings will include prognostic associations and treatment-effect modification. Clinical plasmodes will preserve covariate structure from AACR GENIE BPC</w:t>
      </w:r>
      <w:r>
        <w:rPr>
          <w:vertAlign w:val="superscript"/>
        </w:rPr>
        <w:t>10</w:t>
      </w:r>
      <w:r>
        <w:t xml:space="preserve"> while replacing outcomes with prespecified simulations. Gene-dependency datasets will incorporate lineage, mutation, expression, copy number, and assay-quality variables; DepMap plasmodes</w:t>
      </w:r>
      <w:r>
        <w:rPr>
          <w:vertAlign w:val="superscript"/>
        </w:rPr>
        <w:t>9,11,36–38</w:t>
      </w:r>
      <w:r>
        <w:t xml:space="preserve"> will use observed covariates and simulated dependency outcomes calibrated to observed score distributions. Fully synthetic clinical cohorts will generally contain 20,000–50,000 observations. Reference estimands and analysis adapters will address confounding, censoring, and screening artifacts where relevant. Causal interpretation will be scored only for tasks whose design supports it.</w:t>
      </w:r>
    </w:p>
    <w:p>
      <w:pPr>
        <w:widowControl/>
      </w:pPr>
      <w:r>
        <w:rPr>
          <w:b/>
        </w:rPr>
        <w:t xml:space="preserve">Paired focal reversals. </w:t>
      </w:r>
      <w:r>
        <w:t>Each base dataset will yield two versions, producing 48 task instances. One focal finding will be concordant in one version and discordant in the other. The pair will retain identical variable labels, covariates, treatment assignments, and random-number streams where compatible with the outcome model; only the focal effect parameter will change direction. Other embedded DGP components will remain fixed, although their observed contrasts can change through overlap. The focal finding is an evaluator designation and will not be disclosed. Category counts and which numerical direction is concordant will be balanced across the collection, rather than forced to match within each dataset. Different base datasets will manipulate different focal relationships.</w:t>
      </w:r>
    </w:p>
    <w:p>
      <w:pPr>
        <w:widowControl/>
      </w:pPr>
      <w:r>
        <w:rPr>
          <w:b/>
        </w:rPr>
        <w:t xml:space="preserve">Direct reversals and subgroup exceptions. </w:t>
      </w:r>
      <w:r>
        <w:t>Half of the focal findings will reverse a familiar comparison that an agent might readily test. The other half will create a subgroup exception while preserving the familiar overall relationship; subgroup exceptions will be paired with equally complex concordant effects. This distinction separates following evidence in an obvious comparison from searching beyond an apparently reassuring overall result. Each version will contain additional findings that compete for attention, enabling measurement of whether a focal result redirects later investigation. Comparisons of the focal finding will be primary; effects on the other five findings will quantify changes in the surrounding search process.</w:t>
      </w:r>
    </w:p>
    <w:p>
      <w:pPr>
        <w:widowControl/>
      </w:pPr>
      <w:r>
        <w:rPr>
          <w:b/>
        </w:rPr>
        <w:t xml:space="preserve">Calibration and validity. </w:t>
      </w:r>
      <w:r>
        <w:t>Development simulations will balance subgroup prevalence, number of defining variables, effect-to-noise ratio, treatment balance, missingness, and marginal visibility. Equal coefficients will not be assumed to imply equal difficulty. Under the complete combined DGP, large independent simulations will verify each target estimand. Pairs must match absolute target-effect magnitude and signal-to-noise ratio within 10% on the prespecified estimand scale. A fixed statistical search procedure with identical search limits will assess recoverability. Calibration will require at least 80% reference recovery in both versions and no more than a five-percentage-point gap, estimated over at least 1,000 development simulations. Unmatched pairs will be redesigned before locking. Controlled overlap will be allowed only after these checks. Formal instances will use independently seeded data, with no task selection based on evaluated agents’ recovery.</w:t>
      </w:r>
    </w:p>
    <w:p>
      <w:pPr>
        <w:widowControl/>
      </w:pPr>
      <w:r>
        <w:rPr>
          <w:b/>
        </w:rPr>
        <w:t xml:space="preserve">Deterministic recovery rubric. </w:t>
      </w:r>
      <w:r>
        <w:t>A concealed manifest will specify each finding’s outcome, exposure and comparator, estimand, direction, and subgroup predicates, together with acceptable equivalent expressions and outcome-specific evidence rules. Agents will emit the same structured claim fields alongside their reports. Matching will normalize aliases, reversed comparison coding, predicate order, and redundant bounds. Exact recovery will require all defining conditions with no additional restrictions. A within-subgroup treatment effect will not substitute for a treatment interaction when heterogeneity is the target.</w:t>
      </w:r>
    </w:p>
    <w:p>
      <w:pPr>
        <w:widowControl/>
      </w:pPr>
      <w:r>
        <w:rPr>
          <w:b/>
        </w:rPr>
        <w:t xml:space="preserve">Partial recovery and duplicate control. </w:t>
      </w:r>
      <w:r>
        <w:t>A near match will require the correct outcome, exposure/comparator, estimand, and direction, with conditions on exactly one defining subgroup variable omitted and every remaining condition correct. Extra restrictions, substituted variables, and wrong directions will receive no credit under this definition. Near matching will apply to targets with at least two defining subgroup variables. Omitting the variable that establishes paradigm disagreement will be flagged separately. Approximate numerical cutoffs will be a separate sensitivity endpoint requiring both subgroup precision and recall of at least 0.90 on a large independent reference sample. Exact, near-only, and other partial findings will remain separate rather than receive arbitrary fractional weights. Deterministic assignment will prioritize exact matches, then near matches, counting each target once and each submitted claim against at most one target. A structural near match must be validated as submitted; the scorer will not restore omitted variables.</w:t>
      </w:r>
    </w:p>
    <w:p>
      <w:pPr>
        <w:widowControl/>
      </w:pPr>
      <w:r>
        <w:rPr>
          <w:b/>
        </w:rPr>
        <w:t xml:space="preserve">Benchmark packaging. </w:t>
      </w:r>
      <w:r>
        <w:t>Development and evaluation packages will be separated by seed and access controls. Agents will receive realistically named data, a dictionary, neutral instructions to identify well-supported relationships, and permitted tools. They will not receive the target inventory, category labels, number of findings, or paired version. We will release versioned generators, manifests, structured-record schemas, analysis adapters, scoring code, and reference analyses, subject to source-data terms. Numeric tolerances, validation sample sizes, effect thresholds, and resource limits will be frozen before evaluation.</w:t>
      </w:r>
    </w:p>
    <w:p>
      <w:pPr>
        <w:pStyle w:val="Heading1"/>
        <w:widowControl/>
      </w:pPr>
      <w:r>
        <w:t>Subaim 1b Measure discovery and the exploration evidence response loop across models and harnesses</w:t>
      </w:r>
    </w:p>
    <w:p>
      <w:pPr>
        <w:widowControl/>
      </w:pPr>
      <w:r>
        <w:rPr>
          <w:b/>
        </w:rPr>
        <w:t xml:space="preserve">Experimental design. </w:t>
      </w:r>
      <w:r>
        <w:t>The primary panel will retain 5,760 fresh runs: 24 base datasets × two focal-effect versions × five model families (two closed-weight and three open-weight) × three compatible harnesses × eight repeats. Model and harness combinations will be verified during setup; any unavailable combination and replacement will be resolved before the panel is locked. Each repeat will use a fresh session without access to another version or prior run. Assignment and execution order will be randomized within base-dataset, model, and harness blocks. The finding is the scoring unit, the rollout is the repeated execution unit, and the base dataset is the unit of independent task replication.</w:t>
      </w:r>
    </w:p>
    <w:p>
      <w:pPr>
        <w:widowControl/>
      </w:pPr>
      <w:r>
        <w:rPr>
          <w:b/>
        </w:rPr>
        <w:t xml:space="preserve">Rollout and hypothesis ledger. </w:t>
      </w:r>
      <w:r>
        <w:t>Each iteration will contain hypothesis generation, analysis, evidence appraisal, and synthesis, followed by another iteration. Clinical tasks will allow 25 iterations and gene-dependency tasks 10, with generated-token and tool-call caps fixed by task family and matched across conditions. Runs will not stop because a hidden target has been recovered. Before each selected analysis, the agent will register the question, structured claim, expected direction or no directional expectation, and current claim status. After results, it will record whether it accepts the claim for this dataset, rejects that specific claim, or leaves it unresolved, and cite the analysis result. A revised claim will retain a link to its predecessor. Executed code, numerical results, and all stage records will be timestamped; evaluators will not infer unrecorded internal reasoning.</w:t>
      </w:r>
    </w:p>
    <w:p>
      <w:pPr>
        <w:widowControl/>
      </w:pPr>
      <w:r>
        <w:rPr>
          <w:b/>
        </w:rPr>
        <w:t xml:space="preserve">Exploration rubric. </w:t>
      </w:r>
      <w:r>
        <w:t>At each stage boundary, we will count newly proposed and cumulative distinct hypotheses. We will separately count hypotheses with successful executed analyses estimating their stated contrast. Equivalent wording, duplicate submissions, and reversed contrast coding will be collapsed. A complementary breadth measure will count distinct combinations of outcome, exposure/comparator, estimand, and subgroup-variable set; changes only in direction or cutoff will count as refinement within that family. The primary exploration measure will be cumulative target coverage: the proportion of planted relationships addressed by a valid exact or near analysis, ignoring its anticipated direction and whether it was significant. A covariate’s mere inclusion in a model will not count as an interaction test. Paradigm-specific metrics will use manifest-matched claims; uncatalogued hypotheses will contribute to overall breadth without post hoc literature labels. Coverage, proposal counts, executed breadth, and refinement will be reported together, preventing untested lists from being interpreted as successful exploration.</w:t>
      </w:r>
    </w:p>
    <w:p>
      <w:pPr>
        <w:widowControl/>
      </w:pPr>
      <w:r>
        <w:rPr>
          <w:b/>
        </w:rPr>
        <w:t xml:space="preserve">Evidence available during the rollout. </w:t>
      </w:r>
      <w:r>
        <w:t>To obtain interpretable evidence-response events, each run may submit up to 10 agent-selected claims for validation, at most one per iteration. Each claim and analysis specification must be frozen before the result is returned. A common adapter will draw a fresh sample from the frozen synthetic model or empirical plasmode covariate distribution and independently generate its outcomes. Validation sample size will match the discovery sample size for that task. The adapter will return an estimate, confidence interval, sample sizes, and diagnostics for the submitted contrast, without target-matching feedback. Each call will use new observations and simulation errors; raw validation data will remain inaccessible. This avoids treating repeated exploratory analyses of the same dataset as independent evidence. Repeated use of ordinary holdout results can itself compromise statistical validity (Dwork et al., 2015).</w:t>
      </w:r>
    </w:p>
    <w:p>
      <w:pPr>
        <w:widowControl/>
      </w:pPr>
      <w:r>
        <w:rPr>
          <w:b/>
        </w:rPr>
        <w:t xml:space="preserve">Responsiveness rubric. </w:t>
      </w:r>
      <w:r>
        <w:t>Every validated directional claim will assert that its signed effect exceeds a task-defined minimum effect δ &gt; 0, published in the task’s general analysis specification and applied uniformly within an endpoint. This threshold defines the claim being accepted or rejected. For each of the 10 possible validation calls, the adapter will calculate a 99.5% confidence interval for the signed effect, allocating 0.05/10 error probability per call. Reference simulations will verify interval coverage and prespecified sample-size, overlap, and model-diagnostic requirements. Evidence and the corresponding response will be classified by the following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600"/>
        <w:gridCol w:w="4968"/>
        <w:gridCol w:w="2232"/>
      </w:tblGrid>
      <w:tr>
        <w:trPr>
          <w:cantSplit/>
          <w:tblHeader/>
        </w:trPr>
        <w:tc>
          <w:tcPr>
            <w:tcW w:type="dxa" w:w="3600"/>
            <w:vAlign w:val="center"/>
            <w:shd w:fill="E2EED9"/>
          </w:tcPr>
          <w:p>
            <w:pPr>
              <w:spacing w:after="0" w:line="240" w:lineRule="auto"/>
            </w:pPr>
            <w:r>
              <w:rPr>
                <w:rFonts w:ascii="Arial" w:hAnsi="Arial"/>
                <w:b/>
                <w:color w:val="000000"/>
                <w:sz w:val="20"/>
              </w:rPr>
              <w:t>Returned evidence</w:t>
            </w:r>
          </w:p>
        </w:tc>
        <w:tc>
          <w:tcPr>
            <w:tcW w:type="dxa" w:w="4968"/>
            <w:vAlign w:val="center"/>
            <w:shd w:fill="E2EED9"/>
          </w:tcPr>
          <w:p>
            <w:pPr>
              <w:spacing w:after="0" w:line="240" w:lineRule="auto"/>
            </w:pPr>
            <w:r>
              <w:rPr>
                <w:rFonts w:ascii="Arial" w:hAnsi="Arial"/>
                <w:b/>
                <w:color w:val="000000"/>
                <w:sz w:val="20"/>
              </w:rPr>
              <w:t>Evidence-consistent response</w:t>
            </w:r>
          </w:p>
        </w:tc>
        <w:tc>
          <w:tcPr>
            <w:tcW w:type="dxa" w:w="2232"/>
            <w:vAlign w:val="center"/>
            <w:shd w:fill="E2EED9"/>
          </w:tcPr>
          <w:p>
            <w:pPr>
              <w:spacing w:after="0" w:line="240" w:lineRule="auto"/>
            </w:pPr>
            <w:r>
              <w:rPr>
                <w:rFonts w:ascii="Arial" w:hAnsi="Arial"/>
                <w:b/>
                <w:color w:val="000000"/>
                <w:sz w:val="20"/>
              </w:rPr>
              <w:t>Deterministic score</w:t>
            </w:r>
          </w:p>
        </w:tc>
      </w:tr>
      <w:tr>
        <w:trPr>
          <w:cantSplit/>
        </w:trPr>
        <w:tc>
          <w:tcPr>
            <w:tcW w:type="dxa" w:w="3600"/>
            <w:vAlign w:val="center"/>
          </w:tcPr>
          <w:p>
            <w:pPr>
              <w:spacing w:after="0" w:line="240" w:lineRule="auto"/>
            </w:pPr>
            <w:r>
              <w:rPr>
                <w:rFonts w:ascii="Arial" w:hAnsi="Arial"/>
                <w:b w:val="0"/>
                <w:color w:val="000000"/>
                <w:sz w:val="20"/>
              </w:rPr>
              <w:t>Lower confidence bound &gt; δ</w:t>
            </w:r>
          </w:p>
        </w:tc>
        <w:tc>
          <w:tcPr>
            <w:tcW w:type="dxa" w:w="4968"/>
            <w:vAlign w:val="center"/>
          </w:tcPr>
          <w:p>
            <w:pPr>
              <w:spacing w:after="0" w:line="240" w:lineRule="auto"/>
            </w:pPr>
            <w:r>
              <w:rPr>
                <w:rFonts w:ascii="Arial" w:hAnsi="Arial"/>
                <w:b w:val="0"/>
                <w:color w:val="000000"/>
                <w:sz w:val="20"/>
              </w:rPr>
              <w:t>Accept the specified claim for this dataset</w:t>
            </w:r>
          </w:p>
        </w:tc>
        <w:tc>
          <w:tcPr>
            <w:tcW w:type="dxa" w:w="2232"/>
            <w:vAlign w:val="center"/>
          </w:tcPr>
          <w:p>
            <w:pPr>
              <w:spacing w:after="0" w:line="240" w:lineRule="auto"/>
            </w:pPr>
            <w:r>
              <w:rPr>
                <w:rFonts w:ascii="Arial" w:hAnsi="Arial"/>
                <w:b w:val="0"/>
                <w:color w:val="000000"/>
                <w:sz w:val="20"/>
              </w:rPr>
              <w:t>1 if consistent; otherwise 0</w:t>
            </w:r>
          </w:p>
        </w:tc>
      </w:tr>
      <w:tr>
        <w:trPr>
          <w:cantSplit/>
        </w:trPr>
        <w:tc>
          <w:tcPr>
            <w:tcW w:type="dxa" w:w="3600"/>
            <w:vAlign w:val="center"/>
          </w:tcPr>
          <w:p>
            <w:pPr>
              <w:spacing w:after="0" w:line="240" w:lineRule="auto"/>
            </w:pPr>
            <w:r>
              <w:rPr>
                <w:rFonts w:ascii="Arial" w:hAnsi="Arial"/>
                <w:b w:val="0"/>
                <w:color w:val="000000"/>
                <w:sz w:val="20"/>
              </w:rPr>
              <w:t>Upper confidence bound &lt; δ</w:t>
            </w:r>
          </w:p>
        </w:tc>
        <w:tc>
          <w:tcPr>
            <w:tcW w:type="dxa" w:w="4968"/>
            <w:vAlign w:val="center"/>
          </w:tcPr>
          <w:p>
            <w:pPr>
              <w:spacing w:after="0" w:line="240" w:lineRule="auto"/>
            </w:pPr>
            <w:r>
              <w:rPr>
                <w:rFonts w:ascii="Arial" w:hAnsi="Arial"/>
                <w:b w:val="0"/>
                <w:color w:val="000000"/>
                <w:sz w:val="20"/>
              </w:rPr>
              <w:t>Reject the specified minimum-effect claim; any revised claim gets a new linked record</w:t>
            </w:r>
          </w:p>
        </w:tc>
        <w:tc>
          <w:tcPr>
            <w:tcW w:type="dxa" w:w="2232"/>
            <w:vAlign w:val="center"/>
          </w:tcPr>
          <w:p>
            <w:pPr>
              <w:spacing w:after="0" w:line="240" w:lineRule="auto"/>
            </w:pPr>
            <w:r>
              <w:rPr>
                <w:rFonts w:ascii="Arial" w:hAnsi="Arial"/>
                <w:b w:val="0"/>
                <w:color w:val="000000"/>
                <w:sz w:val="20"/>
              </w:rPr>
              <w:t>1 if consistent; otherwise 0</w:t>
            </w:r>
          </w:p>
        </w:tc>
      </w:tr>
      <w:tr>
        <w:trPr>
          <w:cantSplit/>
        </w:trPr>
        <w:tc>
          <w:tcPr>
            <w:tcW w:type="dxa" w:w="3600"/>
            <w:vAlign w:val="center"/>
          </w:tcPr>
          <w:p>
            <w:pPr>
              <w:spacing w:after="0" w:line="240" w:lineRule="auto"/>
            </w:pPr>
            <w:r>
              <w:rPr>
                <w:rFonts w:ascii="Arial" w:hAnsi="Arial"/>
                <w:b w:val="0"/>
                <w:color w:val="000000"/>
                <w:sz w:val="20"/>
              </w:rPr>
              <w:t>Interval includes δ</w:t>
            </w:r>
          </w:p>
        </w:tc>
        <w:tc>
          <w:tcPr>
            <w:tcW w:type="dxa" w:w="4968"/>
            <w:vAlign w:val="center"/>
          </w:tcPr>
          <w:p>
            <w:pPr>
              <w:spacing w:after="0" w:line="240" w:lineRule="auto"/>
            </w:pPr>
            <w:r>
              <w:rPr>
                <w:rFonts w:ascii="Arial" w:hAnsi="Arial"/>
                <w:b w:val="0"/>
                <w:color w:val="000000"/>
                <w:sz w:val="20"/>
              </w:rPr>
              <w:t>Leave the claim unresolved pending more evidence</w:t>
            </w:r>
          </w:p>
        </w:tc>
        <w:tc>
          <w:tcPr>
            <w:tcW w:type="dxa" w:w="2232"/>
            <w:vAlign w:val="center"/>
          </w:tcPr>
          <w:p>
            <w:pPr>
              <w:spacing w:after="0" w:line="240" w:lineRule="auto"/>
            </w:pPr>
            <w:r>
              <w:rPr>
                <w:rFonts w:ascii="Arial" w:hAnsi="Arial"/>
                <w:b w:val="0"/>
                <w:color w:val="000000"/>
                <w:sz w:val="20"/>
              </w:rPr>
              <w:t>1 if consistent; otherwise 0</w:t>
            </w:r>
          </w:p>
        </w:tc>
      </w:tr>
      <w:tr>
        <w:trPr>
          <w:cantSplit/>
        </w:trPr>
        <w:tc>
          <w:tcPr>
            <w:tcW w:type="dxa" w:w="3600"/>
            <w:vAlign w:val="center"/>
          </w:tcPr>
          <w:p>
            <w:pPr>
              <w:spacing w:after="0" w:line="240" w:lineRule="auto"/>
            </w:pPr>
            <w:r>
              <w:rPr>
                <w:rFonts w:ascii="Arial" w:hAnsi="Arial"/>
                <w:b w:val="0"/>
                <w:color w:val="000000"/>
                <w:sz w:val="20"/>
              </w:rPr>
              <w:t>Analysis fails prespecified validity checks</w:t>
            </w:r>
          </w:p>
        </w:tc>
        <w:tc>
          <w:tcPr>
            <w:tcW w:type="dxa" w:w="4968"/>
            <w:vAlign w:val="center"/>
          </w:tcPr>
          <w:p>
            <w:pPr>
              <w:spacing w:after="0" w:line="240" w:lineRule="auto"/>
            </w:pPr>
            <w:r>
              <w:rPr>
                <w:rFonts w:ascii="Arial" w:hAnsi="Arial"/>
                <w:b w:val="0"/>
                <w:color w:val="000000"/>
                <w:sz w:val="20"/>
              </w:rPr>
              <w:t>No eligible response event; retain an execution/validity failure record</w:t>
            </w:r>
          </w:p>
        </w:tc>
        <w:tc>
          <w:tcPr>
            <w:tcW w:type="dxa" w:w="2232"/>
            <w:vAlign w:val="center"/>
          </w:tcPr>
          <w:p>
            <w:pPr>
              <w:spacing w:after="0" w:line="240" w:lineRule="auto"/>
            </w:pPr>
            <w:r>
              <w:rPr>
                <w:rFonts w:ascii="Arial" w:hAnsi="Arial"/>
                <w:b w:val="0"/>
                <w:color w:val="000000"/>
                <w:sz w:val="20"/>
              </w:rPr>
              <w:t>Report separately, not as evidence for rejection</w:t>
            </w:r>
          </w:p>
        </w:tc>
      </w:tr>
    </w:tbl>
    <w:p>
      <w:pPr>
        <w:widowControl/>
        <w:spacing w:before="120"/>
      </w:pPr>
      <w:r>
        <w:rPr>
          <w:b/>
        </w:rPr>
        <w:t xml:space="preserve">Response denominators and interpretation. </w:t>
      </w:r>
      <w:r>
        <w:t>The response will be recorded immediately after the result and before another analysis. Responsiveness will equal consistent decisions divided by eligible validation events, with acceptance, rejection, and unresolved-result accuracy reported separately. We will also report update accuracy among events whose evidence-consistent status differs from the pre-result status, and appropriate maintenance when it agrees. No validation events will yield an undefined responsiveness score, not zero; validation utilization and missing responses will be shown, with missing responses to valid returned results scored as failures. Rejecting a minimum-effect claim will not be equated with proving a zero or opposite effect, and ordinary nonsignificance will not justify rejection. This rubric measures application of a stated evidential standard to these data, not whether the agent abandons the broader clinical literature.</w:t>
      </w:r>
    </w:p>
    <w:p>
      <w:pPr>
        <w:widowControl/>
      </w:pPr>
      <w:r>
        <w:rPr>
          <w:b/>
        </w:rPr>
        <w:t xml:space="preserve">Evidence-triggered exploration. </w:t>
      </w:r>
      <w:r>
        <w:t>After each eligible result, we will measure new hypothesis families and refinements proposed and executed over the next two iterations, excluding events without two iterations remaining. Analyses will distinguish evidence that agrees with the agent’s recorded expectation, evidence that opposes it, and cases without an expectation. Linked claim revisions and later exact recovery will identify sequences such as partial finding → subgroup refinement → confirmed discovery. Counts of follow-up analyses will be descriptive, since more testing is not always better. These analyses will capture feedback between exploration and responsiveness without treating the two as independent traits.</w:t>
      </w:r>
    </w:p>
    <w:p>
      <w:pPr>
        <w:widowControl/>
      </w:pPr>
      <w:r>
        <w:rPr>
          <w:b/>
        </w:rPr>
        <w:t xml:space="preserve">Discovery endpoints and evidential discipline. </w:t>
      </w:r>
      <w:r>
        <w:t>The primary endpoint will be exact, independently confirmed recovery of the focal finding in the final accepted-claim set. After a run ends, the evaluator will test all distinct final accepted claims on an additional independent sample never exposed during the rollout. With M accepted claims, confidence intervals will use error probability 0.05/M; a directional claim is confirmed only when its signed lower bound exceeds δ. No accepted claims will yield zero recovered targets. The primary contrast will be the discordant-minus-concordant recovery probability, reported with both absolute rates. Secondary outcomes will include exact and near-only recovery across all six findings by paradigm category; time to first exact structured submission; cumulative recovery at each iteration; and whether an intermediate finding survives into the final report. Identity recovery and independent confirmation will remain separately available.</w:t>
      </w:r>
    </w:p>
    <w:p>
      <w:pPr>
        <w:widowControl/>
      </w:pPr>
      <w:r>
        <w:rPr>
          <w:b/>
        </w:rPr>
        <w:t xml:space="preserve">Claims outside the target inventory. </w:t>
      </w:r>
      <w:r>
        <w:t>We will evaluate accepted non-target claims using the same submitted estimand under the full DGP, analytically or by independent simulation with quantified Monte Carlo error. Valid induced or marginal associations will not be labeled false merely because they were not planted. We will report DGP-contradicted claims, independently unconfirmed claims, and claims that cannot be adjudicated as separate outcomes. Deliberately null candidate relationships and overbroad subgroup claims will provide opportunities to detect indiscriminate acceptance; a blanket strategy of deferring all claims will be visible in the outcome-specific responsiveness rates and low confirmed recovery.</w:t>
      </w:r>
    </w:p>
    <w:p>
      <w:pPr>
        <w:widowControl/>
      </w:pPr>
      <w:r>
        <w:rPr>
          <w:b/>
        </w:rPr>
        <w:t xml:space="preserve">Statistical analysis. </w:t>
      </w:r>
      <w:r>
        <w:t>For the primary analysis, we will estimate the paired recovery difference within each base-dataset, model, and harness combination, average equally across the prespecified panel, and obtain 95% confidence intervals by resampling base datasets within the four task-family/data-source strata while preserving both versions and all repeats. Secondary mixed-effects models will include paradigm condition, model, harness, task family, data source, and direct-reversal versus subgroup-exception type, with dataset and, for repeated within-rollout outcomes, run effects. Time-to-discovery analyses will retain unrecovered targets as censored at the budget cap. Simulations conducted before task locking will assess precision and power using dataset-level heterogeneity; the 5,760 runs will not be treated as 5,760 independent biological tasks. Secondary endpoint families will use false-discovery-rate control.</w:t>
      </w:r>
    </w:p>
    <w:p>
      <w:pPr>
        <w:widowControl/>
      </w:pPr>
      <w:r>
        <w:rPr>
          <w:b/>
        </w:rPr>
        <w:t xml:space="preserve">Controlled responsiveness assessment. </w:t>
      </w:r>
      <w:r>
        <w:t>Natural-rollout responsiveness is conditional on the evidence each agent chooses to obtain and will therefore be interpreted descriptively. A supplementary experiment will present identical evidence summaries across systems for eight claim templates balanced by task family and data source. Each template will have concordant and discordant versions and three evidence states: supporting, refuting, or inconclusive. Five models × three harnesses × four fresh repeats will yield 2,880 brief decision probes, separate from the 5,760 full rollouts. This experiment will test response behavior without differential search.</w:t>
      </w:r>
    </w:p>
    <w:p>
      <w:pPr>
        <w:widowControl/>
      </w:pPr>
      <w:r>
        <w:rPr>
          <w:b/>
        </w:rPr>
        <w:t xml:space="preserve">Limitations and safeguards. </w:t>
      </w:r>
      <w:r>
        <w:t>Primary inference will concern the paired focal manipulation; category comparisons among unrelated background findings will remain secondary. Null differences will identify conditions in which paradigm disagreement does not impair performance. Floor or ceiling effects will motivate separately versioned extensions, not changes to the locked evaluation set. Protocol failures will remain in the assigned denominator with no primary recovery; documented infrastructure outages will follow a frozen retry policy. All analysis code, matching rules, sampling seeds, and model settings will be preregistered, and generators, answer keys, and final evaluation data will remain outside agent-accessible environments.</w:t>
      </w:r>
    </w:p>
    <w:p>
      <w:pPr>
        <w:widowControl/>
      </w:pPr>
      <w:r>
        <w:rPr>
          <w:b/>
        </w:rPr>
        <w:t xml:space="preserve">Methodological reference. </w:t>
      </w:r>
      <w:r>
        <w:t>Dwork C, Feldman V, Hardt M, Pitassi T, Reingold O, Roth A. The reusable holdout: Preserving validity in adaptive data analysis. Science. 2015;349(6248):636–638. doi:10.1126/science.aaa9375.</w:t>
      </w:r>
    </w:p>
    <w:sectPr w:rsidR="00FC693F" w:rsidRPr="0006063C" w:rsidSect="00034616">
      <w:footerReference w:type="default" r:id="rId9"/>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Arial" w:hAnsi="Arial"/>
      <w:b/>
      <w:bCs/>
      <w:color w:val="000000"/>
      <w:sz w:val="22"/>
      <w:szCs w:val="28"/>
      <w:u w:val="none"/>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Arial" w:hAnsi="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0"/>
    </w:pPr>
    <w:rPr>
      <w:rFonts w:ascii="Arial" w:hAnsi="Arial"/>
      <w:b/>
      <w:bCs/>
      <w:color w:val="000000"/>
      <w:sz w:val="22"/>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