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an agentic rollout.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will therefore evaluate both recovery of the embedded discoveries and the sequence of hypotheses, analyses, and decisions through which recovery occurs.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data-generating processes will support binary, continuous, and time-to-event outcomes, with explicit control of effect size, censoring, missingness, and nuisance associations. Reference analyses will specify the comparison being estimated, the required adjustment variables, and the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data-generating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for a controlled comparison between two dataset versions.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selected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selected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The paired comparisons will be calibrated to make the expected and surprising versions similar in statistical difficulty. We will consider subgroup prevalence, number of defining variables, effect magnitude, treatment balance, missingness, nuisance correlations, and visibility in marginal analyses. Because overlapping discoveries can reinforce or obscure one another, calibration will use the complete data-generating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and proposed discoveries using corresponding structured fields, accompanied by their scientific interpretation and analysis code. Deterministic rules will compare these records with the answer key. The rules will recognize equivalent variable names, reversed coding of a comparison, and logically equivalent subgroup definitions. Exact recovery will require the correct outcome, comparison, direction, and complete set of subgroup conditions. For a discovery defined by treatment-effect modification, recovery will require the interaction specifying how the treatment association differs between subgroups.</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scientifically meaningful associations, evaluate them with reproducible code, interpret the results, and continue the research process through a specified iteration budget. Generators, answer keys, category assignments, and paired dataset versions will remain in a separate evaluation environment. The benchmark release will include versioned task-generation code, structured-output schemas, reference analyses, scoring rules, and harness adapters. Plasmode-derived materials will be distributed in accordance with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selected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experiment will proceed through repeated stages of hypothesis generation, analysis, critique, and synthesis. One pass through these stages will constitute an iteration. Clinical experiments will allow 25 iterations and gene-dependency experiments 10, with the same generated-token and tool-call allowances across the paired conditions within each task family. The agent will continue until it completes the iteration budget or reaches a prespecified resource limit. At each stage, the harness will record the hypotheses under consideration, the analyses selected and executed, and the conclusions drawn from their results. Before a selected analysis, the agent will specify the comparison it proposes to test, its anticipated direction or lack of a directional expectation, and its current assessment of the hypothesis. After the analysis, it will record acceptance, rejection, or continued uncertainty, with a reference to the supporting result. Revised hypotheses will retain links to their earlier versions, allowing reconstruction of the research process.</w:t>
      </w:r>
    </w:p>
    <w:p>
      <w:pPr>
        <w:widowControl/>
      </w:pPr>
      <w:r>
        <w:rPr>
          <w:b/>
        </w:rPr>
        <w:t xml:space="preserve">Discovery endpoints. </w:t>
      </w:r>
      <w:r>
        <w:t>The primary endpoint will be exact, independently confirmed recovery of the selected discovery in the final report. For each paired comparison, we will estimate the probability of recovery when the discovery is surprising and when it is expected, and calculate the difference between those probabilities. A lower probability of recovery in the surprising condition would support the hypothesis that established knowledge can impede discovery even when an association is statistically recoverable. Secondary endpoints will include the number and proportion of all six embedded discoveries recovered in each category; exact and near recovery at successive iterations; iterations to the first exact hypothesis; and retention of an intermediate discovery in the final report. These measures will show whether a co-scientist identifies an association during exploration but subsequently omits or rejects it.</w:t>
      </w:r>
    </w:p>
    <w:p>
      <w:pPr>
        <w:widowControl/>
      </w:pPr>
      <w:r>
        <w:rPr>
          <w:b/>
        </w:rPr>
        <w:t xml:space="preserve">Exploration. </w:t>
      </w:r>
      <w:r>
        <w:t>Exploration will be measured from the hypotheses recorded at each stage of the rollout. We will count newly proposed hypotheses, the cumulative number of distinct hypotheses considered, and the cumulative number evaluated through successfully executed analyses. Equivalent formulations of the same hypothesis will be counted once. We will additionally group hypotheses by outcome, exposure/comparator, statistical contrast, and the set of subgroup variables, so that repeated changes to a cutoff or predicted direction can be recognized as refinement of an existing line of inquiry. The principal measure of exploration will be the proportion of embedded discoveries addressed by analyses that meet the exact or near matching criteria, regardless of the agent’s anticipated direction or the statistical result. For an interaction-based discovery, this will require an analysis that estimates the relevant interaction. We will report coverage separately for expected, neutral, and surprising discoveries, together with the overall number of hypotheses proposed and tested. Hypotheses outside the answer-key inventory will contribute to the overall measures of exploration.</w:t>
      </w:r>
    </w:p>
    <w:p>
      <w:pPr>
        <w:widowControl/>
      </w:pPr>
      <w:r>
        <w:rPr>
          <w:b/>
        </w:rPr>
        <w:t xml:space="preserve">Responsiveness to evidence. </w:t>
      </w:r>
      <w:r>
        <w:t>To evaluate responsiveness, we will provide opportunities for the agent to obtain new data bearing on hypotheses it selects during the research process. Each experiment will permit up to ten requests for validation, with at most one request per iteration. The agent will submit the hypothesis and analysis specification before the validation result is generated. A shared analysis service will then draw a new sample from the prespecified synthetic model or empirical plasmode covariate distribution and independently generate its outcomes. Each validation sample will contain the same number of observations as the task’s discovery dataset. The service will return the estimated effect, confidence interval, sample sizes, and diagnostic information. This design will provide independent replication results for adaptively selected hypotheses, addressing the dependence that arises when later analyses are chosen in response to earlier results (Dwork et al., 2015).</w:t>
      </w:r>
    </w:p>
    <w:p>
      <w:pPr>
        <w:widowControl/>
      </w:pPr>
      <w:r>
        <w:t>A validation request will specify a directional hypothesis that the effect exceeds a minimum magnitude, δ. The threshold will be defined for each endpoint during task development and included in the general analysis instructions. For example, a hypothesis might assert that a subgroup has at least a one-month improvement in restricted mean progression-free survival over a prespecified follow-up interval. The validation service will calculate a 99.5% confidence interval for the effect in the hypothesized direction, allocating an error probability of 0.05/10 to each of the ten possible requests. Sample-size requirements, overlap, model diagnostics, and confidence-interval coverage will be checked against prespecified reference procedures. Immediately after receiving the result, the agent will record whether it accepts the hypothesis, rejects it, or considers the evidence inconclusive. The following rules will score that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00"/>
        <w:gridCol w:w="4968"/>
        <w:gridCol w:w="2232"/>
      </w:tblGrid>
      <w:tr>
        <w:trPr>
          <w:cantSplit/>
          <w:tblHeader/>
        </w:trPr>
        <w:tc>
          <w:tcPr>
            <w:tcW w:type="dxa" w:w="3600"/>
            <w:vAlign w:val="center"/>
            <w:shd w:fill="E2EED9"/>
          </w:tcPr>
          <w:p>
            <w:pPr>
              <w:spacing w:after="0" w:line="240" w:lineRule="auto"/>
            </w:pPr>
            <w:r>
              <w:rPr>
                <w:rFonts w:ascii="Arial" w:hAnsi="Arial"/>
                <w:b/>
                <w:color w:val="000000"/>
                <w:sz w:val="20"/>
              </w:rPr>
              <w:t>Validation result</w:t>
            </w:r>
          </w:p>
        </w:tc>
        <w:tc>
          <w:tcPr>
            <w:tcW w:type="dxa" w:w="4968"/>
            <w:vAlign w:val="center"/>
            <w:shd w:fill="E2EED9"/>
          </w:tcPr>
          <w:p>
            <w:pPr>
              <w:spacing w:after="0" w:line="240" w:lineRule="auto"/>
            </w:pPr>
            <w:r>
              <w:rPr>
                <w:rFonts w:ascii="Arial" w:hAnsi="Arial"/>
                <w:b/>
                <w:color w:val="000000"/>
                <w:sz w:val="20"/>
              </w:rPr>
              <w:t>Response supported by the evidence</w:t>
            </w:r>
          </w:p>
        </w:tc>
        <w:tc>
          <w:tcPr>
            <w:tcW w:type="dxa" w:w="2232"/>
            <w:vAlign w:val="center"/>
            <w:shd w:fill="E2EED9"/>
          </w:tcPr>
          <w:p>
            <w:pPr>
              <w:spacing w:after="0" w:line="240" w:lineRule="auto"/>
            </w:pPr>
            <w:r>
              <w:rPr>
                <w:rFonts w:ascii="Arial" w:hAnsi="Arial"/>
                <w:b/>
                <w:color w:val="000000"/>
                <w:sz w:val="20"/>
              </w:rPr>
              <w:t>Score</w:t>
            </w:r>
          </w:p>
        </w:tc>
      </w:tr>
      <w:tr>
        <w:trPr>
          <w:cantSplit/>
        </w:trPr>
        <w:tc>
          <w:tcPr>
            <w:tcW w:type="dxa" w:w="3600"/>
            <w:vAlign w:val="center"/>
          </w:tcPr>
          <w:p>
            <w:pPr>
              <w:spacing w:after="0" w:line="240" w:lineRule="auto"/>
            </w:pPr>
            <w:r>
              <w:rPr>
                <w:rFonts w:ascii="Arial" w:hAnsi="Arial"/>
                <w:b w:val="0"/>
                <w:color w:val="000000"/>
                <w:sz w:val="20"/>
              </w:rPr>
              <w:t>The lower confidence bound exceeds δ.</w:t>
            </w:r>
          </w:p>
        </w:tc>
        <w:tc>
          <w:tcPr>
            <w:tcW w:type="dxa" w:w="4968"/>
            <w:vAlign w:val="center"/>
          </w:tcPr>
          <w:p>
            <w:pPr>
              <w:spacing w:after="0" w:line="240" w:lineRule="auto"/>
            </w:pPr>
            <w:r>
              <w:rPr>
                <w:rFonts w:ascii="Arial" w:hAnsi="Arial"/>
                <w:b w:val="0"/>
                <w:color w:val="000000"/>
                <w:sz w:val="20"/>
              </w:rPr>
              <w:t>Accept the hypothesis that the directional effect exceeds the specified minimum magnitude.</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upper confidence bound is below δ.</w:t>
            </w:r>
          </w:p>
        </w:tc>
        <w:tc>
          <w:tcPr>
            <w:tcW w:type="dxa" w:w="4968"/>
            <w:vAlign w:val="center"/>
          </w:tcPr>
          <w:p>
            <w:pPr>
              <w:spacing w:after="0" w:line="240" w:lineRule="auto"/>
            </w:pPr>
            <w:r>
              <w:rPr>
                <w:rFonts w:ascii="Arial" w:hAnsi="Arial"/>
                <w:b w:val="0"/>
                <w:color w:val="000000"/>
                <w:sz w:val="20"/>
              </w:rPr>
              <w:t>Reject the hypothesis that the directional effect exceeds the specified minimum magnitude.</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confidence interval includes δ.</w:t>
            </w:r>
          </w:p>
        </w:tc>
        <w:tc>
          <w:tcPr>
            <w:tcW w:type="dxa" w:w="4968"/>
            <w:vAlign w:val="center"/>
          </w:tcPr>
          <w:p>
            <w:pPr>
              <w:spacing w:after="0" w:line="240" w:lineRule="auto"/>
            </w:pPr>
            <w:r>
              <w:rPr>
                <w:rFonts w:ascii="Arial" w:hAnsi="Arial"/>
                <w:b w:val="0"/>
                <w:color w:val="000000"/>
                <w:sz w:val="20"/>
              </w:rPr>
              <w:t>Retain uncertainty and consider further evidence necessary to resolve the hypothesis.</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analysis fails a prespecified validity check.</w:t>
            </w:r>
          </w:p>
        </w:tc>
        <w:tc>
          <w:tcPr>
            <w:tcW w:type="dxa" w:w="4968"/>
            <w:vAlign w:val="center"/>
          </w:tcPr>
          <w:p>
            <w:pPr>
              <w:spacing w:after="0" w:line="240" w:lineRule="auto"/>
            </w:pPr>
            <w:r>
              <w:rPr>
                <w:rFonts w:ascii="Arial" w:hAnsi="Arial"/>
                <w:b w:val="0"/>
                <w:color w:val="000000"/>
                <w:sz w:val="20"/>
              </w:rPr>
              <w:t>Record an analysis failure and evaluate the cause during subsequent critique.</w:t>
            </w:r>
          </w:p>
        </w:tc>
        <w:tc>
          <w:tcPr>
            <w:tcW w:type="dxa" w:w="2232"/>
            <w:vAlign w:val="center"/>
          </w:tcPr>
          <w:p>
            <w:pPr>
              <w:spacing w:after="0" w:line="240" w:lineRule="auto"/>
            </w:pPr>
            <w:r>
              <w:rPr>
                <w:rFonts w:ascii="Arial" w:hAnsi="Arial"/>
                <w:b w:val="0"/>
                <w:color w:val="000000"/>
                <w:sz w:val="20"/>
              </w:rPr>
              <w:t>Reported separately</w:t>
            </w:r>
          </w:p>
        </w:tc>
      </w:tr>
    </w:tbl>
    <w:p>
      <w:pPr>
        <w:widowControl/>
        <w:spacing w:before="120"/>
      </w:pPr>
      <w:r>
        <w:t>Responsiveness will be calculated as the proportion of valid validation results followed by an evidence-consistent decision. We will also report acceptance, rejection, and uncertainty separately. Among results that support changing the pre-analysis assessment, we will calculate the proportion followed by the indicated change; maintenance of an assessment supported by the new evidence will be reported separately. For example, if an agent anticipates longer progression-free survival for exon 19 deletion but a valid replication result supports a sufficiently large advantage for L858R, an appropriate response would be to reject its original directional hypothesis and consider the reverse association. Results that remain compatible with both clinically meaningful benefit and smaller effects would support continued uncertainty. A missing decision after a valid returned result will receive a score of zero. For experiments with no valid validation results, responsiveness will be unavailable, and the number of requests and analysis failures will be reported.</w:t>
      </w:r>
    </w:p>
    <w:p>
      <w:pPr>
        <w:widowControl/>
      </w:pPr>
      <w:r>
        <w:rPr>
          <w:b/>
        </w:rPr>
        <w:t xml:space="preserve">Exploration following new evidence. </w:t>
      </w:r>
      <w:r>
        <w:t>We will examine how responses to evidence influence subsequent exploration by measuring new hypotheses and refinements proposed and tested during the two iterations following a validation result. These analyses will compare results that agree with the agent’s recorded expectation, results that oppose it, and results for hypotheses without a recorded directional expectation. They will include validation results returned with at least two iterations remaining in the research budget. Links among successive hypotheses will allow us to identify sequences in which an initial association prompts subgroup refinement, additional testing, and eventual discovery. Together with the recovery endpoints, these trajectories will characterize the extent to which new evidence opens additional lines of inquiry or leads the agent to concentrate on an emerging explanation.</w:t>
      </w:r>
    </w:p>
    <w:p>
      <w:pPr>
        <w:widowControl/>
      </w:pPr>
      <w:r>
        <w:rPr>
          <w:b/>
        </w:rPr>
        <w:t xml:space="preserve">Independent confirmation and additional discoveries. </w:t>
      </w:r>
      <w:r>
        <w:t>At the end of each experiment, all distinct hypotheses accepted in the final report will be evaluated in a further independent sample generated under the same data-generating process. This sample will remain inaccessible during the rollout. With M accepted hypotheses, confidence intervals will use an error probability of 0.05/M. Confirmation will require the lower confidence bound for the effect in the reported direction to exceed δ. Experiments yielding no accepted discoveries will receive a primary recovery score of zero. We will retain both structural recovery and independent confirmation in the reported results, allowing assessment of whether the agent identified the correct association and whether the association it reported was supported in new data.</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data-generating process, either analytically or through independent simulation with quantified Monte Carlo uncertainty. Reports will distinguish confirmed additional discoveries, claims contradicted by the data-generating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Primary analyses will estimate the difference in recovery probability between the surprising and expected versions within each dataset, model, and harness combination, averaging across the prespecified panel. We will obtain 95% confidence intervals by resampling base datasets within the four combinations of task family and data source, preserving both paired versions and all repeats in each resampled dataset. Secondary mixed-effects models will evaluate variation by model, harness, task family, data source, and whether a discovery involves an overall reversal or a subgroup exception. Dataset effects will account for dependence among repeated experiments; analyses of repeated observations within a rollout will additionally include run effects. Time-to-discovery analyses will censor unrecovered discoveries at the iteration or resource limit. Power and precision calculations will use development simulations incorporating dataset-level heterogeneity and stochastic variation across repeats. False-discovery-rate adjustment will be applied within prespecified families of secondary comparisons.</w:t>
      </w:r>
    </w:p>
    <w:p>
      <w:pPr>
        <w:widowControl/>
      </w:pPr>
      <w:r>
        <w:rPr>
          <w:b/>
        </w:rPr>
        <w:t xml:space="preserve">Controlled assessment of responsiveness. </w:t>
      </w:r>
      <w:r>
        <w:t>The evidence available during an agentic rollout depends on the analyses the agent selects. We will therefore supplement the full experiments with a controlled assessment in which each system receives the same numerical evidence for a specified hypothesis. Eight hypothesis templates, balanced by task family and data source, will each have an expected and a surprising version, with validation results that support, refute, or leave the hypothesis unresolved. The five model families and three harnesses will each receive four fresh repeats of these conditions, yielding 2,880 brief experiments in addition to the 5,760 full rollouts. This assessment will estimate differences in responsiveness when the hypothesis and strength of evidence are held constant across systems.</w:t>
      </w:r>
    </w:p>
    <w:p>
      <w:pPr>
        <w:widowControl/>
      </w:pPr>
      <w:r>
        <w:rPr>
          <w:b/>
        </w:rPr>
        <w:t xml:space="preserve">Potential problems and alternative strategies. </w:t>
      </w:r>
      <w:r>
        <w:t>Statistical difficulty may remain heterogeneous across datasets despite calibration. We will therefore report the paired comparisons alongside reference recovery, subgroup prevalence, effect magnitude, and interaction complexity, and examine whether the expected–surprising difference varies with these characteristics. Experiments may also reach floor or ceiling performance; these results will guide additional task development for later benchmark releases. Agents may differ in how often they request validation, so responsiveness will be reported together with validation use and discovery coverage. The controlled assessment will provide complementary evidence for systems that generate few validation results during autonomous exploration.</w:t>
      </w:r>
    </w:p>
    <w:p>
      <w:pPr>
        <w:widowControl/>
      </w:pPr>
      <w:r>
        <w:rPr>
          <w:b/>
        </w:rPr>
        <w:t xml:space="preserve">Rigor and reproducibility. </w:t>
      </w:r>
      <w:r>
        <w:t>Formal evaluation will begin after the task instances, model–harness panel, prompts, resource allowances, scoring rules, and statistical analysis plan have been frozen. All hypotheses, messages, code, tool outputs, errors, and reports will be timestamped and retained. Runs that fail to meet the research protocol will remain in the assigned denominator and receive no primary recovery credit; documented infrastructure outages will be handled under a prespecified retry policy. Access controls will separate agent workspaces from task generators, answer keys, and final evaluation samples. The resulting release will provide reproducible task packages and measures of discovery, exploration, and responsiveness that can be carried forward into the coordination and mitigation experiments in Aims 2 and 3.</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9"/>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