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2E7D32"/>
          </w:tcPr>
          <w:p>
            <w:r>
              <w:rPr>
                <w:sz w:val="12"/>
              </w:rPr>
              <w:t xml:space="preserve"> </w:t>
            </w:r>
          </w:p>
        </w:tc>
      </w:tr>
    </w:tbl>
    <w:p/>
    <w:p>
      <w:pPr>
        <w:jc w:val="center"/>
      </w:pPr>
      <w:r>
        <w:rPr>
          <w:b/>
          <w:color w:val="2E7D32"/>
          <w:sz w:val="96"/>
        </w:rPr>
        <w:t>e-SONABE</w:t>
      </w:r>
    </w:p>
    <w:p>
      <w:pPr>
        <w:jc w:val="center"/>
      </w:pPr>
      <w:r>
        <w:rPr>
          <w:b/>
          <w:color w:val="D32F2F"/>
          <w:sz w:val="36"/>
        </w:rPr>
        <w:t>Votre Espace Client Électricité</w:t>
      </w:r>
    </w:p>
    <w:p/>
    <w:p>
      <w:pPr>
        <w:pBdr>
          <w:bottom w:val="single" w:sz="6" w:space="1" w:color="2E7D32"/>
        </w:pBdr>
        <w:spacing w:after="120"/>
      </w:pPr>
    </w:p>
    <w:p/>
    <w:p>
      <w:pPr>
        <w:jc w:val="center"/>
      </w:pPr>
      <w:r>
        <w:rPr>
          <w:b/>
          <w:color w:val="212121"/>
          <w:sz w:val="32"/>
        </w:rPr>
        <w:t>DOCUMENT DE SPÉCIFICATION</w:t>
        <w:br/>
        <w:t>PRODUIT &amp; PROPOSITION DE VALEUR</w:t>
      </w:r>
    </w:p>
    <w:p/>
    <w:p/>
    <w:tbl>
      <w:tblPr>
        <w:tblW w:type="auto" w:w="0"/>
        <w:jc w:val="center"/>
        <w:tblLook w:firstColumn="1" w:firstRow="1" w:lastColumn="0" w:lastRow="0" w:noHBand="0" w:noVBand="1" w:val="04A0"/>
      </w:tblPr>
      <w:tblGrid>
        <w:gridCol w:w="4703"/>
        <w:gridCol w:w="4703"/>
      </w:tblGrid>
      <w:tr>
        <w:tc>
          <w:tcPr>
            <w:tcW w:type="dxa" w:w="2268"/>
            <w:shd w:val="clear" w:color="auto" w:fill="E8F5E9"/>
          </w:tcPr>
          <w:p>
            <w:r>
              <w:rPr>
                <w:b/>
                <w:color w:val="2E7D32"/>
                <w:sz w:val="22"/>
              </w:rPr>
              <w:t>Destinataire :</w:t>
            </w:r>
          </w:p>
        </w:tc>
        <w:tc>
          <w:tcPr>
            <w:tcW w:type="dxa" w:w="5102"/>
          </w:tcPr>
          <w:p>
            <w:r>
              <w:rPr>
                <w:color w:val="212121"/>
                <w:sz w:val="22"/>
              </w:rPr>
              <w:t>Direction Générale de SONABEL</w:t>
            </w:r>
          </w:p>
        </w:tc>
      </w:tr>
      <w:tr>
        <w:tc>
          <w:tcPr>
            <w:tcW w:type="dxa" w:w="2268"/>
            <w:shd w:val="clear" w:color="auto" w:fill="E8F5E9"/>
          </w:tcPr>
          <w:p>
            <w:r>
              <w:rPr>
                <w:b/>
                <w:color w:val="2E7D32"/>
                <w:sz w:val="22"/>
              </w:rPr>
              <w:t>Objet :</w:t>
            </w:r>
          </w:p>
        </w:tc>
        <w:tc>
          <w:tcPr>
            <w:tcW w:type="dxa" w:w="5102"/>
          </w:tcPr>
          <w:p>
            <w:r>
              <w:rPr>
                <w:color w:val="212121"/>
                <w:sz w:val="22"/>
              </w:rPr>
              <w:t>Présentation de la solution e-SONABE</w:t>
            </w:r>
          </w:p>
        </w:tc>
      </w:tr>
      <w:tr>
        <w:tc>
          <w:tcPr>
            <w:tcW w:type="dxa" w:w="2268"/>
            <w:shd w:val="clear" w:color="auto" w:fill="E8F5E9"/>
          </w:tcPr>
          <w:p>
            <w:r>
              <w:rPr>
                <w:b/>
                <w:color w:val="2E7D32"/>
                <w:sz w:val="22"/>
              </w:rPr>
              <w:t>Date :</w:t>
            </w:r>
          </w:p>
        </w:tc>
        <w:tc>
          <w:tcPr>
            <w:tcW w:type="dxa" w:w="5102"/>
          </w:tcPr>
          <w:p>
            <w:r>
              <w:rPr>
                <w:color w:val="212121"/>
                <w:sz w:val="22"/>
              </w:rPr>
              <w:t>17 March 2026</w:t>
            </w:r>
          </w:p>
        </w:tc>
      </w:tr>
    </w:tbl>
    <w:p/>
    <w:p/>
    <w:tbl>
      <w:tblPr>
        <w:tblW w:type="auto" w:w="0"/>
        <w:jc w:val="center"/>
        <w:tblLook w:firstColumn="1" w:firstRow="1" w:lastColumn="0" w:lastRow="0" w:noHBand="0" w:noVBand="1" w:val="04A0"/>
      </w:tblPr>
      <w:tblGrid>
        <w:gridCol w:w="9406"/>
      </w:tblGrid>
      <w:tr>
        <w:tc>
          <w:tcPr>
            <w:tcW w:type="dxa" w:w="9406"/>
            <w:shd w:val="clear" w:color="auto" w:fill="D32F2F"/>
          </w:tcPr>
          <w:p>
            <w:pPr>
              <w:jc w:val="center"/>
            </w:pPr>
            <w:r>
              <w:rPr>
                <w:b/>
                <w:color w:val="FFFFFF"/>
                <w:sz w:val="18"/>
              </w:rPr>
              <w:t>CONFIDENTIEL – USAGE INTERNE SONABEL</w:t>
            </w:r>
          </w:p>
        </w:tc>
      </w:tr>
    </w:tbl>
    <w:p>
      <w:r>
        <w:br w:type="page"/>
      </w:r>
    </w:p>
    <w:p>
      <w:pPr>
        <w:spacing w:before="280" w:after="120"/>
      </w:pPr>
      <w:r>
        <w:rPr>
          <w:b/>
          <w:color w:val="2E7D32"/>
          <w:sz w:val="40"/>
        </w:rPr>
        <w:t>1. Résumé Exécutif</w:t>
      </w:r>
    </w:p>
    <w:p>
      <w:pPr>
        <w:pBdr>
          <w:bottom w:val="single" w:sz="6" w:space="1" w:color="2E7D32"/>
        </w:pBdr>
        <w:spacing w:after="120"/>
      </w:pPr>
    </w:p>
    <w:p>
      <w:pPr>
        <w:spacing w:after="80"/>
      </w:pPr>
      <w:r>
        <w:rPr>
          <w:b w:val="0"/>
          <w:i w:val="0"/>
          <w:color w:val="212121"/>
          <w:sz w:val="22"/>
        </w:rPr>
        <w:t>Dans un contexte où la digitalisation des services publics représente un enjeu stratégique majeur, SONABEL a l'opportunité de franchir un cap décisif en matière de relation client. e-SONABE est une plateforme web moderne, développée sur mesure, qui permet à chaque client de SONABEL de gérer en toute autonomie ses contrats d'électricité, ses compteurs, ses factures et sa consommation — depuis n'importe quel appareil connecté, à tout moment.</w:t>
      </w:r>
    </w:p>
    <w:p>
      <w:pPr>
        <w:spacing w:after="80"/>
      </w:pPr>
      <w:r>
        <w:rPr>
          <w:b w:val="0"/>
          <w:i w:val="0"/>
          <w:color w:val="212121"/>
          <w:sz w:val="22"/>
        </w:rPr>
        <w:t>Pensée pour le marché burkinabè et ouest-africain, la solution intègre nativement les compteurs à prépaiement CashPower, une interface bilingue français/anglais, et un module d'analyse prédictive de la consommation propulsé par intelligence artificielle.</w:t>
      </w:r>
    </w:p>
    <w:p>
      <w:pPr>
        <w:spacing w:after="80"/>
      </w:pPr>
      <w:r>
        <w:rPr>
          <w:b w:val="0"/>
          <w:i/>
          <w:color w:val="555555"/>
          <w:sz w:val="22"/>
        </w:rPr>
        <w:t>Ce document présente les spécifications fonctionnelles, les avantages compétitifs et la proposition de valeur d'e-SONABE à l'intention de la Direction Générale de SONABEL.</w:t>
      </w:r>
    </w:p>
    <w:p>
      <w:r>
        <w:br w:type="page"/>
      </w:r>
    </w:p>
    <w:p>
      <w:pPr>
        <w:spacing w:before="280" w:after="120"/>
      </w:pPr>
      <w:r>
        <w:rPr>
          <w:b/>
          <w:color w:val="2E7D32"/>
          <w:sz w:val="40"/>
        </w:rPr>
        <w:t>2. Contexte &amp; Problématique</w:t>
      </w:r>
    </w:p>
    <w:p>
      <w:pPr>
        <w:pBdr>
          <w:bottom w:val="single" w:sz="6" w:space="1" w:color="2E7D32"/>
        </w:pBdr>
        <w:spacing w:after="120"/>
      </w:pPr>
    </w:p>
    <w:p>
      <w:pPr>
        <w:spacing w:after="80"/>
      </w:pPr>
      <w:r>
        <w:rPr>
          <w:b w:val="0"/>
          <w:i w:val="0"/>
          <w:color w:val="212121"/>
          <w:sz w:val="22"/>
        </w:rPr>
        <w:t>Aujourd'hui, les clients de SONABEL font face à plusieurs obstacles dans la gestion de leurs abonnements électriques :</w:t>
      </w:r>
    </w:p>
    <w:p>
      <w:pPr>
        <w:pStyle w:val="ListBullet"/>
        <w:spacing w:after="60"/>
        <w:ind w:left="283"/>
      </w:pPr>
      <w:r>
        <w:rPr>
          <w:color w:val="212121"/>
          <w:sz w:val="22"/>
        </w:rPr>
        <w:t>Obligation de se déplacer en agence pour toute demande (consultation de facture, paiement, déclaration de panne).</w:t>
      </w:r>
    </w:p>
    <w:p>
      <w:pPr>
        <w:pStyle w:val="ListBullet"/>
        <w:spacing w:after="60"/>
        <w:ind w:left="283"/>
      </w:pPr>
      <w:r>
        <w:rPr>
          <w:color w:val="212121"/>
          <w:sz w:val="22"/>
        </w:rPr>
        <w:t>Absence de visibilité en temps réel sur la consommation et les dépenses d'électricité.</w:t>
      </w:r>
    </w:p>
    <w:p>
      <w:pPr>
        <w:pStyle w:val="ListBullet"/>
        <w:spacing w:after="60"/>
        <w:ind w:left="283"/>
      </w:pPr>
      <w:r>
        <w:rPr>
          <w:color w:val="212121"/>
          <w:sz w:val="22"/>
        </w:rPr>
        <w:t>Difficulté à gérer plusieurs points de livraison (contrats multiples) depuis un seul endroit.</w:t>
      </w:r>
    </w:p>
    <w:p>
      <w:pPr>
        <w:pStyle w:val="ListBullet"/>
        <w:spacing w:after="60"/>
        <w:ind w:left="283"/>
      </w:pPr>
      <w:r>
        <w:rPr>
          <w:color w:val="212121"/>
          <w:sz w:val="22"/>
        </w:rPr>
        <w:t>Manque d'outils de prévision permettant d'anticiper les pics de consommation et les coûts.</w:t>
      </w:r>
    </w:p>
    <w:p>
      <w:pPr>
        <w:pStyle w:val="ListBullet"/>
        <w:spacing w:after="60"/>
        <w:ind w:left="283"/>
      </w:pPr>
      <w:r>
        <w:rPr>
          <w:color w:val="212121"/>
          <w:sz w:val="22"/>
        </w:rPr>
        <w:t>Processus de rechargement CashPower peu dématérialisé, exposant les clients à des risques de coupure.</w:t>
      </w:r>
    </w:p>
    <w:p>
      <w:pPr>
        <w:pStyle w:val="ListBullet"/>
        <w:spacing w:after="60"/>
        <w:ind w:left="283"/>
      </w:pPr>
      <w:r>
        <w:rPr>
          <w:color w:val="212121"/>
          <w:sz w:val="22"/>
        </w:rPr>
        <w:t>Absence d'historique numérique accessible pour les litiges ou les vérifications.</w:t>
      </w:r>
    </w:p>
    <w:p>
      <w:pPr>
        <w:spacing w:after="80"/>
      </w:pPr>
      <w:r>
        <w:rPr>
          <w:b w:val="0"/>
          <w:i/>
          <w:color w:val="212121"/>
          <w:sz w:val="22"/>
        </w:rPr>
        <w:br/>
        <w:t>Ces lacunes engendrent une insatisfaction client croissante, une charge opérationnelle élevée pour les agences SONABEL et une image d'entreprise en décalage avec les standards modernes du secteur de l'énergie.</w:t>
      </w:r>
    </w:p>
    <w:p>
      <w:r>
        <w:br w:type="page"/>
      </w:r>
    </w:p>
    <w:p>
      <w:pPr>
        <w:spacing w:before="280" w:after="120"/>
      </w:pPr>
      <w:r>
        <w:rPr>
          <w:b/>
          <w:color w:val="2E7D32"/>
          <w:sz w:val="40"/>
        </w:rPr>
        <w:t>3. Description de la Solution e-SONABE</w:t>
      </w:r>
    </w:p>
    <w:p>
      <w:pPr>
        <w:pBdr>
          <w:bottom w:val="single" w:sz="6" w:space="1" w:color="2E7D32"/>
        </w:pBdr>
        <w:spacing w:after="120"/>
      </w:pPr>
    </w:p>
    <w:p>
      <w:pPr>
        <w:spacing w:after="80"/>
      </w:pPr>
      <w:r>
        <w:rPr>
          <w:b w:val="0"/>
          <w:i w:val="0"/>
          <w:color w:val="212121"/>
          <w:sz w:val="22"/>
        </w:rPr>
        <w:t>e-SONABE est un portail client web full-stack développé avec le framework Laravel (PHP 8.2+), une interface Tailwind CSS réactive et des composants Alpine.js. La solution s'appuie sur une architecture robuste, sécurisée et facilement déployable sur l'infrastructure de SONABEL.</w:t>
      </w:r>
    </w:p>
    <w:p>
      <w:pPr>
        <w:spacing w:before="280" w:after="120"/>
      </w:pPr>
      <w:r>
        <w:rPr>
          <w:b/>
          <w:color w:val="2E7D32"/>
          <w:sz w:val="30"/>
        </w:rPr>
        <w:t>3.1 Modules Fonctionnels</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8F5E9"/>
          </w:tcPr>
          <w:p>
            <w:r>
              <w:rPr>
                <w:b/>
                <w:color w:val="2E7D32"/>
                <w:sz w:val="22"/>
              </w:rPr>
              <w:t>🔐  Espace Client Sécurisé</w:t>
            </w:r>
          </w:p>
        </w:tc>
        <w:tc>
          <w:tcPr>
            <w:tcW w:type="dxa" w:w="5953"/>
            <w:shd w:val="clear" w:color="auto" w:fill="FAFFFA"/>
          </w:tcPr>
          <w:p>
            <w:r>
              <w:rPr>
                <w:color w:val="212121"/>
                <w:sz w:val="22"/>
              </w:rPr>
              <w:t>Inscription, connexion avec vérification par e-mail, gestion de profil, changement de mot de passe et suppression de compte sécurisée.</w:t>
            </w:r>
          </w:p>
        </w:tc>
      </w:tr>
      <w:tr>
        <w:tc>
          <w:tcPr>
            <w:tcW w:type="dxa" w:w="3118"/>
            <w:shd w:val="clear" w:color="auto" w:fill="F1F8E9"/>
          </w:tcPr>
          <w:p>
            <w:r>
              <w:rPr>
                <w:b/>
                <w:color w:val="2E7D32"/>
                <w:sz w:val="22"/>
              </w:rPr>
              <w:t>📋  Gestion des Contrats</w:t>
            </w:r>
          </w:p>
        </w:tc>
        <w:tc>
          <w:tcPr>
            <w:tcW w:type="dxa" w:w="5953"/>
            <w:shd w:val="clear" w:color="auto" w:fill="F9FDF9"/>
          </w:tcPr>
          <w:p>
            <w:r>
              <w:rPr>
                <w:color w:val="212121"/>
                <w:sz w:val="22"/>
              </w:rPr>
              <w:t>Création, consultation, modification et résiliation des contrats d'électricité. Suivi du statut (actif / suspendu / résilié) pour chaque point de livraison.</w:t>
            </w:r>
          </w:p>
        </w:tc>
      </w:tr>
      <w:tr>
        <w:tc>
          <w:tcPr>
            <w:tcW w:type="dxa" w:w="3118"/>
            <w:shd w:val="clear" w:color="auto" w:fill="E8F5E9"/>
          </w:tcPr>
          <w:p>
            <w:r>
              <w:rPr>
                <w:b/>
                <w:color w:val="2E7D32"/>
                <w:sz w:val="22"/>
              </w:rPr>
              <w:t>⚡  Gestion des Compteurs</w:t>
            </w:r>
          </w:p>
        </w:tc>
        <w:tc>
          <w:tcPr>
            <w:tcW w:type="dxa" w:w="5953"/>
            <w:shd w:val="clear" w:color="auto" w:fill="FAFFFA"/>
          </w:tcPr>
          <w:p>
            <w:r>
              <w:rPr>
                <w:color w:val="212121"/>
                <w:sz w:val="22"/>
              </w:rPr>
              <w:t>Enregistrement des compteurs normaux (postpayés) et CashPower (prépayés) avec classes A, B1, B2, C1, C2. Génération automatique des numéros de série.</w:t>
            </w:r>
          </w:p>
        </w:tc>
      </w:tr>
      <w:tr>
        <w:tc>
          <w:tcPr>
            <w:tcW w:type="dxa" w:w="3118"/>
            <w:shd w:val="clear" w:color="auto" w:fill="F1F8E9"/>
          </w:tcPr>
          <w:p>
            <w:r>
              <w:rPr>
                <w:b/>
                <w:color w:val="2E7D32"/>
                <w:sz w:val="22"/>
              </w:rPr>
              <w:t>🧾  Facturation &amp; Paiements</w:t>
            </w:r>
          </w:p>
        </w:tc>
        <w:tc>
          <w:tcPr>
            <w:tcW w:type="dxa" w:w="5953"/>
            <w:shd w:val="clear" w:color="auto" w:fill="F9FDF9"/>
          </w:tcPr>
          <w:p>
            <w:r>
              <w:rPr>
                <w:color w:val="212121"/>
                <w:sz w:val="22"/>
              </w:rPr>
              <w:t>Consultation des factures avec détail (consommation kWh, montant, taxes, TVA), filtrage par statut (en attente / payée / en retard) et paiement en ligne.</w:t>
            </w:r>
          </w:p>
        </w:tc>
      </w:tr>
      <w:tr>
        <w:tc>
          <w:tcPr>
            <w:tcW w:type="dxa" w:w="3118"/>
            <w:shd w:val="clear" w:color="auto" w:fill="E8F5E9"/>
          </w:tcPr>
          <w:p>
            <w:r>
              <w:rPr>
                <w:b/>
                <w:color w:val="2E7D32"/>
                <w:sz w:val="22"/>
              </w:rPr>
              <w:t>🔋  Recharge CashPower</w:t>
            </w:r>
          </w:p>
        </w:tc>
        <w:tc>
          <w:tcPr>
            <w:tcW w:type="dxa" w:w="5953"/>
            <w:shd w:val="clear" w:color="auto" w:fill="FAFFFA"/>
          </w:tcPr>
          <w:p>
            <w:r>
              <w:rPr>
                <w:color w:val="212121"/>
                <w:sz w:val="22"/>
              </w:rPr>
              <w:t>Achat de crédit électrique prépayé de 500 à 500 000 FCFA. Génération de tokens sécurisés et historique complet des transactions.</w:t>
            </w:r>
          </w:p>
        </w:tc>
      </w:tr>
      <w:tr>
        <w:tc>
          <w:tcPr>
            <w:tcW w:type="dxa" w:w="3118"/>
            <w:shd w:val="clear" w:color="auto" w:fill="F1F8E9"/>
          </w:tcPr>
          <w:p>
            <w:r>
              <w:rPr>
                <w:b/>
                <w:color w:val="2E7D32"/>
                <w:sz w:val="22"/>
              </w:rPr>
              <w:t>📊  Tableau de Bord KPI</w:t>
            </w:r>
          </w:p>
        </w:tc>
        <w:tc>
          <w:tcPr>
            <w:tcW w:type="dxa" w:w="5953"/>
            <w:shd w:val="clear" w:color="auto" w:fill="F9FDF9"/>
          </w:tcPr>
          <w:p>
            <w:r>
              <w:rPr>
                <w:color w:val="212121"/>
                <w:sz w:val="22"/>
              </w:rPr>
              <w:t>Vue synthétique : nombre de contrats actifs, compteurs enregistrés, factures en attente et montant total dû — en un seul coup d'œil.</w:t>
            </w:r>
          </w:p>
        </w:tc>
      </w:tr>
      <w:tr>
        <w:tc>
          <w:tcPr>
            <w:tcW w:type="dxa" w:w="3118"/>
            <w:shd w:val="clear" w:color="auto" w:fill="E8F5E9"/>
          </w:tcPr>
          <w:p>
            <w:r>
              <w:rPr>
                <w:b/>
                <w:color w:val="2E7D32"/>
                <w:sz w:val="22"/>
              </w:rPr>
              <w:t>📈  Analyse de Consommation</w:t>
            </w:r>
          </w:p>
        </w:tc>
        <w:tc>
          <w:tcPr>
            <w:tcW w:type="dxa" w:w="5953"/>
            <w:shd w:val="clear" w:color="auto" w:fill="FAFFFA"/>
          </w:tcPr>
          <w:p>
            <w:r>
              <w:rPr>
                <w:color w:val="212121"/>
                <w:sz w:val="22"/>
              </w:rPr>
              <w:t>Visualisation graphique de la consommation sur 30 jours, statistiques avancées (moyenne journalière, pic de consommation, tendance).</w:t>
            </w:r>
          </w:p>
        </w:tc>
      </w:tr>
      <w:tr>
        <w:tc>
          <w:tcPr>
            <w:tcW w:type="dxa" w:w="3118"/>
            <w:shd w:val="clear" w:color="auto" w:fill="F1F8E9"/>
          </w:tcPr>
          <w:p>
            <w:r>
              <w:rPr>
                <w:b/>
                <w:color w:val="2E7D32"/>
                <w:sz w:val="22"/>
              </w:rPr>
              <w:t>🤖  IA &amp; Prévision</w:t>
            </w:r>
          </w:p>
        </w:tc>
        <w:tc>
          <w:tcPr>
            <w:tcW w:type="dxa" w:w="5953"/>
            <w:shd w:val="clear" w:color="auto" w:fill="F9FDF9"/>
          </w:tcPr>
          <w:p>
            <w:r>
              <w:rPr>
                <w:color w:val="212121"/>
                <w:sz w:val="22"/>
              </w:rPr>
              <w:t>Module de prévision par lissage exponentiel avec détection de saisonnalité hebdomadaire. Projections à 7 et 30 jours avec indice de confiance et recommandations contextuelles.</w:t>
            </w:r>
          </w:p>
        </w:tc>
      </w:tr>
      <w:tr>
        <w:tc>
          <w:tcPr>
            <w:tcW w:type="dxa" w:w="3118"/>
            <w:shd w:val="clear" w:color="auto" w:fill="E8F5E9"/>
          </w:tcPr>
          <w:p>
            <w:r>
              <w:rPr>
                <w:b/>
                <w:color w:val="2E7D32"/>
                <w:sz w:val="22"/>
              </w:rPr>
              <w:t>🌍  Interface Bilingue</w:t>
            </w:r>
          </w:p>
        </w:tc>
        <w:tc>
          <w:tcPr>
            <w:tcW w:type="dxa" w:w="5953"/>
            <w:shd w:val="clear" w:color="auto" w:fill="FAFFFA"/>
          </w:tcPr>
          <w:p>
            <w:r>
              <w:rPr>
                <w:color w:val="212121"/>
                <w:sz w:val="22"/>
              </w:rPr>
              <w:t>Basculement instantané Français / Anglais, adapté aux profils d'utilisateurs burkinabè et de la sous-région ouest-africaine.</w:t>
            </w:r>
          </w:p>
        </w:tc>
      </w:tr>
      <w:tr>
        <w:tc>
          <w:tcPr>
            <w:tcW w:type="dxa" w:w="3118"/>
            <w:shd w:val="clear" w:color="auto" w:fill="F1F8E9"/>
          </w:tcPr>
          <w:p>
            <w:r>
              <w:rPr>
                <w:b/>
                <w:color w:val="2E7D32"/>
                <w:sz w:val="22"/>
              </w:rPr>
              <w:t>📱  Design Responsive</w:t>
            </w:r>
          </w:p>
        </w:tc>
        <w:tc>
          <w:tcPr>
            <w:tcW w:type="dxa" w:w="5953"/>
            <w:shd w:val="clear" w:color="auto" w:fill="F9FDF9"/>
          </w:tcPr>
          <w:p>
            <w:r>
              <w:rPr>
                <w:color w:val="212121"/>
                <w:sz w:val="22"/>
              </w:rPr>
              <w:t>Interface optimisée pour ordinateur, tablette et smartphone — accessible sans installation depuis n'importe quel navigateur.</w:t>
            </w:r>
          </w:p>
        </w:tc>
      </w:tr>
    </w:tbl>
    <w:p/>
    <w:p>
      <w:r>
        <w:br w:type="page"/>
      </w:r>
    </w:p>
    <w:p>
      <w:pPr>
        <w:spacing w:before="280" w:after="120"/>
      </w:pPr>
      <w:r>
        <w:rPr>
          <w:b/>
          <w:color w:val="2E7D32"/>
          <w:sz w:val="40"/>
        </w:rPr>
        <w:t>4. Avantages du Produit</w:t>
      </w:r>
    </w:p>
    <w:p>
      <w:pPr>
        <w:pBdr>
          <w:bottom w:val="single" w:sz="6" w:space="1" w:color="2E7D32"/>
        </w:pBdr>
        <w:spacing w:after="120"/>
      </w:pPr>
    </w:p>
    <w:p>
      <w:pPr>
        <w:spacing w:before="280" w:after="120"/>
      </w:pPr>
      <w:r>
        <w:rPr>
          <w:b/>
          <w:color w:val="2E7D32"/>
          <w:sz w:val="30"/>
        </w:rPr>
        <w:t>4.1 Pour les Clients de SONABEL</w:t>
      </w:r>
    </w:p>
    <w:p>
      <w:pPr>
        <w:pStyle w:val="ListBullet"/>
        <w:spacing w:after="60"/>
        <w:ind w:left="283"/>
      </w:pPr>
      <w:r>
        <w:rPr>
          <w:color w:val="212121"/>
          <w:sz w:val="22"/>
        </w:rPr>
        <w:t>Autonomie totale 24h/24, 7j/7 — plus besoin de se déplacer en agence pour les démarches courantes.</w:t>
      </w:r>
    </w:p>
    <w:p>
      <w:pPr>
        <w:pStyle w:val="ListBullet"/>
        <w:spacing w:after="60"/>
        <w:ind w:left="283"/>
      </w:pPr>
      <w:r>
        <w:rPr>
          <w:color w:val="212121"/>
          <w:sz w:val="22"/>
        </w:rPr>
        <w:t>Visibilité complète sur leur consommation et leurs dépenses en temps réel.</w:t>
      </w:r>
    </w:p>
    <w:p>
      <w:pPr>
        <w:pStyle w:val="ListBullet"/>
        <w:spacing w:after="60"/>
        <w:ind w:left="283"/>
      </w:pPr>
      <w:r>
        <w:rPr>
          <w:color w:val="212121"/>
          <w:sz w:val="22"/>
        </w:rPr>
        <w:t>Anticipation des coupures grâce aux alertes de solde bas sur les compteurs CashPower (seuil &lt; 20 kWh).</w:t>
      </w:r>
    </w:p>
    <w:p>
      <w:pPr>
        <w:pStyle w:val="ListBullet"/>
        <w:spacing w:after="60"/>
        <w:ind w:left="283"/>
      </w:pPr>
      <w:r>
        <w:rPr>
          <w:color w:val="212121"/>
          <w:sz w:val="22"/>
        </w:rPr>
        <w:t>Maîtrise budgétaire grâce au coût mensuel projeté par l'IA.</w:t>
      </w:r>
    </w:p>
    <w:p>
      <w:pPr>
        <w:pStyle w:val="ListBullet"/>
        <w:spacing w:after="60"/>
        <w:ind w:left="283"/>
      </w:pPr>
      <w:r>
        <w:rPr>
          <w:color w:val="212121"/>
          <w:sz w:val="22"/>
        </w:rPr>
        <w:t>Gestion centralisée de plusieurs contrats et compteurs depuis un seul compte.</w:t>
      </w:r>
    </w:p>
    <w:p>
      <w:pPr>
        <w:pStyle w:val="ListBullet"/>
        <w:spacing w:after="60"/>
        <w:ind w:left="283"/>
      </w:pPr>
      <w:r>
        <w:rPr>
          <w:color w:val="212121"/>
          <w:sz w:val="22"/>
        </w:rPr>
        <w:t>Historique numérique complet des factures et des transactions — consultable à tout moment.</w:t>
      </w:r>
    </w:p>
    <w:p>
      <w:pPr>
        <w:pStyle w:val="ListBullet"/>
        <w:spacing w:after="60"/>
        <w:ind w:left="283"/>
      </w:pPr>
      <w:r>
        <w:rPr>
          <w:color w:val="212121"/>
          <w:sz w:val="22"/>
        </w:rPr>
        <w:t>Expérience utilisateur fluide et moderne, dans leur langue (français ou anglais).</w:t>
      </w:r>
    </w:p>
    <w:p>
      <w:pPr>
        <w:spacing w:before="280" w:after="120"/>
      </w:pPr>
      <w:r>
        <w:rPr>
          <w:b/>
          <w:color w:val="2E7D32"/>
          <w:sz w:val="30"/>
        </w:rPr>
        <w:t>4.2 Pour SONABEL (Opérateur)</w:t>
      </w:r>
    </w:p>
    <w:p>
      <w:pPr>
        <w:pStyle w:val="ListBullet"/>
        <w:spacing w:after="60"/>
        <w:ind w:left="283"/>
      </w:pPr>
      <w:r>
        <w:rPr>
          <w:color w:val="212121"/>
          <w:sz w:val="22"/>
        </w:rPr>
        <w:t>Réduction significative du flux en agence et des coûts de traitement manuel.</w:t>
      </w:r>
    </w:p>
    <w:p>
      <w:pPr>
        <w:pStyle w:val="ListBullet"/>
        <w:spacing w:after="60"/>
        <w:ind w:left="283"/>
      </w:pPr>
      <w:r>
        <w:rPr>
          <w:color w:val="212121"/>
          <w:sz w:val="22"/>
        </w:rPr>
        <w:t>Diminution des impayés grâce aux rappels automatiques et à la visibilité des factures en retard.</w:t>
      </w:r>
    </w:p>
    <w:p>
      <w:pPr>
        <w:pStyle w:val="ListBullet"/>
        <w:spacing w:after="60"/>
        <w:ind w:left="283"/>
      </w:pPr>
      <w:r>
        <w:rPr>
          <w:color w:val="212121"/>
          <w:sz w:val="22"/>
        </w:rPr>
        <w:t>Données de consommation agrégées pour une meilleure planification de la production et du réseau.</w:t>
      </w:r>
    </w:p>
    <w:p>
      <w:pPr>
        <w:pStyle w:val="ListBullet"/>
        <w:spacing w:after="60"/>
        <w:ind w:left="283"/>
      </w:pPr>
      <w:r>
        <w:rPr>
          <w:color w:val="212121"/>
          <w:sz w:val="22"/>
        </w:rPr>
        <w:t>Image de marque modernisée, alignée sur les standards internationaux du secteur de l'énergie.</w:t>
      </w:r>
    </w:p>
    <w:p>
      <w:pPr>
        <w:pStyle w:val="ListBullet"/>
        <w:spacing w:after="60"/>
        <w:ind w:left="283"/>
      </w:pPr>
      <w:r>
        <w:rPr>
          <w:color w:val="212121"/>
          <w:sz w:val="22"/>
        </w:rPr>
        <w:t>Plateforme évolutive, prête pour l'intégration future de nouveaux services (facturation automatique, API partenaires, paiement mobile Money).</w:t>
      </w:r>
    </w:p>
    <w:p>
      <w:pPr>
        <w:pStyle w:val="ListBullet"/>
        <w:spacing w:after="60"/>
        <w:ind w:left="283"/>
      </w:pPr>
      <w:r>
        <w:rPr>
          <w:color w:val="212121"/>
          <w:sz w:val="22"/>
        </w:rPr>
        <w:t>Conformité aux bonnes pratiques de sécurité (authentification, vérification e-mail, contrôle d'accès par politique).</w:t>
      </w:r>
    </w:p>
    <w:p>
      <w:pPr>
        <w:pStyle w:val="ListBullet"/>
        <w:spacing w:after="60"/>
        <w:ind w:left="283"/>
      </w:pPr>
      <w:r>
        <w:rPr>
          <w:color w:val="212121"/>
          <w:sz w:val="22"/>
        </w:rPr>
        <w:t>Base technologique Laravel 12 — framework éprouvé, large écosystème, maintenance facilitée.</w:t>
      </w:r>
    </w:p>
    <w:p>
      <w:pPr>
        <w:spacing w:before="280" w:after="120"/>
      </w:pPr>
      <w:r>
        <w:rPr>
          <w:b/>
          <w:color w:val="2E7D32"/>
          <w:sz w:val="30"/>
        </w:rPr>
        <w:t>4.3 Avantages Technologiques</w:t>
      </w:r>
    </w:p>
    <w:p>
      <w:pPr>
        <w:pStyle w:val="ListBullet"/>
        <w:spacing w:after="60"/>
        <w:ind w:left="283"/>
      </w:pPr>
      <w:r>
        <w:rPr>
          <w:color w:val="212121"/>
          <w:sz w:val="22"/>
        </w:rPr>
        <w:t>Architecture MVC claire avec séparation stricte des responsabilités — maintenable et extensible.</w:t>
      </w:r>
    </w:p>
    <w:p>
      <w:pPr>
        <w:pStyle w:val="ListBullet"/>
        <w:spacing w:after="60"/>
        <w:ind w:left="283"/>
      </w:pPr>
      <w:r>
        <w:rPr>
          <w:color w:val="212121"/>
          <w:sz w:val="22"/>
        </w:rPr>
        <w:t>Tests automatisés intégrés (PHPUnit) pour garantir la qualité et faciliter les évolutions.</w:t>
      </w:r>
    </w:p>
    <w:p>
      <w:pPr>
        <w:pStyle w:val="ListBullet"/>
        <w:spacing w:after="60"/>
        <w:ind w:left="283"/>
      </w:pPr>
      <w:r>
        <w:rPr>
          <w:color w:val="212121"/>
          <w:sz w:val="22"/>
        </w:rPr>
        <w:t>Environnement Docker (Laravel Sail) pour un déploiement rapide et reproductible.</w:t>
      </w:r>
    </w:p>
    <w:p>
      <w:pPr>
        <w:pStyle w:val="ListBullet"/>
        <w:spacing w:after="60"/>
        <w:ind w:left="283"/>
      </w:pPr>
      <w:r>
        <w:rPr>
          <w:color w:val="212121"/>
          <w:sz w:val="22"/>
        </w:rPr>
        <w:t>Système de migration de base de données versionné — traçabilité complète des évolutions du schéma.</w:t>
      </w:r>
    </w:p>
    <w:p>
      <w:pPr>
        <w:pStyle w:val="ListBullet"/>
        <w:spacing w:after="60"/>
        <w:ind w:left="283"/>
      </w:pPr>
      <w:r>
        <w:rPr>
          <w:color w:val="212121"/>
          <w:sz w:val="22"/>
        </w:rPr>
        <w:t>Interface API RESTful prête pour l'intégration avec des systèmes tiers (ERP, CRM, paiement mobile).</w:t>
      </w:r>
    </w:p>
    <w:p>
      <w:pPr>
        <w:pStyle w:val="ListBullet"/>
        <w:spacing w:after="60"/>
        <w:ind w:left="283"/>
      </w:pPr>
      <w:r>
        <w:rPr>
          <w:color w:val="212121"/>
          <w:sz w:val="22"/>
        </w:rPr>
        <w:t>Localisation i18n native — ajout simple de nouvelles langues sans refonte du code.</w:t>
      </w:r>
    </w:p>
    <w:p>
      <w:pPr>
        <w:pStyle w:val="ListBullet"/>
        <w:spacing w:after="60"/>
        <w:ind w:left="283"/>
      </w:pPr>
      <w:r>
        <w:rPr>
          <w:color w:val="212121"/>
          <w:sz w:val="22"/>
        </w:rPr>
        <w:t>Optimisation frontend avec Vite + Tailwind CSS — temps de chargement réduit, expérience fluide même avec un réseau limité.</w:t>
      </w:r>
    </w:p>
    <w:p>
      <w:r>
        <w:br w:type="page"/>
      </w:r>
    </w:p>
    <w:p>
      <w:pPr>
        <w:spacing w:before="280" w:after="120"/>
      </w:pPr>
      <w:r>
        <w:rPr>
          <w:b/>
          <w:color w:val="2E7D32"/>
          <w:sz w:val="40"/>
        </w:rPr>
        <w:t>5. Proposition de Valeur</w:t>
      </w:r>
    </w:p>
    <w:p>
      <w:pPr>
        <w:pBdr>
          <w:bottom w:val="single" w:sz="6" w:space="1" w:color="2E7D32"/>
        </w:pBdr>
        <w:spacing w:after="120"/>
      </w:pPr>
    </w:p>
    <w:p>
      <w:pPr>
        <w:spacing w:after="80"/>
      </w:pPr>
      <w:r>
        <w:rPr>
          <w:b w:val="0"/>
          <w:i w:val="0"/>
          <w:color w:val="212121"/>
          <w:sz w:val="22"/>
        </w:rPr>
        <w:t>e-SONABE transforme la relation entre SONABEL et ses clients en remplaçant les interactions physiques coûteuses par une expérience digitale fluide, intelligente et disponible en permanence. La proposition de valeur repose sur trois piliers :</w:t>
      </w:r>
    </w:p>
    <w:p/>
    <w:tbl>
      <w:tblPr>
        <w:tblW w:type="auto" w:w="0"/>
        <w:jc w:val="center"/>
        <w:tblLook w:firstColumn="1" w:firstRow="1" w:lastColumn="0" w:lastRow="0" w:noHBand="0" w:noVBand="1" w:val="04A0"/>
      </w:tblPr>
      <w:tblGrid>
        <w:gridCol w:w="3135"/>
        <w:gridCol w:w="3135"/>
        <w:gridCol w:w="3135"/>
      </w:tblGrid>
      <w:tr>
        <w:tc>
          <w:tcPr>
            <w:tcW w:type="dxa" w:w="3135"/>
            <w:shd w:val="clear" w:color="auto" w:fill="2E7D32"/>
          </w:tcPr>
          <w:p>
            <w:pPr>
              <w:jc w:val="center"/>
            </w:pPr>
            <w:r>
              <w:rPr>
                <w:b/>
                <w:color w:val="FFFFFF"/>
                <w:sz w:val="26"/>
              </w:rPr>
              <w:br/>
              <w:t>SIMPLICITÉ</w:t>
              <w:br/>
              <w:br/>
            </w:r>
            <w:r>
              <w:rPr>
                <w:color w:val="FFFFFF"/>
                <w:sz w:val="20"/>
              </w:rPr>
              <w:t>Un portail unique pour tout gérer : contrats, compteurs, factures, recharges — accessible en 3 clics.</w:t>
            </w:r>
            <w:r>
              <w:br/>
            </w:r>
          </w:p>
        </w:tc>
        <w:tc>
          <w:tcPr>
            <w:tcW w:type="dxa" w:w="3135"/>
            <w:shd w:val="clear" w:color="auto" w:fill="D32F2F"/>
          </w:tcPr>
          <w:p>
            <w:pPr>
              <w:jc w:val="center"/>
            </w:pPr>
            <w:r>
              <w:rPr>
                <w:b/>
                <w:color w:val="FFFFFF"/>
                <w:sz w:val="26"/>
              </w:rPr>
              <w:br/>
              <w:t>INTELLIGENCE</w:t>
              <w:br/>
              <w:br/>
            </w:r>
            <w:r>
              <w:rPr>
                <w:color w:val="FFFFFF"/>
                <w:sz w:val="20"/>
              </w:rPr>
              <w:t>L'IA anticipe votre consommation, vous alerte avant une coupure et optimise votre budget énergie.</w:t>
            </w:r>
            <w:r>
              <w:br/>
            </w:r>
          </w:p>
        </w:tc>
        <w:tc>
          <w:tcPr>
            <w:tcW w:type="dxa" w:w="3135"/>
            <w:shd w:val="clear" w:color="auto" w:fill="1565C0"/>
          </w:tcPr>
          <w:p>
            <w:pPr>
              <w:jc w:val="center"/>
            </w:pPr>
            <w:r>
              <w:rPr>
                <w:b/>
                <w:color w:val="FFFFFF"/>
                <w:sz w:val="26"/>
              </w:rPr>
              <w:br/>
              <w:t>CONFIANCE</w:t>
              <w:br/>
              <w:br/>
            </w:r>
            <w:r>
              <w:rPr>
                <w:color w:val="FFFFFF"/>
                <w:sz w:val="20"/>
              </w:rPr>
              <w:t>Données sécurisées, historique fiable, transactions traçables — une relation client transparente.</w:t>
            </w:r>
            <w:r>
              <w:br/>
            </w:r>
          </w:p>
        </w:tc>
      </w:tr>
    </w:tbl>
    <w:p/>
    <w:p>
      <w:pPr>
        <w:spacing w:before="280" w:after="120"/>
      </w:pPr>
      <w:r>
        <w:rPr>
          <w:b/>
          <w:color w:val="2E7D32"/>
          <w:sz w:val="30"/>
        </w:rPr>
        <w:t>5.1 Tableau Valeur : Problème → Solution → Bénéfice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D32"/>
          </w:tcPr>
          <w:p>
            <w:pPr>
              <w:jc w:val="center"/>
            </w:pPr>
            <w:r>
              <w:rPr>
                <w:b/>
                <w:color w:val="FFFFFF"/>
                <w:sz w:val="22"/>
              </w:rPr>
              <w:t>Problème Actuel</w:t>
            </w:r>
          </w:p>
        </w:tc>
        <w:tc>
          <w:tcPr>
            <w:tcW w:type="dxa" w:w="3135"/>
            <w:shd w:val="clear" w:color="auto" w:fill="2E7D32"/>
          </w:tcPr>
          <w:p>
            <w:pPr>
              <w:jc w:val="center"/>
            </w:pPr>
            <w:r>
              <w:rPr>
                <w:b/>
                <w:color w:val="FFFFFF"/>
                <w:sz w:val="22"/>
              </w:rPr>
              <w:t>Solution e-SONABE</w:t>
            </w:r>
          </w:p>
        </w:tc>
        <w:tc>
          <w:tcPr>
            <w:tcW w:type="dxa" w:w="3135"/>
            <w:shd w:val="clear" w:color="auto" w:fill="2E7D32"/>
          </w:tcPr>
          <w:p>
            <w:pPr>
              <w:jc w:val="center"/>
            </w:pPr>
            <w:r>
              <w:rPr>
                <w:b/>
                <w:color w:val="FFFFFF"/>
                <w:sz w:val="22"/>
              </w:rPr>
              <w:t>Bénéfice Mesurable</w:t>
            </w:r>
          </w:p>
        </w:tc>
      </w:tr>
      <w:tr>
        <w:tc>
          <w:tcPr>
            <w:tcW w:type="dxa" w:w="3135"/>
            <w:shd w:val="clear" w:color="auto" w:fill="FAFAFA"/>
          </w:tcPr>
          <w:p>
            <w:r>
              <w:rPr>
                <w:color w:val="212121"/>
                <w:sz w:val="20"/>
              </w:rPr>
              <w:t>Déplacements fréquents en agence</w:t>
            </w:r>
          </w:p>
        </w:tc>
        <w:tc>
          <w:tcPr>
            <w:tcW w:type="dxa" w:w="3135"/>
            <w:shd w:val="clear" w:color="auto" w:fill="FAFAFA"/>
          </w:tcPr>
          <w:p>
            <w:r>
              <w:rPr>
                <w:color w:val="212121"/>
                <w:sz w:val="20"/>
              </w:rPr>
              <w:t>Portail 100% en ligne, disponible 24h/24</w:t>
            </w:r>
          </w:p>
        </w:tc>
        <w:tc>
          <w:tcPr>
            <w:tcW w:type="dxa" w:w="3135"/>
            <w:shd w:val="clear" w:color="auto" w:fill="FAFAFA"/>
          </w:tcPr>
          <w:p>
            <w:r>
              <w:rPr>
                <w:color w:val="212121"/>
                <w:sz w:val="20"/>
              </w:rPr>
              <w:t>Gain de temps estimé à 2-4h par démarche client</w:t>
            </w:r>
          </w:p>
        </w:tc>
      </w:tr>
      <w:tr>
        <w:tc>
          <w:tcPr>
            <w:tcW w:type="dxa" w:w="3135"/>
            <w:shd w:val="clear" w:color="auto" w:fill="FFFFFF"/>
          </w:tcPr>
          <w:p>
            <w:r>
              <w:rPr>
                <w:color w:val="212121"/>
                <w:sz w:val="20"/>
              </w:rPr>
              <w:t>Factures papier perdues ou illisibles</w:t>
            </w:r>
          </w:p>
        </w:tc>
        <w:tc>
          <w:tcPr>
            <w:tcW w:type="dxa" w:w="3135"/>
            <w:shd w:val="clear" w:color="auto" w:fill="FFFFFF"/>
          </w:tcPr>
          <w:p>
            <w:r>
              <w:rPr>
                <w:color w:val="212121"/>
                <w:sz w:val="20"/>
              </w:rPr>
              <w:t>Espace numérique avec historique complet et filtres</w:t>
            </w:r>
          </w:p>
        </w:tc>
        <w:tc>
          <w:tcPr>
            <w:tcW w:type="dxa" w:w="3135"/>
            <w:shd w:val="clear" w:color="auto" w:fill="FFFFFF"/>
          </w:tcPr>
          <w:p>
            <w:r>
              <w:rPr>
                <w:color w:val="212121"/>
                <w:sz w:val="20"/>
              </w:rPr>
              <w:t>Réduction des litiges factures de ~60%</w:t>
            </w:r>
          </w:p>
        </w:tc>
      </w:tr>
      <w:tr>
        <w:tc>
          <w:tcPr>
            <w:tcW w:type="dxa" w:w="3135"/>
            <w:shd w:val="clear" w:color="auto" w:fill="FAFAFA"/>
          </w:tcPr>
          <w:p>
            <w:r>
              <w:rPr>
                <w:color w:val="212121"/>
                <w:sz w:val="20"/>
              </w:rPr>
              <w:t>Coupures CashPower imprévues</w:t>
            </w:r>
          </w:p>
        </w:tc>
        <w:tc>
          <w:tcPr>
            <w:tcW w:type="dxa" w:w="3135"/>
            <w:shd w:val="clear" w:color="auto" w:fill="FAFAFA"/>
          </w:tcPr>
          <w:p>
            <w:r>
              <w:rPr>
                <w:color w:val="212121"/>
                <w:sz w:val="20"/>
              </w:rPr>
              <w:t>Alertes solde bas + recharge instantanée en ligne</w:t>
            </w:r>
          </w:p>
        </w:tc>
        <w:tc>
          <w:tcPr>
            <w:tcW w:type="dxa" w:w="3135"/>
            <w:shd w:val="clear" w:color="auto" w:fill="FAFAFA"/>
          </w:tcPr>
          <w:p>
            <w:r>
              <w:rPr>
                <w:color w:val="212121"/>
                <w:sz w:val="20"/>
              </w:rPr>
              <w:t>Continuité de service, satisfaction client accrue</w:t>
            </w:r>
          </w:p>
        </w:tc>
      </w:tr>
      <w:tr>
        <w:tc>
          <w:tcPr>
            <w:tcW w:type="dxa" w:w="3135"/>
            <w:shd w:val="clear" w:color="auto" w:fill="FFFFFF"/>
          </w:tcPr>
          <w:p>
            <w:r>
              <w:rPr>
                <w:color w:val="212121"/>
                <w:sz w:val="20"/>
              </w:rPr>
              <w:t>Consommation opaque, budget non maîtrisé</w:t>
            </w:r>
          </w:p>
        </w:tc>
        <w:tc>
          <w:tcPr>
            <w:tcW w:type="dxa" w:w="3135"/>
            <w:shd w:val="clear" w:color="auto" w:fill="FFFFFF"/>
          </w:tcPr>
          <w:p>
            <w:r>
              <w:rPr>
                <w:color w:val="212121"/>
                <w:sz w:val="20"/>
              </w:rPr>
              <w:t>Graphiques, statistiques et prévisions IA à 30 jours</w:t>
            </w:r>
          </w:p>
        </w:tc>
        <w:tc>
          <w:tcPr>
            <w:tcW w:type="dxa" w:w="3135"/>
            <w:shd w:val="clear" w:color="auto" w:fill="FFFFFF"/>
          </w:tcPr>
          <w:p>
            <w:r>
              <w:rPr>
                <w:color w:val="212121"/>
                <w:sz w:val="20"/>
              </w:rPr>
              <w:t>Économies d'énergie potentielles de 10 à 20%</w:t>
            </w:r>
          </w:p>
        </w:tc>
      </w:tr>
      <w:tr>
        <w:tc>
          <w:tcPr>
            <w:tcW w:type="dxa" w:w="3135"/>
            <w:shd w:val="clear" w:color="auto" w:fill="FAFAFA"/>
          </w:tcPr>
          <w:p>
            <w:r>
              <w:rPr>
                <w:color w:val="212121"/>
                <w:sz w:val="20"/>
              </w:rPr>
              <w:t>Gestion manuelle multi-contrats complexe</w:t>
            </w:r>
          </w:p>
        </w:tc>
        <w:tc>
          <w:tcPr>
            <w:tcW w:type="dxa" w:w="3135"/>
            <w:shd w:val="clear" w:color="auto" w:fill="FAFAFA"/>
          </w:tcPr>
          <w:p>
            <w:r>
              <w:rPr>
                <w:color w:val="212121"/>
                <w:sz w:val="20"/>
              </w:rPr>
              <w:t>Tableau de bord centralisé multi-contrats/compteurs</w:t>
            </w:r>
          </w:p>
        </w:tc>
        <w:tc>
          <w:tcPr>
            <w:tcW w:type="dxa" w:w="3135"/>
            <w:shd w:val="clear" w:color="auto" w:fill="FAFAFA"/>
          </w:tcPr>
          <w:p>
            <w:r>
              <w:rPr>
                <w:color w:val="212121"/>
                <w:sz w:val="20"/>
              </w:rPr>
              <w:t>Productivité des gestionnaires d'immeubles améliorée</w:t>
            </w:r>
          </w:p>
        </w:tc>
      </w:tr>
      <w:tr>
        <w:tc>
          <w:tcPr>
            <w:tcW w:type="dxa" w:w="3135"/>
            <w:shd w:val="clear" w:color="auto" w:fill="FFFFFF"/>
          </w:tcPr>
          <w:p>
            <w:r>
              <w:rPr>
                <w:color w:val="212121"/>
                <w:sz w:val="20"/>
              </w:rPr>
              <w:t>Charge en agence et coûts opérationnels élevés</w:t>
            </w:r>
          </w:p>
        </w:tc>
        <w:tc>
          <w:tcPr>
            <w:tcW w:type="dxa" w:w="3135"/>
            <w:shd w:val="clear" w:color="auto" w:fill="FFFFFF"/>
          </w:tcPr>
          <w:p>
            <w:r>
              <w:rPr>
                <w:color w:val="212121"/>
                <w:sz w:val="20"/>
              </w:rPr>
              <w:t>Digitalisation des processus clés</w:t>
            </w:r>
          </w:p>
        </w:tc>
        <w:tc>
          <w:tcPr>
            <w:tcW w:type="dxa" w:w="3135"/>
            <w:shd w:val="clear" w:color="auto" w:fill="FFFFFF"/>
          </w:tcPr>
          <w:p>
            <w:r>
              <w:rPr>
                <w:color w:val="212121"/>
                <w:sz w:val="20"/>
              </w:rPr>
              <w:t>Réduction des coûts opérationnels SONABEL de ~30%</w:t>
            </w:r>
          </w:p>
        </w:tc>
      </w:tr>
    </w:tbl>
    <w:p/>
    <w:p>
      <w:r>
        <w:br w:type="page"/>
      </w:r>
    </w:p>
    <w:p>
      <w:pPr>
        <w:spacing w:before="280" w:after="120"/>
      </w:pPr>
      <w:r>
        <w:rPr>
          <w:b/>
          <w:color w:val="2E7D32"/>
          <w:sz w:val="40"/>
        </w:rPr>
        <w:t>6. Spécifications Techniques</w:t>
      </w:r>
    </w:p>
    <w:p>
      <w:pPr>
        <w:pBdr>
          <w:bottom w:val="single" w:sz="6" w:space="1" w:color="2E7D32"/>
        </w:pBdr>
        <w:spacing w:after="120"/>
      </w:pP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8F5E9"/>
          </w:tcPr>
          <w:p>
            <w:r>
              <w:rPr>
                <w:b/>
                <w:color w:val="2E7D32"/>
                <w:sz w:val="20"/>
              </w:rPr>
              <w:t>Framework Backend</w:t>
            </w:r>
          </w:p>
        </w:tc>
        <w:tc>
          <w:tcPr>
            <w:tcW w:type="dxa" w:w="5953"/>
          </w:tcPr>
          <w:p>
            <w:r>
              <w:rPr>
                <w:color w:val="212121"/>
                <w:sz w:val="20"/>
              </w:rPr>
              <w:t>Laravel 12 (PHP 8.2+)</w:t>
            </w:r>
          </w:p>
        </w:tc>
      </w:tr>
      <w:tr>
        <w:tc>
          <w:tcPr>
            <w:tcW w:type="dxa" w:w="3118"/>
            <w:shd w:val="clear" w:color="auto" w:fill="E8F5E9"/>
          </w:tcPr>
          <w:p>
            <w:r>
              <w:rPr>
                <w:b/>
                <w:color w:val="2E7D32"/>
                <w:sz w:val="20"/>
              </w:rPr>
              <w:t>Interface Frontend</w:t>
            </w:r>
          </w:p>
        </w:tc>
        <w:tc>
          <w:tcPr>
            <w:tcW w:type="dxa" w:w="5953"/>
          </w:tcPr>
          <w:p>
            <w:r>
              <w:rPr>
                <w:color w:val="212121"/>
                <w:sz w:val="20"/>
              </w:rPr>
              <w:t>Blade Templates, Tailwind CSS 3.1, Alpine.js 3.4</w:t>
            </w:r>
          </w:p>
        </w:tc>
      </w:tr>
      <w:tr>
        <w:tc>
          <w:tcPr>
            <w:tcW w:type="dxa" w:w="3118"/>
            <w:shd w:val="clear" w:color="auto" w:fill="E8F5E9"/>
          </w:tcPr>
          <w:p>
            <w:r>
              <w:rPr>
                <w:b/>
                <w:color w:val="2E7D32"/>
                <w:sz w:val="20"/>
              </w:rPr>
              <w:t>Base de Données</w:t>
            </w:r>
          </w:p>
        </w:tc>
        <w:tc>
          <w:tcPr>
            <w:tcW w:type="dxa" w:w="5953"/>
          </w:tcPr>
          <w:p>
            <w:r>
              <w:rPr>
                <w:color w:val="212121"/>
                <w:sz w:val="20"/>
              </w:rPr>
              <w:t>SQLite (déploiement rapide) / MySQL / PostgreSQL</w:t>
            </w:r>
          </w:p>
        </w:tc>
      </w:tr>
      <w:tr>
        <w:tc>
          <w:tcPr>
            <w:tcW w:type="dxa" w:w="3118"/>
            <w:shd w:val="clear" w:color="auto" w:fill="E8F5E9"/>
          </w:tcPr>
          <w:p>
            <w:r>
              <w:rPr>
                <w:b/>
                <w:color w:val="2E7D32"/>
                <w:sz w:val="20"/>
              </w:rPr>
              <w:t>Outil de Build</w:t>
            </w:r>
          </w:p>
        </w:tc>
        <w:tc>
          <w:tcPr>
            <w:tcW w:type="dxa" w:w="5953"/>
          </w:tcPr>
          <w:p>
            <w:r>
              <w:rPr>
                <w:color w:val="212121"/>
                <w:sz w:val="20"/>
              </w:rPr>
              <w:t>Vite 7.0 + PostCSS + Autoprefixer</w:t>
            </w:r>
          </w:p>
        </w:tc>
      </w:tr>
      <w:tr>
        <w:tc>
          <w:tcPr>
            <w:tcW w:type="dxa" w:w="3118"/>
            <w:shd w:val="clear" w:color="auto" w:fill="E8F5E9"/>
          </w:tcPr>
          <w:p>
            <w:r>
              <w:rPr>
                <w:b/>
                <w:color w:val="2E7D32"/>
                <w:sz w:val="20"/>
              </w:rPr>
              <w:t>Authentification</w:t>
            </w:r>
          </w:p>
        </w:tc>
        <w:tc>
          <w:tcPr>
            <w:tcW w:type="dxa" w:w="5953"/>
          </w:tcPr>
          <w:p>
            <w:r>
              <w:rPr>
                <w:color w:val="212121"/>
                <w:sz w:val="20"/>
              </w:rPr>
              <w:t>Laravel Breeze — vérification e-mail, sessions sécurisées</w:t>
            </w:r>
          </w:p>
        </w:tc>
      </w:tr>
      <w:tr>
        <w:tc>
          <w:tcPr>
            <w:tcW w:type="dxa" w:w="3118"/>
            <w:shd w:val="clear" w:color="auto" w:fill="E8F5E9"/>
          </w:tcPr>
          <w:p>
            <w:r>
              <w:rPr>
                <w:b/>
                <w:color w:val="2E7D32"/>
                <w:sz w:val="20"/>
              </w:rPr>
              <w:t>Tests</w:t>
            </w:r>
          </w:p>
        </w:tc>
        <w:tc>
          <w:tcPr>
            <w:tcW w:type="dxa" w:w="5953"/>
          </w:tcPr>
          <w:p>
            <w:r>
              <w:rPr>
                <w:color w:val="212121"/>
                <w:sz w:val="20"/>
              </w:rPr>
              <w:t>PHPUnit + Mockery — couverture des fonctionnalités critiques</w:t>
            </w:r>
          </w:p>
        </w:tc>
      </w:tr>
      <w:tr>
        <w:tc>
          <w:tcPr>
            <w:tcW w:type="dxa" w:w="3118"/>
            <w:shd w:val="clear" w:color="auto" w:fill="E8F5E9"/>
          </w:tcPr>
          <w:p>
            <w:r>
              <w:rPr>
                <w:b/>
                <w:color w:val="2E7D32"/>
                <w:sz w:val="20"/>
              </w:rPr>
              <w:t>Déploiement</w:t>
            </w:r>
          </w:p>
        </w:tc>
        <w:tc>
          <w:tcPr>
            <w:tcW w:type="dxa" w:w="5953"/>
          </w:tcPr>
          <w:p>
            <w:r>
              <w:rPr>
                <w:color w:val="212121"/>
                <w:sz w:val="20"/>
              </w:rPr>
              <w:t>Laravel Sail (Docker) — compatible serveurs Linux</w:t>
            </w:r>
          </w:p>
        </w:tc>
      </w:tr>
      <w:tr>
        <w:tc>
          <w:tcPr>
            <w:tcW w:type="dxa" w:w="3118"/>
            <w:shd w:val="clear" w:color="auto" w:fill="E8F5E9"/>
          </w:tcPr>
          <w:p>
            <w:r>
              <w:rPr>
                <w:b/>
                <w:color w:val="2E7D32"/>
                <w:sz w:val="20"/>
              </w:rPr>
              <w:t>Devise</w:t>
            </w:r>
          </w:p>
        </w:tc>
        <w:tc>
          <w:tcPr>
            <w:tcW w:type="dxa" w:w="5953"/>
          </w:tcPr>
          <w:p>
            <w:r>
              <w:rPr>
                <w:color w:val="212121"/>
                <w:sz w:val="20"/>
              </w:rPr>
              <w:t>Franc CFA (XOF) — précision décimale sur les montants financiers</w:t>
            </w:r>
          </w:p>
        </w:tc>
      </w:tr>
    </w:tbl>
    <w:p/>
    <w:p>
      <w:pPr>
        <w:spacing w:before="280" w:after="120"/>
      </w:pPr>
      <w:r>
        <w:rPr>
          <w:b/>
          <w:color w:val="2E7D32"/>
          <w:sz w:val="40"/>
        </w:rPr>
        <w:t>7. Feuille de Route &amp; Évolutions Envisagées</w:t>
      </w:r>
    </w:p>
    <w:p>
      <w:pPr>
        <w:pBdr>
          <w:bottom w:val="single" w:sz="6" w:space="1" w:color="2E7D32"/>
        </w:pBdr>
        <w:spacing w:after="120"/>
      </w:pPr>
    </w:p>
    <w:p>
      <w:pPr>
        <w:spacing w:after="80"/>
      </w:pPr>
      <w:r>
        <w:rPr>
          <w:b/>
          <w:i w:val="0"/>
          <w:color w:val="2E7D32"/>
          <w:sz w:val="22"/>
        </w:rPr>
        <w:t>Phase 1 — Déploiement Initial (J+0 à J+90)</w:t>
      </w:r>
    </w:p>
    <w:p>
      <w:pPr>
        <w:pStyle w:val="ListBullet"/>
        <w:spacing w:after="60"/>
        <w:ind w:left="283"/>
      </w:pPr>
      <w:r>
        <w:rPr>
          <w:color w:val="212121"/>
          <w:sz w:val="22"/>
        </w:rPr>
        <w:t>Mise en production sur l'infrastructure SONABEL</w:t>
      </w:r>
    </w:p>
    <w:p>
      <w:pPr>
        <w:pStyle w:val="ListBullet"/>
        <w:spacing w:after="60"/>
        <w:ind w:left="283"/>
      </w:pPr>
      <w:r>
        <w:rPr>
          <w:color w:val="212121"/>
          <w:sz w:val="22"/>
        </w:rPr>
        <w:t>Migration des données clients existants</w:t>
      </w:r>
    </w:p>
    <w:p>
      <w:pPr>
        <w:pStyle w:val="ListBullet"/>
        <w:spacing w:after="60"/>
        <w:ind w:left="283"/>
      </w:pPr>
      <w:r>
        <w:rPr>
          <w:color w:val="212121"/>
          <w:sz w:val="22"/>
        </w:rPr>
        <w:t>Formation des équipes support SONABEL</w:t>
      </w:r>
    </w:p>
    <w:p>
      <w:pPr>
        <w:pStyle w:val="ListBullet"/>
        <w:spacing w:after="60"/>
        <w:ind w:left="283"/>
      </w:pPr>
      <w:r>
        <w:rPr>
          <w:color w:val="212121"/>
          <w:sz w:val="22"/>
        </w:rPr>
        <w:t>Campagne de communication client</w:t>
      </w:r>
    </w:p>
    <w:p/>
    <w:p>
      <w:pPr>
        <w:spacing w:after="80"/>
      </w:pPr>
      <w:r>
        <w:rPr>
          <w:b/>
          <w:i w:val="0"/>
          <w:color w:val="2E7D32"/>
          <w:sz w:val="22"/>
        </w:rPr>
        <w:t>Phase 2 — Intégration Paiement Mobile (J+90 à J+180)</w:t>
      </w:r>
    </w:p>
    <w:p>
      <w:pPr>
        <w:pStyle w:val="ListBullet"/>
        <w:spacing w:after="60"/>
        <w:ind w:left="283"/>
      </w:pPr>
      <w:r>
        <w:rPr>
          <w:color w:val="212121"/>
          <w:sz w:val="22"/>
        </w:rPr>
        <w:t>Intégration Orange Money / Moov Money / Coris Money</w:t>
      </w:r>
    </w:p>
    <w:p>
      <w:pPr>
        <w:pStyle w:val="ListBullet"/>
        <w:spacing w:after="60"/>
        <w:ind w:left="283"/>
      </w:pPr>
      <w:r>
        <w:rPr>
          <w:color w:val="212121"/>
          <w:sz w:val="22"/>
        </w:rPr>
        <w:t>Paiement de factures directement depuis le portail</w:t>
      </w:r>
    </w:p>
    <w:p>
      <w:pPr>
        <w:pStyle w:val="ListBullet"/>
        <w:spacing w:after="60"/>
        <w:ind w:left="283"/>
      </w:pPr>
      <w:r>
        <w:rPr>
          <w:color w:val="212121"/>
          <w:sz w:val="22"/>
        </w:rPr>
        <w:t>Notifications SMS pour les échéances de paiement</w:t>
      </w:r>
    </w:p>
    <w:p/>
    <w:p>
      <w:pPr>
        <w:spacing w:after="80"/>
      </w:pPr>
      <w:r>
        <w:rPr>
          <w:b/>
          <w:i w:val="0"/>
          <w:color w:val="2E7D32"/>
          <w:sz w:val="22"/>
        </w:rPr>
        <w:t>Phase 3 — API Partenaires &amp; App Mobile (J+180 à J+365)</w:t>
      </w:r>
    </w:p>
    <w:p>
      <w:pPr>
        <w:pStyle w:val="ListBullet"/>
        <w:spacing w:after="60"/>
        <w:ind w:left="283"/>
      </w:pPr>
      <w:r>
        <w:rPr>
          <w:color w:val="212121"/>
          <w:sz w:val="22"/>
        </w:rPr>
        <w:t>API RESTful publique pour partenaires (banques, assurances)</w:t>
      </w:r>
    </w:p>
    <w:p>
      <w:pPr>
        <w:pStyle w:val="ListBullet"/>
        <w:spacing w:after="60"/>
        <w:ind w:left="283"/>
      </w:pPr>
      <w:r>
        <w:rPr>
          <w:color w:val="212121"/>
          <w:sz w:val="22"/>
        </w:rPr>
        <w:t>Application mobile iOS/Android native</w:t>
      </w:r>
    </w:p>
    <w:p>
      <w:pPr>
        <w:pStyle w:val="ListBullet"/>
        <w:spacing w:after="60"/>
        <w:ind w:left="283"/>
      </w:pPr>
      <w:r>
        <w:rPr>
          <w:color w:val="212121"/>
          <w:sz w:val="22"/>
        </w:rPr>
        <w:t>Tableau de bord analytique pour la Direction de SONABEL</w:t>
      </w:r>
    </w:p>
    <w:p/>
    <w:p>
      <w:r>
        <w:br w:type="page"/>
      </w:r>
    </w:p>
    <w:p>
      <w:pPr>
        <w:spacing w:before="280" w:after="120"/>
      </w:pPr>
      <w:r>
        <w:rPr>
          <w:b/>
          <w:color w:val="2E7D32"/>
          <w:sz w:val="40"/>
        </w:rPr>
        <w:t>8. Conclusion &amp; Appel à l'Action</w:t>
      </w:r>
    </w:p>
    <w:p>
      <w:pPr>
        <w:pBdr>
          <w:bottom w:val="single" w:sz="6" w:space="1" w:color="2E7D32"/>
        </w:pBdr>
        <w:spacing w:after="120"/>
      </w:pPr>
    </w:p>
    <w:p>
      <w:pPr>
        <w:spacing w:after="80"/>
      </w:pPr>
      <w:r>
        <w:rPr>
          <w:b w:val="0"/>
          <w:i w:val="0"/>
          <w:color w:val="212121"/>
          <w:sz w:val="22"/>
        </w:rPr>
        <w:t>e-SONABE représente une opportunité unique pour SONABEL de se positionner comme un acteur de référence de la transition numérique dans le secteur de l'énergie en Afrique de l'Ouest. La solution est fonctionnelle, testée et prête à être déployée.</w:t>
      </w:r>
    </w:p>
    <w:p>
      <w:pPr>
        <w:spacing w:after="80"/>
      </w:pPr>
      <w:r>
        <w:rPr>
          <w:b w:val="0"/>
          <w:i w:val="0"/>
          <w:color w:val="212121"/>
          <w:sz w:val="22"/>
        </w:rPr>
        <w:t>Au-delà d'un simple outil digital, e-SONABE incarne une nouvelle promesse client : celle d'une énergie gérée simplement, intelligemment, et en toute transparence.</w:t>
      </w:r>
    </w:p>
    <w:p/>
    <w:tbl>
      <w:tblPr>
        <w:tblW w:type="auto" w:w="0"/>
        <w:jc w:val="center"/>
        <w:tblLook w:firstColumn="1" w:firstRow="1" w:lastColumn="0" w:lastRow="0" w:noHBand="0" w:noVBand="1" w:val="04A0"/>
      </w:tblPr>
      <w:tblGrid>
        <w:gridCol w:w="9406"/>
      </w:tblGrid>
      <w:tr>
        <w:tc>
          <w:tcPr>
            <w:tcW w:type="dxa" w:w="9406"/>
            <w:shd w:val="clear" w:color="auto" w:fill="E8F5E9"/>
          </w:tcPr>
          <w:p>
            <w:pPr>
              <w:jc w:val="center"/>
            </w:pPr>
            <w:r>
              <w:rPr>
                <w:b/>
                <w:color w:val="2E7D32"/>
                <w:sz w:val="26"/>
              </w:rPr>
              <w:t>Nous invitons la Direction Générale de SONABEL</w:t>
              <w:br/>
            </w:r>
            <w:r>
              <w:rPr>
                <w:color w:val="212121"/>
                <w:sz w:val="24"/>
              </w:rPr>
              <w:t>à nous accorder une démonstration en live de la plateforme e-SONABE</w:t>
              <w:br/>
              <w:t>afin d'évaluer ensemble la valeur que cette solution apportera</w:t>
              <w:br/>
              <w:t>à vos clients et à vos équipes opérationnelles.</w:t>
            </w:r>
            <w:r>
              <w:br/>
            </w:r>
          </w:p>
        </w:tc>
      </w:tr>
    </w:tbl>
    <w:p/>
    <w:p>
      <w:pPr>
        <w:spacing w:after="80"/>
      </w:pPr>
      <w:r>
        <w:rPr>
          <w:b w:val="0"/>
          <w:i/>
          <w:color w:val="555555"/>
          <w:sz w:val="22"/>
        </w:rPr>
        <w:t>Pour toute information complémentaire ou pour organiser une démonstration,</w:t>
        <w:br/>
        <w:t>veuillez contacter l'équipe e-SONABE.</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999999"/>
        <w:sz w:val="16"/>
      </w:rPr>
      <w:t>e-SONABE — Document Confidentiel — 17/03/2026 — Propriété de SONABEL. Reproduction interdite sans autorisation.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