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AInchors Nexus Platform — Cost Forecast</w:t>
      </w:r>
    </w:p>
    <w:p>
      <w:pPr>
        <w:jc w:val="center"/>
      </w:pPr>
      <w:r>
        <w:rPr>
          <w:color w:val="808080"/>
          <w:sz w:val="20"/>
        </w:rPr>
        <w:t>Generated: 2026-05-15 19:39 AEST | Day 21 | Interim: kimi active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Total spent to date: </w:t>
      </w:r>
      <w:r>
        <w:t>$4,179.46</w:t>
        <w:br/>
      </w:r>
      <w:r>
        <w:rPr>
          <w:b/>
        </w:rPr>
        <w:t xml:space="preserve">Average daily burn: </w:t>
      </w:r>
      <w:r>
        <w:t>$199.02 (Sonnet primary)</w:t>
        <w:br/>
      </w:r>
      <w:r>
        <w:rPr>
          <w:b/>
        </w:rPr>
        <w:t xml:space="preserve">Claude API status: </w:t>
      </w:r>
      <w:r>
        <w:rPr>
          <w:color w:val="FF0000"/>
        </w:rPr>
        <w:t>UNREACHABLE (HTTP 502)</w:t>
      </w:r>
      <w:r>
        <w:t xml:space="preserve"> — interim models active (kimi)</w:t>
        <w:br/>
      </w:r>
      <w:r>
        <w:rPr>
          <w:b/>
        </w:rPr>
        <w:t xml:space="preserve">Daily cap: </w:t>
      </w:r>
      <w:r>
        <w:t>$450 (temp, reverts to $150 Sun 17 May)</w:t>
        <w:br/>
      </w:r>
      <w:r>
        <w:rPr>
          <w:b/>
        </w:rPr>
        <w:t xml:space="preserve">OC2 ETA: </w:t>
      </w:r>
      <w:r>
        <w:t>Jul 6–13, 2026 (commission ~Jul 27)</w:t>
      </w:r>
    </w:p>
    <w:p/>
    <w:p>
      <w:pPr>
        <w:pStyle w:val="Heading1"/>
      </w:pPr>
      <w:r>
        <w:t>Scenario Comparison</w:t>
      </w:r>
    </w:p>
    <w:p>
      <w:r>
        <w:t>All scenarios include 15% buffer per phase. Overall contingency varies.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Contingency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Assumptions</w:t>
            </w:r>
          </w:p>
        </w:tc>
      </w:tr>
      <w:tr>
        <w:tc>
          <w:tcPr>
            <w:tcW w:type="dxa" w:w="2160"/>
          </w:tcPr>
          <w:p>
            <w:r>
              <w:t>A (Best Case)</w:t>
            </w:r>
          </w:p>
        </w:tc>
        <w:tc>
          <w:tcPr>
            <w:tcW w:type="dxa" w:w="2160"/>
          </w:tcPr>
          <w:p>
            <w:r>
              <w:t>$61,270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Everything right. Claude stable. OC2 on time. No scope creep.</w:t>
            </w:r>
          </w:p>
        </w:tc>
      </w:tr>
      <w:tr>
        <w:tc>
          <w:tcPr>
            <w:tcW w:type="dxa" w:w="2160"/>
          </w:tcPr>
          <w:p>
            <w:r>
              <w:t>B (Realistic)</w:t>
            </w:r>
          </w:p>
        </w:tc>
        <w:tc>
          <w:tcPr>
            <w:tcW w:type="dxa" w:w="2160"/>
          </w:tcPr>
          <w:p>
            <w:r>
              <w:t>$70,460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Claude intermittent. OC2 ~2wks late. Moderate creep.</w:t>
            </w:r>
          </w:p>
        </w:tc>
      </w:tr>
      <w:tr>
        <w:tc>
          <w:tcPr>
            <w:tcW w:type="dxa" w:w="2160"/>
          </w:tcPr>
          <w:p>
            <w:r>
              <w:t>C (Worst Case)</w:t>
            </w:r>
          </w:p>
        </w:tc>
        <w:tc>
          <w:tcPr>
            <w:tcW w:type="dxa" w:w="2160"/>
          </w:tcPr>
          <w:p>
            <w:r>
              <w:t>$79,651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Claude down weeks. OC2 1mo+ late. Major creep.</w:t>
            </w:r>
          </w:p>
        </w:tc>
      </w:tr>
    </w:tbl>
    <w:p/>
    <w:p>
      <w:pPr>
        <w:pStyle w:val="Heading1"/>
      </w:pPr>
      <w:r>
        <w:t>Phase Breakdown (with 15% buffer)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+15% Buffer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Period</w:t>
            </w:r>
          </w:p>
        </w:tc>
      </w:tr>
      <w:tr>
        <w:tc>
          <w:tcPr>
            <w:tcW w:type="dxa" w:w="1728"/>
          </w:tcPr>
          <w:p>
            <w:r>
              <w:t>Already spent</w:t>
            </w:r>
          </w:p>
        </w:tc>
        <w:tc>
          <w:tcPr>
            <w:tcW w:type="dxa" w:w="1728"/>
          </w:tcPr>
          <w:p>
            <w:r>
              <w:t>21 days</w:t>
            </w:r>
          </w:p>
        </w:tc>
        <w:tc>
          <w:tcPr>
            <w:tcW w:type="dxa" w:w="1728"/>
          </w:tcPr>
          <w:p>
            <w:r>
              <w:t>$4,179</w:t>
            </w:r>
          </w:p>
        </w:tc>
        <w:tc>
          <w:tcPr>
            <w:tcW w:type="dxa" w:w="1728"/>
          </w:tcPr>
          <w:p>
            <w:r>
              <w:t>$4,806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1728"/>
          </w:tcPr>
          <w:p>
            <w:r>
              <w:t>Up to OC2</w:t>
            </w:r>
          </w:p>
        </w:tc>
        <w:tc>
          <w:tcPr>
            <w:tcW w:type="dxa" w:w="1728"/>
          </w:tcPr>
          <w:p>
            <w:r>
              <w:t>51 days</w:t>
            </w:r>
          </w:p>
        </w:tc>
        <w:tc>
          <w:tcPr>
            <w:tcW w:type="dxa" w:w="1728"/>
          </w:tcPr>
          <w:p>
            <w:r>
              <w:t>$10,149</w:t>
            </w:r>
          </w:p>
        </w:tc>
        <w:tc>
          <w:tcPr>
            <w:tcW w:type="dxa" w:w="1728"/>
          </w:tcPr>
          <w:p>
            <w:r>
              <w:t>$11,671</w:t>
            </w:r>
          </w:p>
        </w:tc>
        <w:tc>
          <w:tcPr>
            <w:tcW w:type="dxa" w:w="1728"/>
          </w:tcPr>
          <w:p>
            <w:r>
              <w:t>May 15 → Jul 6</w:t>
            </w:r>
          </w:p>
        </w:tc>
      </w:tr>
      <w:tr>
        <w:tc>
          <w:tcPr>
            <w:tcW w:type="dxa" w:w="1728"/>
          </w:tcPr>
          <w:p>
            <w:r>
              <w:t>P1 — OC2 Setup</w:t>
            </w:r>
          </w:p>
        </w:tc>
        <w:tc>
          <w:tcPr>
            <w:tcW w:type="dxa" w:w="1728"/>
          </w:tcPr>
          <w:p>
            <w:r>
              <w:t>40 days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  <w:tc>
          <w:tcPr>
            <w:tcW w:type="dxa" w:w="1728"/>
          </w:tcPr>
          <w:p>
            <w:r>
              <w:t>$6,900</w:t>
            </w:r>
          </w:p>
        </w:tc>
        <w:tc>
          <w:tcPr>
            <w:tcW w:type="dxa" w:w="1728"/>
          </w:tcPr>
          <w:p>
            <w:r>
              <w:t>Jul 6 → Aug 15</w:t>
            </w:r>
          </w:p>
        </w:tc>
      </w:tr>
      <w:tr>
        <w:tc>
          <w:tcPr>
            <w:tcW w:type="dxa" w:w="1728"/>
          </w:tcPr>
          <w:p>
            <w:r>
              <w:t>P2 + P3</w:t>
            </w:r>
          </w:p>
        </w:tc>
        <w:tc>
          <w:tcPr>
            <w:tcW w:type="dxa" w:w="1728"/>
          </w:tcPr>
          <w:p>
            <w:r>
              <w:t>31 days</w:t>
            </w:r>
          </w:p>
        </w:tc>
        <w:tc>
          <w:tcPr>
            <w:tcW w:type="dxa" w:w="1728"/>
          </w:tcPr>
          <w:p>
            <w:r>
              <w:t>$6,200</w:t>
            </w:r>
          </w:p>
        </w:tc>
        <w:tc>
          <w:tcPr>
            <w:tcW w:type="dxa" w:w="1728"/>
          </w:tcPr>
          <w:p>
            <w:r>
              <w:t>$7,130</w:t>
            </w:r>
          </w:p>
        </w:tc>
        <w:tc>
          <w:tcPr>
            <w:tcW w:type="dxa" w:w="1728"/>
          </w:tcPr>
          <w:p>
            <w:r>
              <w:t>Aug 15 → Sep 15</w:t>
            </w:r>
          </w:p>
        </w:tc>
      </w:tr>
      <w:tr>
        <w:tc>
          <w:tcPr>
            <w:tcW w:type="dxa" w:w="1728"/>
          </w:tcPr>
          <w:p>
            <w:r>
              <w:t>P4 — Enterprise</w:t>
            </w:r>
          </w:p>
        </w:tc>
        <w:tc>
          <w:tcPr>
            <w:tcW w:type="dxa" w:w="1728"/>
          </w:tcPr>
          <w:p>
            <w:r>
              <w:t>107 days</w:t>
            </w:r>
          </w:p>
        </w:tc>
        <w:tc>
          <w:tcPr>
            <w:tcW w:type="dxa" w:w="1728"/>
          </w:tcPr>
          <w:p>
            <w:r>
              <w:t>$26,750</w:t>
            </w:r>
          </w:p>
        </w:tc>
        <w:tc>
          <w:tcPr>
            <w:tcW w:type="dxa" w:w="1728"/>
          </w:tcPr>
          <w:p>
            <w:r>
              <w:t>$30,762</w:t>
            </w:r>
          </w:p>
        </w:tc>
        <w:tc>
          <w:tcPr>
            <w:tcW w:type="dxa" w:w="1728"/>
          </w:tcPr>
          <w:p>
            <w:r>
              <w:t>Sep 15 → Dec 31</w:t>
            </w:r>
          </w:p>
        </w:tc>
      </w:tr>
    </w:tbl>
    <w:p/>
    <w:p>
      <w:pPr>
        <w:pStyle w:val="Heading1"/>
      </w:pPr>
      <w:r>
        <w:t>Key Assumptions</w:t>
      </w:r>
    </w:p>
    <w:p>
      <w:pPr>
        <w:pStyle w:val="ListBullet"/>
      </w:pPr>
      <w:r>
        <w:t>Claude API recovers and stays available (Scenarios A &amp; B)</w:t>
      </w:r>
    </w:p>
    <w:p>
      <w:pPr>
        <w:pStyle w:val="ListBullet"/>
      </w:pPr>
      <w:r>
        <w:t>OC2 Mac Mini M4 Pro 48GB arrives Jul 6–13, commission by Jul 27</w:t>
      </w:r>
    </w:p>
    <w:p>
      <w:pPr>
        <w:pStyle w:val="ListBullet"/>
      </w:pPr>
      <w:r>
        <w:t>P2 launch target: end-Aug 2026 (contingency: mid-Sep)</w:t>
      </w:r>
    </w:p>
    <w:p>
      <w:pPr>
        <w:pStyle w:val="ListBullet"/>
      </w:pPr>
      <w:r>
        <w:t>No major scope creep beyond committed sprints</w:t>
      </w:r>
    </w:p>
    <w:p>
      <w:pPr>
        <w:pStyle w:val="ListBullet"/>
      </w:pPr>
      <w:r>
        <w:t>Gemma4:26b on OC2 reduces cloud inference costs ~40% post-P1</w:t>
      </w:r>
    </w:p>
    <w:p>
      <w:pPr>
        <w:pStyle w:val="ListBullet"/>
      </w:pPr>
      <w:r>
        <w:t>Daily cap reverts to $150 after Sun 17 May (temp $450 ends)</w:t>
      </w:r>
    </w:p>
    <w:p>
      <w:pPr>
        <w:pStyle w:val="ListBullet"/>
      </w:pPr>
      <w:r>
        <w:t>Ollama Cloud subscription: $100/mo flat (fixed, not in variable forecast)</w:t>
      </w:r>
    </w:p>
    <w:p/>
    <w:p>
      <w:pPr>
        <w:pStyle w:val="Heading1"/>
      </w:pPr>
      <w:r>
        <w:t>Key Risks</w:t>
      </w:r>
    </w:p>
    <w:p>
      <w:r>
        <w:rPr>
          <w:b/>
        </w:rPr>
        <w:t xml:space="preserve">Claude API down longer than expected: </w:t>
      </w:r>
      <w:r>
        <w:t>Switch to Ollama full-time. Speed drops. Timeline extends.</w:t>
      </w:r>
    </w:p>
    <w:p>
      <w:r>
        <w:rPr>
          <w:b/>
        </w:rPr>
        <w:t xml:space="preserve">OC2 delayed: </w:t>
      </w:r>
      <w:r>
        <w:t>P1 slips. P2 cascade. Costs extend beyond forecast.</w:t>
      </w:r>
    </w:p>
    <w:p>
      <w:r>
        <w:rPr>
          <w:b/>
        </w:rPr>
        <w:t xml:space="preserve">P2 complexity exceeds estimate: </w:t>
      </w:r>
      <w:r>
        <w:t>Daily rate exceeds $250/day. Burn rate spikes.</w:t>
      </w:r>
    </w:p>
    <w:p>
      <w:r>
        <w:rPr>
          <w:b/>
        </w:rPr>
        <w:t xml:space="preserve">P4 scope undefined: </w:t>
      </w:r>
      <w:r>
        <w:t>Enterprise multi-tenant scope could double. Wide variance.</w:t>
      </w:r>
    </w:p>
    <w:p>
      <w:r>
        <w:rPr>
          <w:b/>
        </w:rPr>
        <w:t xml:space="preserve">kimi interim extends: </w:t>
      </w:r>
      <w:r>
        <w:t>Lower reasoning quality. More iterations. Slower delivery.</w:t>
      </w:r>
    </w:p>
    <w:p/>
    <w:p>
      <w:pPr>
        <w:pStyle w:val="Heading1"/>
      </w:pPr>
      <w:r>
        <w:t>Recommendation</w:t>
      </w:r>
    </w:p>
    <w:p>
      <w:r>
        <w:rPr>
          <w:b/>
        </w:rPr>
        <w:t xml:space="preserve">Budget against Scenario B (Realistic): </w:t>
      </w:r>
      <w:r>
        <w:t>$70,460. This provides 15% overall contingency for moderate delays and scope creep. If Claude remains down, the interim kimi model reduces daily burn significantly, potentially bringing actual costs closer to Scenario A.</w:t>
      </w:r>
    </w:p>
    <w:p/>
    <w:p>
      <w:pPr>
        <w:jc w:val="center"/>
      </w:pPr>
      <w:r>
        <w:rPr>
          <w:color w:val="808080"/>
          <w:sz w:val="16"/>
        </w:rPr>
        <w:t>— AInchors Nexus Platform | Confidential | 2026-05-15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