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44"/>
        </w:rPr>
        <w:t>COS40007 — AI for Engineering</w:t>
      </w:r>
    </w:p>
    <w:p>
      <w:pPr>
        <w:jc w:val="center"/>
      </w:pPr>
      <w:r>
        <w:rPr>
          <w:i/>
          <w:color w:val="505050"/>
          <w:sz w:val="28"/>
        </w:rPr>
        <w:t>Lecturer Interview Preparation Guide</w:t>
      </w:r>
    </w:p>
    <w:p/>
    <w:p>
      <w:pPr>
        <w:jc w:val="center"/>
      </w:pPr>
      <w:r>
        <w:rPr>
          <w:b/>
          <w:color w:val="1A3C6E"/>
          <w:sz w:val="32"/>
        </w:rPr>
        <w:t>Project: Smart Government</w:t>
      </w:r>
    </w:p>
    <w:p>
      <w:pPr>
        <w:jc w:val="center"/>
      </w:pPr>
      <w:r>
        <w:rPr>
          <w:i/>
          <w:color w:val="505050"/>
          <w:sz w:val="26"/>
        </w:rPr>
        <w:t>Team: E's Island</w:t>
      </w:r>
    </w:p>
    <w:p/>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ID</w:t>
            </w:r>
          </w:p>
        </w:tc>
        <w:tc>
          <w:tcPr>
            <w:tcW w:type="dxa" w:w="3249"/>
          </w:tcPr>
          <w:p>
            <w:r>
              <w:rPr>
                <w:b/>
              </w:rPr>
              <w:t>Name</w:t>
            </w:r>
          </w:p>
        </w:tc>
        <w:tc>
          <w:tcPr>
            <w:tcW w:type="dxa" w:w="3249"/>
          </w:tcPr>
          <w:p>
            <w:r>
              <w:rPr>
                <w:b/>
              </w:rPr>
              <w:t>Role</w:t>
            </w:r>
          </w:p>
        </w:tc>
      </w:tr>
      <w:tr>
        <w:tc>
          <w:tcPr>
            <w:tcW w:type="dxa" w:w="3249"/>
          </w:tcPr>
          <w:p>
            <w:r>
              <w:t>102782494</w:t>
            </w:r>
          </w:p>
        </w:tc>
        <w:tc>
          <w:tcPr>
            <w:tcW w:type="dxa" w:w="3249"/>
          </w:tcPr>
          <w:p>
            <w:r>
              <w:t>Kenneth Hui Hong CHUA</w:t>
            </w:r>
          </w:p>
        </w:tc>
        <w:tc>
          <w:tcPr>
            <w:tcW w:type="dxa" w:w="3249"/>
          </w:tcPr>
          <w:p>
            <w:r>
              <w:t>Inflation Forecasting Lead (ARIMA)</w:t>
            </w:r>
          </w:p>
        </w:tc>
      </w:tr>
      <w:tr>
        <w:tc>
          <w:tcPr>
            <w:tcW w:type="dxa" w:w="3249"/>
          </w:tcPr>
          <w:p>
            <w:r>
              <w:t>102782287</w:t>
            </w:r>
          </w:p>
        </w:tc>
        <w:tc>
          <w:tcPr>
            <w:tcW w:type="dxa" w:w="3249"/>
          </w:tcPr>
          <w:p>
            <w:r>
              <w:t>Kelvin Wen Kiong FONG</w:t>
            </w:r>
          </w:p>
        </w:tc>
        <w:tc>
          <w:tcPr>
            <w:tcW w:type="dxa" w:w="3249"/>
          </w:tcPr>
          <w:p>
            <w:r>
              <w:t>State Grouping Lead (Clustering)</w:t>
            </w:r>
          </w:p>
        </w:tc>
      </w:tr>
      <w:tr>
        <w:tc>
          <w:tcPr>
            <w:tcW w:type="dxa" w:w="3249"/>
          </w:tcPr>
          <w:p>
            <w:r>
              <w:t>102779140</w:t>
            </w:r>
          </w:p>
        </w:tc>
        <w:tc>
          <w:tcPr>
            <w:tcW w:type="dxa" w:w="3249"/>
          </w:tcPr>
          <w:p>
            <w:r>
              <w:t>Nigel Zi Jun LING</w:t>
            </w:r>
          </w:p>
        </w:tc>
        <w:tc>
          <w:tcPr>
            <w:tcW w:type="dxa" w:w="3249"/>
          </w:tcPr>
          <w:p>
            <w:r>
              <w:t>Cross-Analysis &amp; Validation</w:t>
            </w:r>
          </w:p>
        </w:tc>
      </w:tr>
      <w:tr>
        <w:tc>
          <w:tcPr>
            <w:tcW w:type="dxa" w:w="3249"/>
          </w:tcPr>
          <w:p>
            <w:r>
              <w:t>104386364</w:t>
            </w:r>
          </w:p>
        </w:tc>
        <w:tc>
          <w:tcPr>
            <w:tcW w:type="dxa" w:w="3249"/>
          </w:tcPr>
          <w:p>
            <w:r>
              <w:t>Neng Yi CHIENG</w:t>
            </w:r>
          </w:p>
        </w:tc>
        <w:tc>
          <w:tcPr>
            <w:tcW w:type="dxa" w:w="3249"/>
          </w:tcPr>
          <w:p>
            <w:r>
              <w:t>Forecasting Co-Lead + System &amp; Dashboard</w:t>
            </w:r>
          </w:p>
        </w:tc>
      </w:tr>
    </w:tbl>
    <w:p/>
    <w:p/>
    <w:p>
      <w:pPr>
        <w:jc w:val="center"/>
      </w:pPr>
      <w:r>
        <w:rPr>
          <w:b/>
          <w:sz w:val="26"/>
        </w:rPr>
        <w:t>How to use this document</w:t>
      </w:r>
    </w:p>
    <w:p>
      <w:pPr>
        <w:ind w:left="567" w:right="567"/>
        <w:jc w:val="both"/>
      </w:pPr>
      <w:r>
        <w:t>This document is split into four sections, one per team member, plus a final general project section. Each personal section contains the role description, in-depth question-and-answer pairs that the lecturer may ask during the interview, and specific source code line numbers to point to when explaining your contribution. Answers are written conversationally so they can be spoken aloud naturally — do not memorise them word-for-word; instead understand the underlying ideas so you can adapt to follow-up questions.</w:t>
      </w:r>
    </w:p>
    <w:p>
      <w:r>
        <w:br w:type="page"/>
      </w:r>
    </w:p>
    <w:p>
      <w:pPr>
        <w:pBdr>
          <w:bottom w:val="single" w:sz="12" w:space="4" w:color="1A3C6E"/>
        </w:pBdr>
      </w:pPr>
      <w:r>
        <w:rPr>
          <w:b/>
          <w:color w:val="1A3C6E"/>
          <w:sz w:val="36"/>
        </w:rPr>
        <w:t>Section 1 — Kenneth Hui Hong CHUA (102782494)</w:t>
      </w:r>
    </w:p>
    <w:p>
      <w:pPr>
        <w:spacing w:before="240" w:after="120"/>
      </w:pPr>
      <w:r>
        <w:rPr>
          <w:b/>
          <w:color w:val="E8523A"/>
          <w:sz w:val="28"/>
        </w:rPr>
        <w:t>Role: Inflation Forecasting Lead (ARIMA Model)</w:t>
      </w:r>
    </w:p>
    <w:tbl>
      <w:tblPr>
        <w:tblStyle w:val="LightGrid-Accent1"/>
        <w:tblW w:type="auto" w:w="0"/>
        <w:tblLook w:firstColumn="1" w:firstRow="1" w:lastColumn="0" w:lastRow="0" w:noHBand="0" w:noVBand="1" w:val="04A0"/>
      </w:tblPr>
      <w:tblGrid>
        <w:gridCol w:w="9746"/>
      </w:tblGrid>
      <w:tr>
        <w:tc>
          <w:tcPr>
            <w:tcW w:type="dxa" w:w="9746"/>
          </w:tcPr>
          <w:p>
            <w:r>
              <w:rPr>
                <w:b/>
              </w:rPr>
              <w:t xml:space="preserve">AI Role: </w:t>
            </w:r>
            <w:r>
              <w:rPr>
                <w:sz w:val="22"/>
              </w:rPr>
              <w:t>Inflation Forecasting Lead — built the full ARIMA pipeline for forecasting Malaysia's national CPI inflation, including stationarity testing, automated order selection, model fitting, fair evaluation against a baseline, and a fuel-price predictor experiment.</w:t>
            </w:r>
          </w:p>
        </w:tc>
      </w:tr>
      <w:tr>
        <w:tc>
          <w:tcPr>
            <w:tcW w:type="dxa" w:w="9746"/>
          </w:tcPr>
          <w:p>
            <w:r>
              <w:rPr>
                <w:b/>
              </w:rPr>
              <w:t xml:space="preserve">Primary Files: </w:t>
            </w:r>
            <w:r>
              <w:rPr>
                <w:i/>
                <w:sz w:val="22"/>
              </w:rPr>
              <w:t>src/preprocessing.py (national CPI loaders), src/time_series.py (ARIMA, metrics, fuel exogenous experiment)</w:t>
            </w:r>
          </w:p>
        </w:tc>
      </w:tr>
    </w:tbl>
    <w:p/>
    <w:p>
      <w:pPr>
        <w:spacing w:before="240" w:after="120"/>
      </w:pPr>
      <w:r>
        <w:rPr>
          <w:b/>
          <w:color w:val="E8523A"/>
          <w:sz w:val="24"/>
        </w:rPr>
        <w:t>What Kenneth Did</w:t>
      </w:r>
    </w:p>
    <w:p>
      <w:pPr>
        <w:pStyle w:val="ListBullet"/>
      </w:pPr>
      <w:r>
        <w:t>Collected and cleaned Malaysia's national inflation data from OpenDOSM — approximately 7,770 monthly records across 14 spending categories from 1980 to 2026.</w:t>
      </w:r>
    </w:p>
    <w:p>
      <w:pPr>
        <w:pStyle w:val="ListBullet"/>
      </w:pPr>
      <w:r>
        <w:t>Built the ARIMA inflation forecasting model with an automated grid search that tests many parameter combinations and selects the best one by BIC.</w:t>
      </w:r>
    </w:p>
    <w:p>
      <w:pPr>
        <w:pStyle w:val="ListBullet"/>
      </w:pPr>
      <w:r>
        <w:t>Ran the Augmented Dickey-Fuller (ADF) test to confirm the data was stable enough to forecast reliably.</w:t>
      </w:r>
    </w:p>
    <w:p>
      <w:pPr>
        <w:pStyle w:val="ListBullet"/>
      </w:pPr>
      <w:r>
        <w:t>Trained the final model and justified the chosen settings using standard information criteria (AIC, BIC).</w:t>
      </w:r>
    </w:p>
    <w:p>
      <w:pPr>
        <w:pStyle w:val="ListBullet"/>
      </w:pPr>
      <w:r>
        <w:t>Measured forecast accuracy using fair metrics — MAE, RMSE, sMAPE, and MASE — and compared the model against a naive 'next month equals this month' baseline.</w:t>
      </w:r>
    </w:p>
    <w:p>
      <w:pPr>
        <w:pStyle w:val="ListBullet"/>
      </w:pPr>
      <w:r>
        <w:t>Tested whether fuel prices help predict inflation using an ARIMAX model with fuel as an exogenous regressor.</w:t>
      </w:r>
    </w:p>
    <w:p>
      <w:pPr>
        <w:spacing w:before="240" w:after="120"/>
      </w:pPr>
      <w:r>
        <w:rPr>
          <w:b/>
          <w:color w:val="E8523A"/>
          <w:sz w:val="26"/>
        </w:rPr>
        <w:t>Likely Questions &amp; Detailed Answers</w:t>
      </w:r>
    </w:p>
    <w:p>
      <w:pPr>
        <w:spacing w:before="280" w:after="80"/>
      </w:pPr>
      <w:r>
        <w:rPr>
          <w:b/>
          <w:color w:val="1A3C6E"/>
          <w:sz w:val="24"/>
        </w:rPr>
        <w:t xml:space="preserve">Q1: </w:t>
      </w:r>
      <w:r>
        <w:rPr>
          <w:b/>
          <w:sz w:val="24"/>
        </w:rPr>
        <w:t>Can you explain what ARIMA is and why you chose it over other models?</w:t>
      </w:r>
    </w:p>
    <w:p>
      <w:pPr>
        <w:spacing w:after="80"/>
        <w:ind w:left="283"/>
      </w:pPr>
      <w:r>
        <w:rPr>
          <w:b/>
          <w:color w:val="E8523A"/>
        </w:rPr>
        <w:t xml:space="preserve">Answer: </w:t>
      </w:r>
      <w:r>
        <w:t>ARIMA stands for AutoRegressive Integrated Moving Average. It is a classical statistical model for time series with three components. The AR — autoregressive part — uses past values of the series itself as predictors. The I — integrated part — applies differencing to remove trends and make the series stationary. The MA — moving average part — uses past forecast errors to correct future predictions. Each component has an order: p for AR, d for differencing, and q for MA, so the model is written as ARIMA(p, d, q).</w:t>
      </w:r>
    </w:p>
    <w:p>
      <w:pPr>
        <w:spacing w:after="80"/>
        <w:ind w:left="283"/>
      </w:pPr>
      <w:r>
        <w:t>We chose ARIMA for three reasons. First, our target is a univariate monthly series — Malaysia's overall CPI inflation — with over 40 years of history. That is exactly the kind of data ARIMA is designed for. Second, ARIMA models are interpretable: every coefficient has a clear statistical meaning, which matters for a government use case where decisions must be defensible. Third, we did not have enough labelled future data to train a neural network like LSTM reliably, and deep learning models would be overkill for a smooth monthly macroeconomic series.</w:t>
      </w:r>
    </w:p>
    <w:p>
      <w:pPr>
        <w:spacing w:before="280" w:after="80"/>
      </w:pPr>
      <w:r>
        <w:rPr>
          <w:b/>
          <w:color w:val="1A3C6E"/>
          <w:sz w:val="24"/>
        </w:rPr>
        <w:t xml:space="preserve">Q2: </w:t>
      </w:r>
      <w:r>
        <w:rPr>
          <w:b/>
          <w:sz w:val="24"/>
        </w:rPr>
        <w:t>What is the Augmented Dickey-Fuller test and why did you run it?</w:t>
      </w:r>
    </w:p>
    <w:p>
      <w:pPr>
        <w:spacing w:after="80"/>
        <w:ind w:left="283"/>
      </w:pPr>
      <w:r>
        <w:rPr>
          <w:b/>
          <w:color w:val="E8523A"/>
        </w:rPr>
        <w:t xml:space="preserve">Answer: </w:t>
      </w:r>
      <w:r>
        <w:t>The ADF test checks whether a time series is stationary. A stationary series has a constant mean and variance over time and no underlying trend. ARIMA fundamentally requires stationarity because its mathematical assumptions only hold when the statistical properties of the data do not drift over time.</w:t>
      </w:r>
    </w:p>
    <w:p>
      <w:pPr>
        <w:spacing w:after="80"/>
        <w:ind w:left="283"/>
      </w:pPr>
      <w:r>
        <w:t>The test produces a p-value. If the p-value is below 0.05, we reject the null hypothesis that the series has a unit root and treat the data as stationary, so we set d equal to zero. If the p-value is above 0.05, the series is non-stationary, so we set d to one — meaning we differ the series once before fitting. This automated decision is wired directly into our order selection routine so the model adapts to whatever data it receives.</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38–44 — check_stationarity calls adfuller from statsmodels and returns the ADF statistic, p-value, and a boolean flag.</w:t>
      </w:r>
    </w:p>
    <w:p>
      <w:pPr>
        <w:spacing w:after="40"/>
        <w:ind w:left="567"/>
      </w:pPr>
      <w:r>
        <w:rPr>
          <w:rFonts w:ascii="Consolas" w:hAnsi="Consolas"/>
          <w:color w:val="3C3C3C"/>
          <w:sz w:val="20"/>
        </w:rPr>
        <w:t>• src/time_series.py lines 53–54 — inside select_order, d is set to 0 if the series is stationary, else 1.</w:t>
      </w:r>
    </w:p>
    <w:p>
      <w:pPr>
        <w:spacing w:before="280" w:after="80"/>
      </w:pPr>
      <w:r>
        <w:rPr>
          <w:b/>
          <w:color w:val="1A3C6E"/>
          <w:sz w:val="24"/>
        </w:rPr>
        <w:t xml:space="preserve">Q3: </w:t>
      </w:r>
      <w:r>
        <w:rPr>
          <w:b/>
          <w:sz w:val="24"/>
        </w:rPr>
        <w:t>How did you find the best ARIMA order? Why use BIC and not AIC?</w:t>
      </w:r>
    </w:p>
    <w:p>
      <w:pPr>
        <w:spacing w:after="80"/>
        <w:ind w:left="283"/>
      </w:pPr>
      <w:r>
        <w:rPr>
          <w:b/>
          <w:color w:val="E8523A"/>
        </w:rPr>
        <w:t xml:space="preserve">Answer: </w:t>
      </w:r>
      <w:r>
        <w:t>We ran a grid search across every combination of p in the range 0 to 4 and q in the range 0 to 4, giving 24 candidate models in total (we skipped the degenerate p equals 0 and q equals 0 case because it would just predict the mean of the differenced series). For each candidate we fitted the ARIMA model on the training data and recorded its BIC value. We then selected the (p, d, q) combination with the lowest BIC as our final order.</w:t>
      </w:r>
    </w:p>
    <w:p>
      <w:pPr>
        <w:spacing w:after="80"/>
        <w:ind w:left="283"/>
      </w:pPr>
      <w:r>
        <w:t>We preferred BIC — the Bayesian Information Criterion — over AIC because BIC penalises model complexity more heavily as the sample size grows. With over 500 months of data, AIC tends to pick overly complex models that fit the training data closely but generalise poorly to new data. BIC pushes us towards more parsimonious models, which is what we want for forecasting two years into the future.</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47–75 — select_order: BIC grid search.</w:t>
      </w:r>
    </w:p>
    <w:p>
      <w:pPr>
        <w:spacing w:after="40"/>
        <w:ind w:left="567"/>
      </w:pPr>
      <w:r>
        <w:rPr>
          <w:rFonts w:ascii="Consolas" w:hAnsi="Consolas"/>
          <w:color w:val="3C3C3C"/>
          <w:sz w:val="20"/>
        </w:rPr>
        <w:t>• Lines 61–62 — nested for-loops over p and q.</w:t>
      </w:r>
    </w:p>
    <w:p>
      <w:pPr>
        <w:spacing w:after="40"/>
        <w:ind w:left="567"/>
      </w:pPr>
      <w:r>
        <w:rPr>
          <w:rFonts w:ascii="Consolas" w:hAnsi="Consolas"/>
          <w:color w:val="3C3C3C"/>
          <w:sz w:val="20"/>
        </w:rPr>
        <w:t>• Line 68 — fits ARIMA(p, d, q) on the training series.</w:t>
      </w:r>
    </w:p>
    <w:p>
      <w:pPr>
        <w:spacing w:after="40"/>
        <w:ind w:left="567"/>
      </w:pPr>
      <w:r>
        <w:rPr>
          <w:rFonts w:ascii="Consolas" w:hAnsi="Consolas"/>
          <w:color w:val="3C3C3C"/>
          <w:sz w:val="20"/>
        </w:rPr>
        <w:t>• Lines 69–71 — tracks the (p, d, q) tuple with the lowest BIC.</w:t>
      </w:r>
    </w:p>
    <w:p>
      <w:pPr>
        <w:spacing w:before="280" w:after="80"/>
      </w:pPr>
      <w:r>
        <w:rPr>
          <w:b/>
          <w:color w:val="1A3C6E"/>
          <w:sz w:val="24"/>
        </w:rPr>
        <w:t xml:space="preserve">Q4: </w:t>
      </w:r>
      <w:r>
        <w:rPr>
          <w:b/>
          <w:sz w:val="24"/>
        </w:rPr>
        <w:t>Walk me through your evaluation metrics. Why these four?</w:t>
      </w:r>
    </w:p>
    <w:p>
      <w:pPr>
        <w:spacing w:after="80"/>
        <w:ind w:left="283"/>
      </w:pPr>
      <w:r>
        <w:rPr>
          <w:b/>
          <w:color w:val="E8523A"/>
        </w:rPr>
        <w:t xml:space="preserve">Answer: </w:t>
      </w:r>
      <w:r>
        <w:t>We used four metrics, each chosen for a specific reason.</w:t>
      </w:r>
    </w:p>
    <w:p>
      <w:pPr>
        <w:spacing w:after="80"/>
        <w:ind w:left="283"/>
      </w:pPr>
      <w:r>
        <w:t>MAE — Mean Absolute Error — is the simple average of the absolute differences between our predictions and the actual values. It is in the same units as the target (percentage points of inflation), so it is easy to interpret.</w:t>
      </w:r>
    </w:p>
    <w:p>
      <w:pPr>
        <w:spacing w:after="80"/>
        <w:ind w:left="283"/>
      </w:pPr>
      <w:r>
        <w:t>RMSE — Root Mean Square Error — also returns errors in the original units, but it penalises large errors more heavily because it squares them first. A model with one huge mistake will have a much worse RMSE than one with consistent small mistakes, even if their MAE is identical.</w:t>
      </w:r>
    </w:p>
    <w:p>
      <w:pPr>
        <w:spacing w:after="80"/>
        <w:ind w:left="283"/>
      </w:pPr>
      <w:r>
        <w:t>sMAPE — Symmetric Mean Absolute Percentage Error — gives the error as a percentage. We deliberately avoided regular MAPE because Malaysian YoY inflation regularly crosses zero — for example, deflation events during 2020. Regular MAPE divides by the actual value, so it explodes to infinity when inflation is near zero. sMAPE normalises by the sum of the magnitudes of actual and predicted, so it stays bounded between 0 and 200 percent.</w:t>
      </w:r>
    </w:p>
    <w:p>
      <w:pPr>
        <w:spacing w:after="80"/>
        <w:ind w:left="283"/>
      </w:pPr>
      <w:r>
        <w:t>MASE — Mean Absolute Scaled Error — is the most important one. It divides our model's MAE by the in-sample MAE of a naive one-step random-walk forecast on the training data. A MASE below 1 means our ARIMA model beats the baseline of just repeating last month's value. A MASE above 1 means our model is worse than doing nothing intelligent. This makes MASE scale-free, comparable across different datasets, and immune to the zero-crossing problem.</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92–104 — _smape: handles the zero-crossing case by masking out points where the denominator is zero.</w:t>
      </w:r>
    </w:p>
    <w:p>
      <w:pPr>
        <w:spacing w:after="40"/>
        <w:ind w:left="567"/>
      </w:pPr>
      <w:r>
        <w:rPr>
          <w:rFonts w:ascii="Consolas" w:hAnsi="Consolas"/>
          <w:color w:val="3C3C3C"/>
          <w:sz w:val="20"/>
        </w:rPr>
        <w:t>• src/time_series.py lines 107–119 — _mase: computes naive_mae from the training series via np.diff, then scales the test MAE by it.</w:t>
      </w:r>
    </w:p>
    <w:p>
      <w:pPr>
        <w:spacing w:after="40"/>
        <w:ind w:left="567"/>
      </w:pPr>
      <w:r>
        <w:rPr>
          <w:rFonts w:ascii="Consolas" w:hAnsi="Consolas"/>
          <w:color w:val="3C3C3C"/>
          <w:sz w:val="20"/>
        </w:rPr>
        <w:t>• src/time_series.py lines 122–137 — evaluate_forecast: assembles all four metrics into a dictionary.</w:t>
      </w:r>
    </w:p>
    <w:p>
      <w:pPr>
        <w:spacing w:before="280" w:after="80"/>
      </w:pPr>
      <w:r>
        <w:rPr>
          <w:b/>
          <w:color w:val="1A3C6E"/>
          <w:sz w:val="24"/>
        </w:rPr>
        <w:t xml:space="preserve">Q5: </w:t>
      </w:r>
      <w:r>
        <w:rPr>
          <w:b/>
          <w:sz w:val="24"/>
        </w:rPr>
        <w:t>What is your naive baseline and why does every forecasting project need one?</w:t>
      </w:r>
    </w:p>
    <w:p>
      <w:pPr>
        <w:spacing w:after="80"/>
        <w:ind w:left="283"/>
      </w:pPr>
      <w:r>
        <w:rPr>
          <w:b/>
          <w:color w:val="E8523A"/>
        </w:rPr>
        <w:t xml:space="preserve">Answer: </w:t>
      </w:r>
      <w:r>
        <w:t>Our naive baseline is the random-walk forecast: we predict that the next 24 months will all equal the most recent observed value. It is implemented in three lines of code — literally np.repeat of the last training value.</w:t>
      </w:r>
    </w:p>
    <w:p>
      <w:pPr>
        <w:spacing w:after="80"/>
        <w:ind w:left="283"/>
      </w:pPr>
      <w:r>
        <w:t>Every forecasting project needs a baseline because metrics like RMSE are meaningless in isolation. An RMSE of 1.5 might be excellent for one dataset and terrible for another. By comparing our ARIMA's RMSE against the naive baseline's RMSE, we get a concrete answer to the question 'is our complex model actually adding value?' If ARIMA cannot beat the naive baseline, there is no point deploying it. In our case, ARIMA beats the naive baseline, which means MASE comes out below 1.</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140–142 — naive_forecast: returns np.repeat of the last training value for the requested number of steps.</w:t>
      </w:r>
    </w:p>
    <w:p>
      <w:pPr>
        <w:spacing w:after="40"/>
        <w:ind w:left="567"/>
      </w:pPr>
      <w:r>
        <w:rPr>
          <w:rFonts w:ascii="Consolas" w:hAnsi="Consolas"/>
          <w:color w:val="3C3C3C"/>
          <w:sz w:val="20"/>
        </w:rPr>
        <w:t>• src/time_series.py lines 553–554 in run_all — computes the naive prediction and evaluates it with the same metrics for a like-for-like comparison.</w:t>
      </w:r>
    </w:p>
    <w:p>
      <w:pPr>
        <w:spacing w:before="280" w:after="80"/>
      </w:pPr>
      <w:r>
        <w:rPr>
          <w:b/>
          <w:color w:val="1A3C6E"/>
          <w:sz w:val="24"/>
        </w:rPr>
        <w:t xml:space="preserve">Q6: </w:t>
      </w:r>
      <w:r>
        <w:rPr>
          <w:b/>
          <w:sz w:val="24"/>
        </w:rPr>
        <w:t>You ran an ARIMAX experiment with fuel as an exogenous variable. What did you find and why was the headline forecast still univariate?</w:t>
      </w:r>
    </w:p>
    <w:p>
      <w:pPr>
        <w:spacing w:after="80"/>
        <w:ind w:left="283"/>
      </w:pPr>
      <w:r>
        <w:rPr>
          <w:b/>
          <w:color w:val="E8523A"/>
        </w:rPr>
        <w:t xml:space="preserve">Answer: </w:t>
      </w:r>
      <w:r>
        <w:t>The ARIMAX experiment tests whether fuel prices provide predictive signal beyond what ARIMA already extracts from inflation's own history. We fit two models on the same fuel-CPI overlap window: an ARIMAX, which uses the average monthly fuel price as an exogenous regressor, and a plain univariate ARIMA with no fuel input. Both use the same order so the comparison is fair. We then compare their RMSE on a held-out 24-month test period.</w:t>
      </w:r>
    </w:p>
    <w:p>
      <w:pPr>
        <w:spacing w:after="80"/>
        <w:ind w:left="283"/>
      </w:pPr>
      <w:r>
        <w:t>The result tells us how much fuel improves short-horizon prediction. We also extracted the fuel coefficient and its p-value from a full-window refit to check statistical significance.</w:t>
      </w:r>
    </w:p>
    <w:p>
      <w:pPr>
        <w:spacing w:after="80"/>
        <w:ind w:left="283"/>
      </w:pPr>
      <w:r>
        <w:t>Despite the explanatory power, the headline two-year forecast deliberately remains univariate. The honest reason is that ARIMAX needs future values of the exogenous variable to generate forecasts, and we cannot know future fuel prices — that is its own forecasting problem. Using ARIMAX for the headline forecast would require us to forecast fuel prices first and then feed those uncertain forecasts into the inflation model, compounding the error. The honest trade-off is: ARIMAX is good for explanation, ARIMA is good for operational forecasting.</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173–265 — compute_fuel_exog_model: full ARIMAX vs ARIMA comparison logic.</w:t>
      </w:r>
    </w:p>
    <w:p>
      <w:pPr>
        <w:spacing w:after="40"/>
        <w:ind w:left="567"/>
      </w:pPr>
      <w:r>
        <w:rPr>
          <w:rFonts w:ascii="Consolas" w:hAnsi="Consolas"/>
          <w:color w:val="3C3C3C"/>
          <w:sz w:val="20"/>
        </w:rPr>
        <w:t>• Lines 183–186 — the inline comment that documents this explanatory-vs-operational trade-off.</w:t>
      </w:r>
    </w:p>
    <w:p>
      <w:pPr>
        <w:spacing w:after="40"/>
        <w:ind w:left="567"/>
      </w:pPr>
      <w:r>
        <w:rPr>
          <w:rFonts w:ascii="Consolas" w:hAnsi="Consolas"/>
          <w:color w:val="3C3C3C"/>
          <w:sz w:val="20"/>
        </w:rPr>
        <w:t>• Lines 225–229 — fits ARIMAX with X_train as the exogenous matrix and evaluates on X_test.</w:t>
      </w:r>
    </w:p>
    <w:p>
      <w:pPr>
        <w:spacing w:after="40"/>
        <w:ind w:left="567"/>
      </w:pPr>
      <w:r>
        <w:rPr>
          <w:rFonts w:ascii="Consolas" w:hAnsi="Consolas"/>
          <w:color w:val="3C3C3C"/>
          <w:sz w:val="20"/>
        </w:rPr>
        <w:t>• Lines 242–248 — refits on the full series to extract fuel coefficients and p-values.</w:t>
      </w:r>
    </w:p>
    <w:p>
      <w:pPr>
        <w:spacing w:before="280" w:after="80"/>
      </w:pPr>
      <w:r>
        <w:rPr>
          <w:b/>
          <w:color w:val="1A3C6E"/>
          <w:sz w:val="24"/>
        </w:rPr>
        <w:t xml:space="preserve">Q7: </w:t>
      </w:r>
      <w:r>
        <w:rPr>
          <w:b/>
          <w:sz w:val="24"/>
        </w:rPr>
        <w:t>Explain the data cleaning pipeline for the national CPI dataset.</w:t>
      </w:r>
    </w:p>
    <w:p>
      <w:pPr>
        <w:spacing w:after="80"/>
        <w:ind w:left="283"/>
      </w:pPr>
      <w:r>
        <w:rPr>
          <w:b/>
          <w:color w:val="E8523A"/>
        </w:rPr>
        <w:t xml:space="preserve">Answer: </w:t>
      </w:r>
      <w:r>
        <w:t>The raw OpenDOSM file cpi_2d_inflation.csv contains monthly records for 13 spending divisions like Food, Transport, and Health, plus an 'overall' row, all going back to 1980. We did the following cleaning steps.</w:t>
      </w:r>
    </w:p>
    <w:p>
      <w:pPr>
        <w:spacing w:after="80"/>
        <w:ind w:left="283"/>
      </w:pPr>
      <w:r>
        <w:t>First, we parsed the date column as a pandas datetime so we could do time-based operations. Second, we converted the inflation_yoy and inflation_mom columns to numeric, telling pandas to coerce any non-numeric entries to NaN rather than raising an exception. Third, we mapped the two-digit division codes like '01' to human-readable labels like 'Food and Non-Alcoholic Beverages' using a hard-coded dictionary.</w:t>
      </w:r>
    </w:p>
    <w:p>
      <w:pPr>
        <w:spacing w:after="80"/>
        <w:ind w:left="283"/>
      </w:pPr>
      <w:r>
        <w:t>For the ARIMA model specifically, we extracted only the rows where division equals 'overall' and dropped any rows with NaN in inflation_yoy. This handles the start of the series in 1980 where the year-on-year value is undefined because there is no prior year to compare against.</w:t>
      </w:r>
    </w:p>
    <w:p>
      <w:pPr>
        <w:spacing w:after="80"/>
        <w:ind w:left="283"/>
      </w:pPr>
      <w:r>
        <w:rPr>
          <w:b/>
          <w:i/>
          <w:color w:val="646464"/>
        </w:rPr>
        <w:t xml:space="preserve">Code reference: </w:t>
      </w:r>
    </w:p>
    <w:p>
      <w:pPr>
        <w:spacing w:after="40"/>
        <w:ind w:left="567"/>
      </w:pPr>
      <w:r>
        <w:rPr>
          <w:rFonts w:ascii="Consolas" w:hAnsi="Consolas"/>
          <w:color w:val="3C3C3C"/>
          <w:sz w:val="20"/>
        </w:rPr>
        <w:t>• src/preprocessing.py lines 21–36 — DIVISION_LABELS dictionary.</w:t>
      </w:r>
    </w:p>
    <w:p>
      <w:pPr>
        <w:spacing w:after="40"/>
        <w:ind w:left="567"/>
      </w:pPr>
      <w:r>
        <w:rPr>
          <w:rFonts w:ascii="Consolas" w:hAnsi="Consolas"/>
          <w:color w:val="3C3C3C"/>
          <w:sz w:val="20"/>
        </w:rPr>
        <w:t>• src/preprocessing.py lines 39–49 — load_cpi_inflation function.</w:t>
      </w:r>
    </w:p>
    <w:p>
      <w:pPr>
        <w:spacing w:after="40"/>
        <w:ind w:left="567"/>
      </w:pPr>
      <w:r>
        <w:rPr>
          <w:rFonts w:ascii="Consolas" w:hAnsi="Consolas"/>
          <w:color w:val="3C3C3C"/>
          <w:sz w:val="20"/>
        </w:rPr>
        <w:t>• src/preprocessing.py lines 93–100 — build_overall_inflation extracts the ARIMA-ready series.</w:t>
      </w:r>
    </w:p>
    <w:p>
      <w:pPr>
        <w:spacing w:before="280" w:after="80"/>
      </w:pPr>
      <w:r>
        <w:rPr>
          <w:b/>
          <w:color w:val="1A3C6E"/>
          <w:sz w:val="24"/>
        </w:rPr>
        <w:t xml:space="preserve">Q8: </w:t>
      </w:r>
      <w:r>
        <w:rPr>
          <w:b/>
          <w:sz w:val="24"/>
        </w:rPr>
        <w:t>Why is the test set the last 24 months and not a random 20% of the data?</w:t>
      </w:r>
    </w:p>
    <w:p>
      <w:pPr>
        <w:spacing w:after="80"/>
        <w:ind w:left="283"/>
      </w:pPr>
      <w:r>
        <w:rPr>
          <w:b/>
          <w:color w:val="E8523A"/>
        </w:rPr>
        <w:t xml:space="preserve">Answer: </w:t>
      </w:r>
      <w:r>
        <w:t>Time series data has temporal order, and any model evaluation must respect that order. If we randomly sampled 20% of months for the test set, the model would see months from 2024 during training and then be asked to predict months from 2018 — this is called data leakage from the future, and it makes the evaluation meaningless because real forecasting only ever has access to the past.</w:t>
      </w:r>
    </w:p>
    <w:p>
      <w:pPr>
        <w:spacing w:after="80"/>
        <w:ind w:left="283"/>
      </w:pPr>
      <w:r>
        <w:t>We held out the last 24 months chronologically because it simulates the real deployment scenario: we have all data up to a cut-off date and need to forecast the months that follow. We chose 24 months specifically because it is long enough to capture seasonal patterns and short-term economic cycles, while still leaving over 500 months of training data. It also matches our forecast horizon, so the evaluation directly tells us how well the model would have performed if deployed two years ago.</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88–89 — train_test_split_ts uses .iloc slicing on the series with no shuffling.</w:t>
      </w:r>
    </w:p>
    <w:p>
      <w:pPr>
        <w:spacing w:after="40"/>
        <w:ind w:left="567"/>
      </w:pPr>
      <w:r>
        <w:rPr>
          <w:rFonts w:ascii="Consolas" w:hAnsi="Consolas"/>
          <w:color w:val="3C3C3C"/>
          <w:sz w:val="20"/>
        </w:rPr>
        <w:t>• src/time_series.py line 34 — TEST_MONTHS = 24 constant.</w:t>
      </w:r>
    </w:p>
    <w:p>
      <w:pPr>
        <w:spacing w:before="280" w:after="80"/>
      </w:pPr>
      <w:r>
        <w:rPr>
          <w:b/>
          <w:color w:val="1A3C6E"/>
          <w:sz w:val="24"/>
        </w:rPr>
        <w:t xml:space="preserve">Q9: </w:t>
      </w:r>
      <w:r>
        <w:rPr>
          <w:b/>
          <w:sz w:val="24"/>
        </w:rPr>
        <w:t>How does your model decide when to skip the BIC grid search? What is the caching logic?</w:t>
      </w:r>
    </w:p>
    <w:p>
      <w:pPr>
        <w:spacing w:after="80"/>
        <w:ind w:left="283"/>
      </w:pPr>
      <w:r>
        <w:rPr>
          <w:b/>
          <w:color w:val="E8523A"/>
        </w:rPr>
        <w:t xml:space="preserve">Answer: </w:t>
      </w:r>
      <w:r>
        <w:t>The BIC grid search is expensive — it fits up to 24 ARIMA models, which can take several minutes on the full series. We cache the previously found order in outputs/models/arima_results.json. On the next run, if the file exists and contains a valid three-element tuple, we reuse that order and skip the grid search entirely. Deleting the JSON file forces a fresh search, which is what you do if the input data has changed substantially.</w:t>
      </w:r>
    </w:p>
    <w:p>
      <w:pPr>
        <w:spacing w:after="80"/>
        <w:ind w:left="283"/>
      </w:pPr>
      <w:r>
        <w:t>We extend this idea to skip the model refit too: if the cached order matches AND the current series length matches the cached series length, we know nothing has changed and we can reuse the train/test metrics, the forecast, and the pre-fitted model that was saved as a pickle file. This makes re-running the pipeline almost instant when the data has not changed.</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497–516 — the cache read logic in run_all.</w:t>
      </w:r>
    </w:p>
    <w:p>
      <w:pPr>
        <w:spacing w:after="40"/>
        <w:ind w:left="567"/>
      </w:pPr>
      <w:r>
        <w:rPr>
          <w:rFonts w:ascii="Consolas" w:hAnsi="Consolas"/>
          <w:color w:val="3C3C3C"/>
          <w:sz w:val="20"/>
        </w:rPr>
        <w:t>• Lines 519–547 — the broader cache-reuse decision when series length matches.</w:t>
      </w:r>
    </w:p>
    <w:p>
      <w:pPr>
        <w:spacing w:after="40"/>
        <w:ind w:left="567"/>
      </w:pPr>
      <w:r>
        <w:rPr>
          <w:rFonts w:ascii="Consolas" w:hAnsi="Consolas"/>
          <w:color w:val="3C3C3C"/>
          <w:sz w:val="20"/>
        </w:rPr>
        <w:t>• Lines 568–572 — the freshly fitted full-series model is saved to arima_fitted.pkl for future reuse.</w:t>
      </w:r>
    </w:p>
    <w:p>
      <w:pPr>
        <w:spacing w:before="280" w:after="80"/>
      </w:pPr>
      <w:r>
        <w:rPr>
          <w:b/>
          <w:color w:val="1A3C6E"/>
          <w:sz w:val="24"/>
        </w:rPr>
        <w:t xml:space="preserve">Q10: </w:t>
      </w:r>
      <w:r>
        <w:rPr>
          <w:b/>
          <w:sz w:val="24"/>
        </w:rPr>
        <w:t>What would you do differently if you had more time?</w:t>
      </w:r>
    </w:p>
    <w:p>
      <w:pPr>
        <w:spacing w:after="80"/>
        <w:ind w:left="283"/>
      </w:pPr>
      <w:r>
        <w:rPr>
          <w:b/>
          <w:color w:val="E8523A"/>
        </w:rPr>
        <w:t xml:space="preserve">Answer: </w:t>
      </w:r>
      <w:r>
        <w:t>Three things. First, I would extend ARIMA to SARIMA — Seasonal ARIMA — to explicitly model annual cycles. Malaysian inflation has seasonal patterns tied to school holidays, festive periods like Hari Raya, and end-of-year consumption. A seasonal term would let the model capture these without having to express them through pure autoregression.</w:t>
      </w:r>
    </w:p>
    <w:p>
      <w:pPr>
        <w:spacing w:after="80"/>
        <w:ind w:left="283"/>
      </w:pPr>
      <w:r>
        <w:t>Second, I would use a rolling-origin evaluation instead of a single train/test split. This means re-fitting the model multiple times, each time on a different chronological window, and averaging the errors. It gives a much more robust estimate of generalisation than a single 24-month test.</w:t>
      </w:r>
    </w:p>
    <w:p>
      <w:pPr>
        <w:spacing w:after="80"/>
        <w:ind w:left="283"/>
      </w:pPr>
      <w:r>
        <w:t>Third, I would explore a hybrid forecasting approach where the long-horizon univariate ARIMA is combined with a short-horizon ARIMAX for the first three or six months, where future fuel prices can reasonably be assumed close to the latest observed level.</w:t>
      </w:r>
    </w:p>
    <w:p>
      <w:r>
        <w:br w:type="page"/>
      </w:r>
    </w:p>
    <w:p>
      <w:pPr>
        <w:pBdr>
          <w:bottom w:val="single" w:sz="12" w:space="4" w:color="1A3C6E"/>
        </w:pBdr>
      </w:pPr>
      <w:r>
        <w:rPr>
          <w:b/>
          <w:color w:val="1A3C6E"/>
          <w:sz w:val="36"/>
        </w:rPr>
        <w:t>Section 2 — Kelvin Wen Kiong FONG (102782287)</w:t>
      </w:r>
    </w:p>
    <w:p>
      <w:pPr>
        <w:spacing w:before="240" w:after="120"/>
      </w:pPr>
      <w:r>
        <w:rPr>
          <w:b/>
          <w:color w:val="E8523A"/>
          <w:sz w:val="28"/>
        </w:rPr>
        <w:t>Role: State Grouping Lead (Clustering)</w:t>
      </w:r>
    </w:p>
    <w:tbl>
      <w:tblPr>
        <w:tblStyle w:val="LightGrid-Accent1"/>
        <w:tblW w:type="auto" w:w="0"/>
        <w:tblLook w:firstColumn="1" w:firstRow="1" w:lastColumn="0" w:lastRow="0" w:noHBand="0" w:noVBand="1" w:val="04A0"/>
      </w:tblPr>
      <w:tblGrid>
        <w:gridCol w:w="9746"/>
      </w:tblGrid>
      <w:tr>
        <w:tc>
          <w:tcPr>
            <w:tcW w:type="dxa" w:w="9746"/>
          </w:tcPr>
          <w:p>
            <w:r>
              <w:rPr>
                <w:b/>
              </w:rPr>
              <w:t xml:space="preserve">AI Role: </w:t>
            </w:r>
            <w:r>
              <w:rPr>
                <w:sz w:val="22"/>
              </w:rPr>
              <w:t>State Grouping Lead — engineered five socioeconomic features per state, standardised them, built both K-Means and Hierarchical clustering, selected the optimal number of groups using three metrics, validated results with quality scores, and produced all clustering visualisations.</w:t>
            </w:r>
          </w:p>
        </w:tc>
      </w:tr>
      <w:tr>
        <w:tc>
          <w:tcPr>
            <w:tcW w:type="dxa" w:w="9746"/>
          </w:tcPr>
          <w:p>
            <w:r>
              <w:rPr>
                <w:b/>
              </w:rPr>
              <w:t xml:space="preserve">Primary Files: </w:t>
            </w:r>
            <w:r>
              <w:rPr>
                <w:i/>
                <w:sz w:val="22"/>
              </w:rPr>
              <w:t>src/preprocessing.py (state CPI + income loaders, feature engineering), src/clustering.py (all clustering logic and charts)</w:t>
            </w:r>
          </w:p>
        </w:tc>
      </w:tr>
    </w:tbl>
    <w:p/>
    <w:p>
      <w:pPr>
        <w:spacing w:before="240" w:after="120"/>
      </w:pPr>
      <w:r>
        <w:rPr>
          <w:b/>
          <w:color w:val="E8523A"/>
          <w:sz w:val="24"/>
        </w:rPr>
        <w:t>What Kelvin Did</w:t>
      </w:r>
    </w:p>
    <w:p>
      <w:pPr>
        <w:pStyle w:val="ListBullet"/>
      </w:pPr>
      <w:r>
        <w:t>Collected and cleaned price and household-income data for all 16 Malaysian states.</w:t>
      </w:r>
    </w:p>
    <w:p>
      <w:pPr>
        <w:pStyle w:val="ListBullet"/>
      </w:pPr>
      <w:r>
        <w:t>Engineered five descriptive measures per state: price level, price growth, price stability, mean income, and median income.</w:t>
      </w:r>
    </w:p>
    <w:p>
      <w:pPr>
        <w:pStyle w:val="ListBullet"/>
      </w:pPr>
      <w:r>
        <w:t>Standardised all features to a common scale so they could be compared fairly.</w:t>
      </w:r>
    </w:p>
    <w:p>
      <w:pPr>
        <w:pStyle w:val="ListBullet"/>
      </w:pPr>
      <w:r>
        <w:t>Built two different grouping methods (K-Means and Ward Hierarchical) and used three checks to decide the best number of groups.</w:t>
      </w:r>
    </w:p>
    <w:p>
      <w:pPr>
        <w:pStyle w:val="ListBullet"/>
      </w:pPr>
      <w:r>
        <w:t>Reduced data to 2D using PCA for visualisation, then assigned each group a clear, meaningful semantic name based on income ordering.</w:t>
      </w:r>
    </w:p>
    <w:p>
      <w:pPr>
        <w:pStyle w:val="ListBullet"/>
      </w:pPr>
      <w:r>
        <w:t>Validated groupings with three quality scores to confirm clusters were genuine and consistent across both methods.</w:t>
      </w:r>
    </w:p>
    <w:p>
      <w:pPr>
        <w:pStyle w:val="ListBullet"/>
      </w:pPr>
      <w:r>
        <w:t>Produced all clustering charts including elbow plots, PCA scatters, cluster profile heatmaps, and dendrograms.</w:t>
      </w:r>
    </w:p>
    <w:p>
      <w:pPr>
        <w:spacing w:before="240" w:after="120"/>
      </w:pPr>
      <w:r>
        <w:rPr>
          <w:b/>
          <w:color w:val="E8523A"/>
          <w:sz w:val="26"/>
        </w:rPr>
        <w:t>Likely Questions &amp; Detailed Answers</w:t>
      </w:r>
    </w:p>
    <w:p>
      <w:pPr>
        <w:spacing w:before="280" w:after="80"/>
      </w:pPr>
      <w:r>
        <w:rPr>
          <w:b/>
          <w:color w:val="1A3C6E"/>
          <w:sz w:val="24"/>
        </w:rPr>
        <w:t xml:space="preserve">Q1: </w:t>
      </w:r>
      <w:r>
        <w:rPr>
          <w:b/>
          <w:sz w:val="24"/>
        </w:rPr>
        <w:t>What is clustering and what specific question are you answering for the states?</w:t>
      </w:r>
    </w:p>
    <w:p>
      <w:pPr>
        <w:spacing w:after="80"/>
        <w:ind w:left="283"/>
      </w:pPr>
      <w:r>
        <w:rPr>
          <w:b/>
          <w:color w:val="E8523A"/>
        </w:rPr>
        <w:t xml:space="preserve">Answer: </w:t>
      </w:r>
      <w:r>
        <w:t>Clustering is an unsupervised machine learning technique that groups data points so that points within the same group are more similar to each other than to points in other groups. Unlike classification, there are no labels — the algorithm discovers structure in the data on its own.</w:t>
      </w:r>
    </w:p>
    <w:p>
      <w:pPr>
        <w:spacing w:after="80"/>
        <w:ind w:left="283"/>
      </w:pPr>
      <w:r>
        <w:t>Our specific question is: which Malaysian states share similar cost-of-living profiles? Instead of treating all 16 states individually or lumping them all together, clustering reveals natural socioeconomic tiers — for example, high-income urban states with high CPI versus low-income rural states with lower CPI. This is directly useful for government policy because interventions can be designed for groups rather than crafted state by state.</w:t>
      </w:r>
    </w:p>
    <w:p>
      <w:pPr>
        <w:spacing w:before="280" w:after="80"/>
      </w:pPr>
      <w:r>
        <w:rPr>
          <w:b/>
          <w:color w:val="1A3C6E"/>
          <w:sz w:val="24"/>
        </w:rPr>
        <w:t xml:space="preserve">Q2: </w:t>
      </w:r>
      <w:r>
        <w:rPr>
          <w:b/>
          <w:sz w:val="24"/>
        </w:rPr>
        <w:t>Walk me through the five features you engineered. Why those five?</w:t>
      </w:r>
    </w:p>
    <w:p>
      <w:pPr>
        <w:spacing w:after="80"/>
        <w:ind w:left="283"/>
      </w:pPr>
      <w:r>
        <w:rPr>
          <w:b/>
          <w:color w:val="E8523A"/>
        </w:rPr>
        <w:t xml:space="preserve">Answer: </w:t>
      </w:r>
      <w:r>
        <w:t>We engineered five features that together capture both the price environment and the income environment of each state.</w:t>
      </w:r>
    </w:p>
    <w:p>
      <w:pPr>
        <w:spacing w:after="80"/>
        <w:ind w:left="283"/>
      </w:pPr>
      <w:r>
        <w:t>First, mean_cpi_index — the average overall CPI index across all available months. This captures the absolute price level of the state. A higher value means goods generally cost more there.</w:t>
      </w:r>
    </w:p>
    <w:p>
      <w:pPr>
        <w:spacing w:after="80"/>
        <w:ind w:left="283"/>
      </w:pPr>
      <w:r>
        <w:t>Second, cpi_growth_rate — the percentage change in the CPI index from the earliest to the latest month. This measures how much prices have grown over the observation window.</w:t>
      </w:r>
    </w:p>
    <w:p>
      <w:pPr>
        <w:spacing w:after="80"/>
        <w:ind w:left="283"/>
      </w:pPr>
      <w:r>
        <w:t>Third, cpi_volatility — the standard deviation of monthly CPI. This is a proxy for price stability. A state with low volatility has predictable prices; a state with high volatility experiences shocks.</w:t>
      </w:r>
    </w:p>
    <w:p>
      <w:pPr>
        <w:spacing w:after="80"/>
        <w:ind w:left="283"/>
      </w:pPr>
      <w:r>
        <w:t>Fourth, income_mean_latest — the most recent survey mean household income. This represents purchasing power but is sensitive to high earners.</w:t>
      </w:r>
    </w:p>
    <w:p>
      <w:pPr>
        <w:spacing w:after="80"/>
        <w:ind w:left="283"/>
      </w:pPr>
      <w:r>
        <w:t>Fifth, income_median_latest — the most recent median income. This is more representative of the typical household because medians are not skewed by outliers.</w:t>
      </w:r>
    </w:p>
    <w:p>
      <w:pPr>
        <w:spacing w:after="80"/>
        <w:ind w:left="283"/>
      </w:pPr>
      <w:r>
        <w:t>We included both mean and median income deliberately. If a state has a few very wealthy households, mean income may misrepresent the typical resident's purchasing power, but median income tells the truer story. Including both lets the algorithm pick up on income inequality patterns automatically.</w:t>
      </w:r>
    </w:p>
    <w:p>
      <w:pPr>
        <w:spacing w:after="80"/>
        <w:ind w:left="283"/>
      </w:pPr>
      <w:r>
        <w:rPr>
          <w:b/>
          <w:i/>
          <w:color w:val="646464"/>
        </w:rPr>
        <w:t xml:space="preserve">Code reference: </w:t>
      </w:r>
    </w:p>
    <w:p>
      <w:pPr>
        <w:spacing w:after="40"/>
        <w:ind w:left="567"/>
      </w:pPr>
      <w:r>
        <w:rPr>
          <w:rFonts w:ascii="Consolas" w:hAnsi="Consolas"/>
          <w:color w:val="3C3C3C"/>
          <w:sz w:val="20"/>
        </w:rPr>
        <w:t>• src/preprocessing.py lines 103–140 — build_state_features assembles all five features into one row per state.</w:t>
      </w:r>
    </w:p>
    <w:p>
      <w:pPr>
        <w:spacing w:after="40"/>
        <w:ind w:left="567"/>
      </w:pPr>
      <w:r>
        <w:rPr>
          <w:rFonts w:ascii="Consolas" w:hAnsi="Consolas"/>
          <w:color w:val="3C3C3C"/>
          <w:sz w:val="20"/>
        </w:rPr>
        <w:t>• src/clustering.py lines 35–41 — FEATURE_COLS list defines what the clustering algorithm sees.</w:t>
      </w:r>
    </w:p>
    <w:p>
      <w:pPr>
        <w:spacing w:before="280" w:after="80"/>
      </w:pPr>
      <w:r>
        <w:rPr>
          <w:b/>
          <w:color w:val="1A3C6E"/>
          <w:sz w:val="24"/>
        </w:rPr>
        <w:t xml:space="preserve">Q3: </w:t>
      </w:r>
      <w:r>
        <w:rPr>
          <w:b/>
          <w:sz w:val="24"/>
        </w:rPr>
        <w:t>Why must you standardise features before clustering? What happens if you don't?</w:t>
      </w:r>
    </w:p>
    <w:p>
      <w:pPr>
        <w:spacing w:after="80"/>
        <w:ind w:left="283"/>
      </w:pPr>
      <w:r>
        <w:rPr>
          <w:b/>
          <w:color w:val="E8523A"/>
        </w:rPr>
        <w:t xml:space="preserve">Answer: </w:t>
      </w:r>
      <w:r>
        <w:t>Clustering algorithms compute distances between data points. K-Means uses Euclidean distance; Ward linkage uses variance. Distance calculations are scale-sensitive: a feature with large numerical values will dominate the computation simply because of its scale, not because of its informational importance.</w:t>
      </w:r>
    </w:p>
    <w:p>
      <w:pPr>
        <w:spacing w:after="80"/>
        <w:ind w:left="283"/>
      </w:pPr>
      <w:r>
        <w:t>Look at our features. CPI index values are around 100 to 150. Mean income is in the thousands of Ringgit Malaysia — say 5,000 to 12,000. Growth rate is a percentage, maybe 20 to 40 percent. Without standardisation, income would utterly dominate the distance calculation. The algorithm would essentially be clustering by income alone, and the four other features would make almost no difference.</w:t>
      </w:r>
    </w:p>
    <w:p>
      <w:pPr>
        <w:spacing w:after="80"/>
        <w:ind w:left="283"/>
      </w:pPr>
      <w:r>
        <w:t>We applied StandardScaler, which transforms each feature to have zero mean and unit variance. After scaling, all five features contribute equally to the distance metric, and the algorithm can find structure that depends on the combination of all five.</w:t>
      </w:r>
    </w:p>
    <w:p>
      <w:pPr>
        <w:spacing w:after="80"/>
        <w:ind w:left="283"/>
      </w:pPr>
      <w:r>
        <w:rPr>
          <w:b/>
          <w:i/>
          <w:color w:val="646464"/>
        </w:rPr>
        <w:t xml:space="preserve">Code reference: </w:t>
      </w:r>
    </w:p>
    <w:p>
      <w:pPr>
        <w:spacing w:after="40"/>
        <w:ind w:left="567"/>
      </w:pPr>
      <w:r>
        <w:rPr>
          <w:rFonts w:ascii="Consolas" w:hAnsi="Consolas"/>
          <w:color w:val="3C3C3C"/>
          <w:sz w:val="20"/>
        </w:rPr>
        <w:t>• src/clustering.py lines 45–49 — prepare_features applies StandardScaler from sklearn.preprocessing and returns both the scaled array and the fitted scaler (so it can be inverted later if needed).</w:t>
      </w:r>
    </w:p>
    <w:p>
      <w:pPr>
        <w:spacing w:before="280" w:after="80"/>
      </w:pPr>
      <w:r>
        <w:rPr>
          <w:b/>
          <w:color w:val="1A3C6E"/>
          <w:sz w:val="24"/>
        </w:rPr>
        <w:t xml:space="preserve">Q4: </w:t>
      </w:r>
      <w:r>
        <w:rPr>
          <w:b/>
          <w:sz w:val="24"/>
        </w:rPr>
        <w:t>How did you choose the optimal number of clusters? You mentioned three checks.</w:t>
      </w:r>
    </w:p>
    <w:p>
      <w:pPr>
        <w:spacing w:after="80"/>
        <w:ind w:left="283"/>
      </w:pPr>
      <w:r>
        <w:rPr>
          <w:b/>
          <w:color w:val="E8523A"/>
        </w:rPr>
        <w:t xml:space="preserve">Answer: </w:t>
      </w:r>
      <w:r>
        <w:t>We tested k values from 2 to 8. Why 8 as the upper limit? With only 16 states, having k equal to 8 already means each cluster averages just two members, which is the practical lower bound for a meaningful group. Going higher would produce singleton clusters.</w:t>
      </w:r>
    </w:p>
    <w:p>
      <w:pPr>
        <w:spacing w:after="80"/>
        <w:ind w:left="283"/>
      </w:pPr>
      <w:r>
        <w:t>For each k, we computed three quality metrics. The first is the Silhouette score, which ranges from -1 to +1. A score near +1 means points are tightly packed within their own cluster and far from other clusters. A score near zero means clusters overlap. We treated Silhouette as the primary criterion and selected the k that maximised it.</w:t>
      </w:r>
    </w:p>
    <w:p>
      <w:pPr>
        <w:spacing w:after="80"/>
        <w:ind w:left="283"/>
      </w:pPr>
      <w:r>
        <w:t>The second is the Davies-Bouldin index, where lower is better. It measures the average ratio of within-cluster scatter to between-cluster separation. A small value means clusters are compact and well separated.</w:t>
      </w:r>
    </w:p>
    <w:p>
      <w:pPr>
        <w:spacing w:after="80"/>
        <w:ind w:left="283"/>
      </w:pPr>
      <w:r>
        <w:t>The third is the Calinski-Harabasz score, where higher is better. It's the ratio of between-cluster dispersion to within-cluster dispersion.</w:t>
      </w:r>
    </w:p>
    <w:p>
      <w:pPr>
        <w:spacing w:after="80"/>
        <w:ind w:left="283"/>
      </w:pPr>
      <w:r>
        <w:t>We also tracked Inertia — the within-cluster sum of squares — for the classical Elbow Method, where you look for the 'kink' point where adding more clusters stops dramatically reducing inertia.</w:t>
      </w:r>
    </w:p>
    <w:p>
      <w:pPr>
        <w:spacing w:after="80"/>
        <w:ind w:left="283"/>
      </w:pPr>
      <w:r>
        <w:rPr>
          <w:b/>
          <w:i/>
          <w:color w:val="646464"/>
        </w:rPr>
        <w:t xml:space="preserve">Code reference: </w:t>
      </w:r>
    </w:p>
    <w:p>
      <w:pPr>
        <w:spacing w:after="40"/>
        <w:ind w:left="567"/>
      </w:pPr>
      <w:r>
        <w:rPr>
          <w:rFonts w:ascii="Consolas" w:hAnsi="Consolas"/>
          <w:color w:val="3C3C3C"/>
          <w:sz w:val="20"/>
        </w:rPr>
        <w:t>• src/clustering.py lines 52–72 — elbow_and_silhouette: the grid search computing all four metrics for k from 2 to 8.</w:t>
      </w:r>
    </w:p>
    <w:p>
      <w:pPr>
        <w:spacing w:after="40"/>
        <w:ind w:left="567"/>
      </w:pPr>
      <w:r>
        <w:rPr>
          <w:rFonts w:ascii="Consolas" w:hAnsi="Consolas"/>
          <w:color w:val="3C3C3C"/>
          <w:sz w:val="20"/>
        </w:rPr>
        <w:t>• src/clustering.py line 64 — best_k is selected as the k that maximises silhouette: np.argmax(silhouettes).</w:t>
      </w:r>
    </w:p>
    <w:p>
      <w:pPr>
        <w:spacing w:after="40"/>
        <w:ind w:left="567"/>
      </w:pPr>
      <w:r>
        <w:rPr>
          <w:rFonts w:ascii="Consolas" w:hAnsi="Consolas"/>
          <w:color w:val="3C3C3C"/>
          <w:sz w:val="20"/>
        </w:rPr>
        <w:t>• src/clustering.py line 42 — MAX_K constant explicitly set to 8.</w:t>
      </w:r>
    </w:p>
    <w:p>
      <w:pPr>
        <w:spacing w:before="280" w:after="80"/>
      </w:pPr>
      <w:r>
        <w:rPr>
          <w:b/>
          <w:color w:val="1A3C6E"/>
          <w:sz w:val="24"/>
        </w:rPr>
        <w:t xml:space="preserve">Q5: </w:t>
      </w:r>
      <w:r>
        <w:rPr>
          <w:b/>
          <w:sz w:val="24"/>
        </w:rPr>
        <w:t>Why did you use K-Means AND Hierarchical clustering? Is one not enough?</w:t>
      </w:r>
    </w:p>
    <w:p>
      <w:pPr>
        <w:spacing w:after="80"/>
        <w:ind w:left="283"/>
      </w:pPr>
      <w:r>
        <w:rPr>
          <w:b/>
          <w:color w:val="E8523A"/>
        </w:rPr>
        <w:t xml:space="preserve">Answer: </w:t>
      </w:r>
      <w:r>
        <w:t>Each method makes different mathematical assumptions, so using both gives us a robustness check.</w:t>
      </w:r>
    </w:p>
    <w:p>
      <w:pPr>
        <w:spacing w:after="80"/>
        <w:ind w:left="283"/>
      </w:pPr>
      <w:r>
        <w:t>K-Means assumes clusters are roughly spherical and similar in size. It requires you to specify k upfront and is computationally efficient. It works well when the underlying groups have well-defined centres.</w:t>
      </w:r>
    </w:p>
    <w:p>
      <w:pPr>
        <w:spacing w:after="80"/>
        <w:ind w:left="283"/>
      </w:pPr>
      <w:r>
        <w:t>Hierarchical clustering with Ward linkage builds a tree of merges by iteratively combining the two clusters whose union produces the smallest increase in total within-cluster variance. It does not assume any particular cluster shape, and it produces a dendrogram that visualises the full hierarchy of merges. You can decide k after seeing the dendrogram, by cutting it at different heights.</w:t>
      </w:r>
    </w:p>
    <w:p>
      <w:pPr>
        <w:spacing w:after="80"/>
        <w:ind w:left="283"/>
      </w:pPr>
      <w:r>
        <w:t>If both methods produce similar cluster assignments for the same data, we gain confidence that the structure we found is real and not an artefact of either algorithm's assumptions. This is essentially methodological triangulation. In our results, both methods produce consistent clusterings, which validates the conclusion.</w:t>
      </w:r>
    </w:p>
    <w:p>
      <w:pPr>
        <w:spacing w:after="80"/>
        <w:ind w:left="283"/>
      </w:pPr>
      <w:r>
        <w:rPr>
          <w:b/>
          <w:i/>
          <w:color w:val="646464"/>
        </w:rPr>
        <w:t xml:space="preserve">Code reference: </w:t>
      </w:r>
    </w:p>
    <w:p>
      <w:pPr>
        <w:spacing w:after="40"/>
        <w:ind w:left="567"/>
      </w:pPr>
      <w:r>
        <w:rPr>
          <w:rFonts w:ascii="Consolas" w:hAnsi="Consolas"/>
          <w:color w:val="3C3C3C"/>
          <w:sz w:val="20"/>
        </w:rPr>
        <w:t>• src/clustering.py lines 75–78 — fit_kmeans with random_state=42 and n_init=10 for reproducibility.</w:t>
      </w:r>
    </w:p>
    <w:p>
      <w:pPr>
        <w:spacing w:after="40"/>
        <w:ind w:left="567"/>
      </w:pPr>
      <w:r>
        <w:rPr>
          <w:rFonts w:ascii="Consolas" w:hAnsi="Consolas"/>
          <w:color w:val="3C3C3C"/>
          <w:sz w:val="20"/>
        </w:rPr>
        <w:t>• src/clustering.py lines 81–84 — fit_hierarchical using AgglomerativeClustering with linkage='ward'.</w:t>
      </w:r>
    </w:p>
    <w:p>
      <w:pPr>
        <w:spacing w:before="280" w:after="80"/>
      </w:pPr>
      <w:r>
        <w:rPr>
          <w:b/>
          <w:color w:val="1A3C6E"/>
          <w:sz w:val="24"/>
        </w:rPr>
        <w:t xml:space="preserve">Q6: </w:t>
      </w:r>
      <w:r>
        <w:rPr>
          <w:b/>
          <w:sz w:val="24"/>
        </w:rPr>
        <w:t>Why Ward linkage specifically? There are other linkage methods.</w:t>
      </w:r>
    </w:p>
    <w:p>
      <w:pPr>
        <w:spacing w:after="80"/>
        <w:ind w:left="283"/>
      </w:pPr>
      <w:r>
        <w:rPr>
          <w:b/>
          <w:color w:val="E8523A"/>
        </w:rPr>
        <w:t xml:space="preserve">Answer: </w:t>
      </w:r>
      <w:r>
        <w:t>There are several linkage methods in hierarchical clustering. Single linkage merges based on the closest pair of points between clusters, which creates long, chain-like clusters and is sensitive to noise. Complete linkage uses the farthest pair, which tends to produce tight, compact clusters but can ignore natural elongated structure. Average linkage falls in between.</w:t>
      </w:r>
    </w:p>
    <w:p>
      <w:pPr>
        <w:spacing w:after="80"/>
        <w:ind w:left="283"/>
      </w:pPr>
      <w:r>
        <w:t>Ward linkage works differently — it merges the pair of clusters whose union minimises the increase in total within-cluster variance. This produces compact, roughly spherical, and relatively balanced clusters. For socioeconomic data where we expect groups of similar size and where balanced groupings make policy sense, Ward is empirically the best-performing choice. It also pairs naturally with K-Means because both methods minimise within-cluster variance, so they tend to converge on similar solutions.</w:t>
      </w:r>
    </w:p>
    <w:p>
      <w:pPr>
        <w:spacing w:after="80"/>
        <w:ind w:left="283"/>
      </w:pPr>
      <w:r>
        <w:rPr>
          <w:b/>
          <w:i/>
          <w:color w:val="646464"/>
        </w:rPr>
        <w:t xml:space="preserve">Code reference: </w:t>
      </w:r>
    </w:p>
    <w:p>
      <w:pPr>
        <w:spacing w:after="40"/>
        <w:ind w:left="567"/>
      </w:pPr>
      <w:r>
        <w:rPr>
          <w:rFonts w:ascii="Consolas" w:hAnsi="Consolas"/>
          <w:color w:val="3C3C3C"/>
          <w:sz w:val="20"/>
        </w:rPr>
        <w:t>• src/clustering.py line 82 — AgglomerativeClustering(n_clusters=k, linkage='ward').</w:t>
      </w:r>
    </w:p>
    <w:p>
      <w:pPr>
        <w:spacing w:after="40"/>
        <w:ind w:left="567"/>
      </w:pPr>
      <w:r>
        <w:rPr>
          <w:rFonts w:ascii="Consolas" w:hAnsi="Consolas"/>
          <w:color w:val="3C3C3C"/>
          <w:sz w:val="20"/>
        </w:rPr>
        <w:t>• src/clustering.py line 229 — the dendrogram uses Ward linkage too (scipy.cluster.hierarchy.linkage with method='ward').</w:t>
      </w:r>
    </w:p>
    <w:p>
      <w:pPr>
        <w:spacing w:before="280" w:after="80"/>
      </w:pPr>
      <w:r>
        <w:rPr>
          <w:b/>
          <w:color w:val="1A3C6E"/>
          <w:sz w:val="24"/>
        </w:rPr>
        <w:t xml:space="preserve">Q7: </w:t>
      </w:r>
      <w:r>
        <w:rPr>
          <w:b/>
          <w:sz w:val="24"/>
        </w:rPr>
        <w:t>Explain PCA and why you used it. The original data was already 5-dimensional — why reduce further?</w:t>
      </w:r>
    </w:p>
    <w:p>
      <w:pPr>
        <w:spacing w:after="80"/>
        <w:ind w:left="283"/>
      </w:pPr>
      <w:r>
        <w:rPr>
          <w:b/>
          <w:color w:val="E8523A"/>
        </w:rPr>
        <w:t xml:space="preserve">Answer: </w:t>
      </w:r>
      <w:r>
        <w:t>Principal Component Analysis is a dimensionality reduction technique. It finds new axes (called principal components) that are linear combinations of the original features and chosen so that the first axis captures as much variance in the data as possible, the second axis captures as much remaining variance as possible while being orthogonal to the first, and so on.</w:t>
      </w:r>
    </w:p>
    <w:p>
      <w:pPr>
        <w:spacing w:after="80"/>
        <w:ind w:left="283"/>
      </w:pPr>
      <w:r>
        <w:t>We used PCA for visualisation only — not for clustering itself. The clustering algorithm sees all five original standardised features. But humans cannot visualise 5-D space. By projecting onto the first two principal components, we get a 2D scatter plot where each state is a point. The plot's axes are PC1 and PC2, and we label them with the percentage of variance they explain so the viewer knows how faithful the projection is.</w:t>
      </w:r>
    </w:p>
    <w:p>
      <w:pPr>
        <w:spacing w:after="80"/>
        <w:ind w:left="283"/>
      </w:pPr>
      <w:r>
        <w:t>Typically PC1 and PC2 together explain 70 to 90 percent of the variance for our data, which means the 2D view is a reasonable approximation of the full 5D structure. Clusters that look well-separated in the 2D plot really are well-separated in 5D, and clusters that look mixed in 2D are often a sign that the projection is losing important information on PC3 or beyond.</w:t>
      </w:r>
    </w:p>
    <w:p>
      <w:pPr>
        <w:spacing w:after="80"/>
        <w:ind w:left="283"/>
      </w:pPr>
      <w:r>
        <w:rPr>
          <w:b/>
          <w:i/>
          <w:color w:val="646464"/>
        </w:rPr>
        <w:t xml:space="preserve">Code reference: </w:t>
      </w:r>
    </w:p>
    <w:p>
      <w:pPr>
        <w:spacing w:after="40"/>
        <w:ind w:left="567"/>
      </w:pPr>
      <w:r>
        <w:rPr>
          <w:rFonts w:ascii="Consolas" w:hAnsi="Consolas"/>
          <w:color w:val="3C3C3C"/>
          <w:sz w:val="20"/>
        </w:rPr>
        <w:t>• src/clustering.py lines 87–91 — pca_transform: fits PCA with n_components=2 and random_state=42.</w:t>
      </w:r>
    </w:p>
    <w:p>
      <w:pPr>
        <w:spacing w:after="40"/>
        <w:ind w:left="567"/>
      </w:pPr>
      <w:r>
        <w:rPr>
          <w:rFonts w:ascii="Consolas" w:hAnsi="Consolas"/>
          <w:color w:val="3C3C3C"/>
          <w:sz w:val="20"/>
        </w:rPr>
        <w:t>• src/clustering.py lines 176–178 — the plot displays variance percentages on the axis labels.</w:t>
      </w:r>
    </w:p>
    <w:p>
      <w:pPr>
        <w:spacing w:before="280" w:after="80"/>
      </w:pPr>
      <w:r>
        <w:rPr>
          <w:b/>
          <w:color w:val="1A3C6E"/>
          <w:sz w:val="24"/>
        </w:rPr>
        <w:t xml:space="preserve">Q8: </w:t>
      </w:r>
      <w:r>
        <w:rPr>
          <w:b/>
          <w:sz w:val="24"/>
        </w:rPr>
        <w:t>Walk me through your semantic labelling. How did you decide which cluster is 'high income'?</w:t>
      </w:r>
    </w:p>
    <w:p>
      <w:pPr>
        <w:spacing w:after="80"/>
        <w:ind w:left="283"/>
      </w:pPr>
      <w:r>
        <w:rPr>
          <w:b/>
          <w:color w:val="E8523A"/>
        </w:rPr>
        <w:t xml:space="preserve">Answer: </w:t>
      </w:r>
      <w:r>
        <w:t>After clustering, the algorithm just gives us integer labels like 0, 1, 2, 3 — which are meaningless to a policy reader. We needed labels like 'High Income and High CPI' that communicate what each cluster represents.</w:t>
      </w:r>
    </w:p>
    <w:p>
      <w:pPr>
        <w:spacing w:after="80"/>
        <w:ind w:left="283"/>
      </w:pPr>
      <w:r>
        <w:t>Our approach is: for each cluster, compute the mean income across all member states. Then sort the clusters in ascending order of mean income. The cluster with the lowest mean income is labelled 'Low Income and Low CPI', the next one up is 'Mid-Low Income and Mid-Low CPI', then 'Mid-High Income and High CPI', and finally 'High Income and High CPI'.</w:t>
      </w:r>
    </w:p>
    <w:p>
      <w:pPr>
        <w:spacing w:after="80"/>
        <w:ind w:left="283"/>
      </w:pPr>
      <w:r>
        <w:t>This labelling works because in Malaysia, state-level CPI and state-level income are strongly correlated. Higher-income states like Kuala Lumpur Federal Territory and Selangor have higher price levels because more purchasing power drives prices up. Lower-income states like Kelantan and Perlis have lower price levels. The income-based ordering therefore matches the price-based ordering, which is why we can use combined labels.</w:t>
      </w:r>
    </w:p>
    <w:p>
      <w:pPr>
        <w:spacing w:after="80"/>
        <w:ind w:left="283"/>
      </w:pPr>
      <w:r>
        <w:rPr>
          <w:b/>
          <w:i/>
          <w:color w:val="646464"/>
        </w:rPr>
        <w:t xml:space="preserve">Code reference: </w:t>
      </w:r>
    </w:p>
    <w:p>
      <w:pPr>
        <w:spacing w:after="40"/>
        <w:ind w:left="567"/>
      </w:pPr>
      <w:r>
        <w:rPr>
          <w:rFonts w:ascii="Consolas" w:hAnsi="Consolas"/>
          <w:color w:val="3C3C3C"/>
          <w:sz w:val="20"/>
        </w:rPr>
        <w:t>• src/clustering.py lines 94–113 — assign_semantic_labels function.</w:t>
      </w:r>
    </w:p>
    <w:p>
      <w:pPr>
        <w:spacing w:after="40"/>
        <w:ind w:left="567"/>
      </w:pPr>
      <w:r>
        <w:rPr>
          <w:rFonts w:ascii="Consolas" w:hAnsi="Consolas"/>
          <w:color w:val="3C3C3C"/>
          <w:sz w:val="20"/>
        </w:rPr>
        <w:t>• Line 101 — orders clusters by mean income using argsort on the income_mean_latest column.</w:t>
      </w:r>
    </w:p>
    <w:p>
      <w:pPr>
        <w:spacing w:after="40"/>
        <w:ind w:left="567"/>
      </w:pPr>
      <w:r>
        <w:rPr>
          <w:rFonts w:ascii="Consolas" w:hAnsi="Consolas"/>
          <w:color w:val="3C3C3C"/>
          <w:sz w:val="20"/>
        </w:rPr>
        <w:t>• Lines 103–108 — the four pre-defined semantic labels assigned in order.</w:t>
      </w:r>
    </w:p>
    <w:p>
      <w:pPr>
        <w:spacing w:before="280" w:after="80"/>
      </w:pPr>
      <w:r>
        <w:rPr>
          <w:b/>
          <w:color w:val="1A3C6E"/>
          <w:sz w:val="24"/>
        </w:rPr>
        <w:t xml:space="preserve">Q9: </w:t>
      </w:r>
      <w:r>
        <w:rPr>
          <w:b/>
          <w:sz w:val="24"/>
        </w:rPr>
        <w:t>What does your dendrogram tell you that the K-Means scatter plot does not?</w:t>
      </w:r>
    </w:p>
    <w:p>
      <w:pPr>
        <w:spacing w:after="80"/>
        <w:ind w:left="283"/>
      </w:pPr>
      <w:r>
        <w:rPr>
          <w:b/>
          <w:color w:val="E8523A"/>
        </w:rPr>
        <w:t xml:space="preserve">Answer: </w:t>
      </w:r>
      <w:r>
        <w:t>The dendrogram is the tree diagram produced by hierarchical clustering. It shows every merge step from the bottom (each state as its own cluster) to the top (one big cluster containing all states). The height of each merge indicates how dissimilar the two merging clusters were.</w:t>
      </w:r>
    </w:p>
    <w:p>
      <w:pPr>
        <w:spacing w:after="80"/>
        <w:ind w:left="283"/>
      </w:pPr>
      <w:r>
        <w:t>What the dendrogram adds beyond a scatter plot is the hierarchy of similarity. We can see not just which states are in the same cluster, but WHICH states are most similar within that cluster, and which clusters merge next to form super-clusters. For example, we can see that two states might be in the same final cluster, but one of them is actually closer to a state in a different cluster — which is information the K-Means scatter would not expose.</w:t>
      </w:r>
    </w:p>
    <w:p>
      <w:pPr>
        <w:spacing w:after="80"/>
        <w:ind w:left="283"/>
      </w:pPr>
      <w:r>
        <w:t>Cutting the dendrogram at different heights gives different numbers of clusters, so it also serves as a visual tool for choosing k. We coloured the dendrogram with a colour threshold at 70% of the maximum distance to highlight the natural cluster boundaries.</w:t>
      </w:r>
    </w:p>
    <w:p>
      <w:pPr>
        <w:spacing w:after="80"/>
        <w:ind w:left="283"/>
      </w:pPr>
      <w:r>
        <w:rPr>
          <w:b/>
          <w:i/>
          <w:color w:val="646464"/>
        </w:rPr>
        <w:t xml:space="preserve">Code reference: </w:t>
      </w:r>
    </w:p>
    <w:p>
      <w:pPr>
        <w:spacing w:after="40"/>
        <w:ind w:left="567"/>
      </w:pPr>
      <w:r>
        <w:rPr>
          <w:rFonts w:ascii="Consolas" w:hAnsi="Consolas"/>
          <w:color w:val="3C3C3C"/>
          <w:sz w:val="20"/>
        </w:rPr>
        <w:t>• src/clustering.py lines 228–241 — plot_dendrogram using scipy's dendrogram with Ward linkage and a colour threshold at 70% of max distance.</w:t>
      </w:r>
    </w:p>
    <w:p>
      <w:pPr>
        <w:spacing w:after="40"/>
        <w:ind w:left="567"/>
      </w:pPr>
      <w:r>
        <w:rPr>
          <w:rFonts w:ascii="Consolas" w:hAnsi="Consolas"/>
          <w:color w:val="3C3C3C"/>
          <w:sz w:val="20"/>
        </w:rPr>
        <w:t>• src/clustering.py lines 302–312 — exports dendrogram coordinates as JSON so the web dashboard can render an interactive hoverable version.</w:t>
      </w:r>
    </w:p>
    <w:p>
      <w:pPr>
        <w:spacing w:before="280" w:after="80"/>
      </w:pPr>
      <w:r>
        <w:rPr>
          <w:b/>
          <w:color w:val="1A3C6E"/>
          <w:sz w:val="24"/>
        </w:rPr>
        <w:t xml:space="preserve">Q10: </w:t>
      </w:r>
      <w:r>
        <w:rPr>
          <w:b/>
          <w:sz w:val="24"/>
        </w:rPr>
        <w:t>How do you defend the choice of MAX_K = 8?</w:t>
      </w:r>
    </w:p>
    <w:p>
      <w:pPr>
        <w:spacing w:after="80"/>
        <w:ind w:left="283"/>
      </w:pPr>
      <w:r>
        <w:rPr>
          <w:b/>
          <w:color w:val="E8523A"/>
        </w:rPr>
        <w:t xml:space="preserve">Answer: </w:t>
      </w:r>
      <w:r>
        <w:t>MAX_K is the upper bound of our grid search for the best k. We set it to 8 based on a sample-size rule of thumb: k should not exceed roughly half the number of data points, because beyond that each cluster has too few members to be statistically meaningful or policy-useful.</w:t>
      </w:r>
    </w:p>
    <w:p>
      <w:pPr>
        <w:spacing w:after="80"/>
        <w:ind w:left="283"/>
      </w:pPr>
      <w:r>
        <w:t>With 16 states, k equal to 8 means each cluster averages just two states. Going higher — k of 10 or 12, say — would produce singletons or pairs, which defeats the purpose of clustering. The whole point is to find groups with shared characteristics that the government can address as a unit. A cluster with one state is just that state on its own. So 8 is the practical upper limit, and in practice the silhouette score peaks well before we get there.</w:t>
      </w:r>
    </w:p>
    <w:p>
      <w:pPr>
        <w:spacing w:after="80"/>
        <w:ind w:left="283"/>
      </w:pPr>
      <w:r>
        <w:rPr>
          <w:b/>
          <w:i/>
          <w:color w:val="646464"/>
        </w:rPr>
        <w:t xml:space="preserve">Code reference: </w:t>
      </w:r>
    </w:p>
    <w:p>
      <w:pPr>
        <w:spacing w:after="40"/>
        <w:ind w:left="567"/>
      </w:pPr>
      <w:r>
        <w:rPr>
          <w:rFonts w:ascii="Consolas" w:hAnsi="Consolas"/>
          <w:color w:val="3C3C3C"/>
          <w:sz w:val="20"/>
        </w:rPr>
        <w:t>• src/clustering.py line 42 — MAX_K = 8 with the comment '16 states → max sensible k is ~half the sample size'.</w:t>
      </w:r>
    </w:p>
    <w:p>
      <w:r>
        <w:br w:type="page"/>
      </w:r>
    </w:p>
    <w:p>
      <w:pPr>
        <w:pBdr>
          <w:bottom w:val="single" w:sz="12" w:space="4" w:color="1A3C6E"/>
        </w:pBdr>
      </w:pPr>
      <w:r>
        <w:rPr>
          <w:b/>
          <w:color w:val="1A3C6E"/>
          <w:sz w:val="36"/>
        </w:rPr>
        <w:t>Section 3 — Nigel Zi Jun LING (102779140)</w:t>
      </w:r>
    </w:p>
    <w:p>
      <w:pPr>
        <w:spacing w:before="240" w:after="120"/>
      </w:pPr>
      <w:r>
        <w:rPr>
          <w:b/>
          <w:color w:val="E8523A"/>
          <w:sz w:val="28"/>
        </w:rPr>
        <w:t>Role: Cross-Analysis &amp; Validation</w:t>
      </w:r>
    </w:p>
    <w:tbl>
      <w:tblPr>
        <w:tblStyle w:val="LightGrid-Accent1"/>
        <w:tblW w:type="auto" w:w="0"/>
        <w:tblLook w:firstColumn="1" w:firstRow="1" w:lastColumn="0" w:lastRow="0" w:noHBand="0" w:noVBand="1" w:val="04A0"/>
      </w:tblPr>
      <w:tblGrid>
        <w:gridCol w:w="9746"/>
      </w:tblGrid>
      <w:tr>
        <w:tc>
          <w:tcPr>
            <w:tcW w:type="dxa" w:w="9746"/>
          </w:tcPr>
          <w:p>
            <w:r>
              <w:rPr>
                <w:b/>
              </w:rPr>
              <w:t xml:space="preserve">AI Role: </w:t>
            </w:r>
            <w:r>
              <w:rPr>
                <w:sz w:val="22"/>
              </w:rPr>
              <w:t>Cross-Analysis &amp; Validation — connected the forecasting and clustering work by analysing fuel-price relationships with inflation, building comparison charts across states and categories, and verifying every key figure against official 2022 government statistics.</w:t>
            </w:r>
          </w:p>
        </w:tc>
      </w:tr>
      <w:tr>
        <w:tc>
          <w:tcPr>
            <w:tcW w:type="dxa" w:w="9746"/>
          </w:tcPr>
          <w:p>
            <w:r>
              <w:rPr>
                <w:b/>
              </w:rPr>
              <w:t xml:space="preserve">Primary Files: </w:t>
            </w:r>
            <w:r>
              <w:rPr>
                <w:i/>
                <w:sz w:val="22"/>
              </w:rPr>
              <w:t>src/preprocessing.py (fuel-price loader), src/time_series.py (fuel correlation), src/evaluation.py (cross-analysis visualisations)</w:t>
            </w:r>
          </w:p>
        </w:tc>
      </w:tr>
    </w:tbl>
    <w:p/>
    <w:p>
      <w:pPr>
        <w:spacing w:before="240" w:after="120"/>
      </w:pPr>
      <w:r>
        <w:rPr>
          <w:b/>
          <w:color w:val="E8523A"/>
          <w:sz w:val="24"/>
        </w:rPr>
        <w:t>What Nigel Did</w:t>
      </w:r>
    </w:p>
    <w:p>
      <w:pPr>
        <w:pStyle w:val="ListBullet"/>
      </w:pPr>
      <w:r>
        <w:t>Collected and cleaned the weekly fuel-price data from OpenDOSM and converted it to monthly frequency to align with the inflation data.</w:t>
      </w:r>
    </w:p>
    <w:p>
      <w:pPr>
        <w:pStyle w:val="ListBullet"/>
      </w:pPr>
      <w:r>
        <w:t>Measured how closely fuel prices move with inflation, both in the same month (contemporaneous) and one month later (lag-1), for RON95, RON97, and Diesel.</w:t>
      </w:r>
    </w:p>
    <w:p>
      <w:pPr>
        <w:pStyle w:val="ListBullet"/>
      </w:pPr>
      <w:r>
        <w:t>Built state-by-state CPI growth comparison charts to highlight regional disparities.</w:t>
      </w:r>
    </w:p>
    <w:p>
      <w:pPr>
        <w:pStyle w:val="ListBullet"/>
      </w:pPr>
      <w:r>
        <w:t>Built a category-by-year inflation heatmap to identify when and where inflation was hottest across spending divisions.</w:t>
      </w:r>
    </w:p>
    <w:p>
      <w:pPr>
        <w:pStyle w:val="ListBullet"/>
      </w:pPr>
      <w:r>
        <w:t>Created an income-versus-inflation scatter chart coloured by state cluster, tying the forecasting and grouping results together.</w:t>
      </w:r>
    </w:p>
    <w:p>
      <w:pPr>
        <w:pStyle w:val="ListBullet"/>
      </w:pPr>
      <w:r>
        <w:t>Cross-checked every key figure against the official Department of Statistics Malaysia (DOSM) 2022 published numbers to validate the pipeline.</w:t>
      </w:r>
    </w:p>
    <w:p>
      <w:pPr>
        <w:spacing w:before="240" w:after="120"/>
      </w:pPr>
      <w:r>
        <w:rPr>
          <w:b/>
          <w:color w:val="E8523A"/>
          <w:sz w:val="26"/>
        </w:rPr>
        <w:t>Likely Questions &amp; Detailed Answers</w:t>
      </w:r>
    </w:p>
    <w:p>
      <w:pPr>
        <w:spacing w:before="280" w:after="80"/>
      </w:pPr>
      <w:r>
        <w:rPr>
          <w:b/>
          <w:color w:val="1A3C6E"/>
          <w:sz w:val="24"/>
        </w:rPr>
        <w:t xml:space="preserve">Q1: </w:t>
      </w:r>
      <w:r>
        <w:rPr>
          <w:b/>
          <w:sz w:val="24"/>
        </w:rPr>
        <w:t>Why did you need to convert the fuel price data from weekly to monthly?</w:t>
      </w:r>
    </w:p>
    <w:p>
      <w:pPr>
        <w:spacing w:after="80"/>
        <w:ind w:left="283"/>
      </w:pPr>
      <w:r>
        <w:rPr>
          <w:b/>
          <w:color w:val="E8523A"/>
        </w:rPr>
        <w:t xml:space="preserve">Answer: </w:t>
      </w:r>
      <w:r>
        <w:t>Our CPI inflation data is recorded monthly — each row is one month, one country-level value. The fuel price data from OpenDOSM is published weekly. To measure the relationship between fuel prices and inflation, both series must share the same time frequency, otherwise we cannot align them in a merge.</w:t>
      </w:r>
    </w:p>
    <w:p>
      <w:pPr>
        <w:spacing w:after="80"/>
        <w:ind w:left="283"/>
      </w:pPr>
      <w:r>
        <w:t>We chose to downsample fuel from weekly to monthly rather than upsample inflation, because aggregating a higher-frequency series to a lower-frequency series is statistically sound (you just take the mean within each month), whereas upsampling would require us to invent intra-month inflation values we do not have.</w:t>
      </w:r>
    </w:p>
    <w:p>
      <w:pPr>
        <w:spacing w:after="80"/>
        <w:ind w:left="283"/>
      </w:pPr>
      <w:r>
        <w:t>Specifically, we used pandas' resample with the 'MS' frequency code, which stands for month-start, and applied the mean aggregation. So every weekly price in January gets averaged into one January value. We also computed an avg_fuel column that is the mean across all three fuel types, which is our summary indicator for the correlation analysis.</w:t>
      </w:r>
    </w:p>
    <w:p>
      <w:pPr>
        <w:spacing w:after="80"/>
        <w:ind w:left="283"/>
      </w:pPr>
      <w:r>
        <w:rPr>
          <w:b/>
          <w:i/>
          <w:color w:val="646464"/>
        </w:rPr>
        <w:t xml:space="preserve">Code reference: </w:t>
      </w:r>
    </w:p>
    <w:p>
      <w:pPr>
        <w:spacing w:after="40"/>
        <w:ind w:left="567"/>
      </w:pPr>
      <w:r>
        <w:rPr>
          <w:rFonts w:ascii="Consolas" w:hAnsi="Consolas"/>
          <w:color w:val="3C3C3C"/>
          <w:sz w:val="20"/>
        </w:rPr>
        <w:t>• src/preprocessing.py lines 65–79 — load_fuelprice function.</w:t>
      </w:r>
    </w:p>
    <w:p>
      <w:pPr>
        <w:spacing w:after="40"/>
        <w:ind w:left="567"/>
      </w:pPr>
      <w:r>
        <w:rPr>
          <w:rFonts w:ascii="Consolas" w:hAnsi="Consolas"/>
          <w:color w:val="3C3C3C"/>
          <w:sz w:val="20"/>
        </w:rPr>
        <w:t>• Line 72 — filters to series_type == 'level' to exclude index and percentage change rows.</w:t>
      </w:r>
    </w:p>
    <w:p>
      <w:pPr>
        <w:spacing w:after="40"/>
        <w:ind w:left="567"/>
      </w:pPr>
      <w:r>
        <w:rPr>
          <w:rFonts w:ascii="Consolas" w:hAnsi="Consolas"/>
          <w:color w:val="3C3C3C"/>
          <w:sz w:val="20"/>
        </w:rPr>
        <w:t>• Line 77 — df.set_index('date').resample('MS').mean() does the weekly-to-monthly conversion.</w:t>
      </w:r>
    </w:p>
    <w:p>
      <w:pPr>
        <w:spacing w:after="40"/>
        <w:ind w:left="567"/>
      </w:pPr>
      <w:r>
        <w:rPr>
          <w:rFonts w:ascii="Consolas" w:hAnsi="Consolas"/>
          <w:color w:val="3C3C3C"/>
          <w:sz w:val="20"/>
        </w:rPr>
        <w:t>• Line 78 — computes avg_fuel as the mean across ron95, ron97, and diesel.</w:t>
      </w:r>
    </w:p>
    <w:p>
      <w:pPr>
        <w:spacing w:before="280" w:after="80"/>
      </w:pPr>
      <w:r>
        <w:rPr>
          <w:b/>
          <w:color w:val="1A3C6E"/>
          <w:sz w:val="24"/>
        </w:rPr>
        <w:t xml:space="preserve">Q2: </w:t>
      </w:r>
      <w:r>
        <w:rPr>
          <w:b/>
          <w:sz w:val="24"/>
        </w:rPr>
        <w:t>What is Pearson correlation and what specifically did you compute for fuel and inflation?</w:t>
      </w:r>
    </w:p>
    <w:p>
      <w:pPr>
        <w:spacing w:after="80"/>
        <w:ind w:left="283"/>
      </w:pPr>
      <w:r>
        <w:rPr>
          <w:b/>
          <w:color w:val="E8523A"/>
        </w:rPr>
        <w:t xml:space="preserve">Answer: </w:t>
      </w:r>
      <w:r>
        <w:t>Pearson correlation, denoted r, measures the linear relationship between two variables. It ranges from minus one to plus one. A value of plus one means perfect positive correlation — when one variable goes up, the other always goes up by a proportional amount. Minus one means perfect inverse. Zero means no linear relationship.</w:t>
      </w:r>
    </w:p>
    <w:p>
      <w:pPr>
        <w:spacing w:after="80"/>
        <w:ind w:left="283"/>
      </w:pPr>
      <w:r>
        <w:t>We computed two correlations for each fuel type. The first is contemporaneous correlation: fuel price at month t versus inflation at month t. This tells us whether fuel and inflation move together in the same month. The second is lag-1 correlation: fuel at month t minus 1 versus inflation at month t. This tests whether fuel changes LEAD inflation changes by one month — that is, whether fuel price movements predict inflation movements with a delay.</w:t>
      </w:r>
    </w:p>
    <w:p>
      <w:pPr>
        <w:spacing w:after="80"/>
        <w:ind w:left="283"/>
      </w:pPr>
      <w:r>
        <w:t>We computed these for four fuel measures: RON95 (the most common consumer petrol), RON97 (premium petrol), Diesel (used by heavy transport), and avg_fuel (our composite indicator).</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145–170 — compute_fuel_correlation function.</w:t>
      </w:r>
    </w:p>
    <w:p>
      <w:pPr>
        <w:spacing w:after="40"/>
        <w:ind w:left="567"/>
      </w:pPr>
      <w:r>
        <w:rPr>
          <w:rFonts w:ascii="Consolas" w:hAnsi="Consolas"/>
          <w:color w:val="3C3C3C"/>
          <w:sz w:val="20"/>
        </w:rPr>
        <w:t>• Line 160 — contemporaneous: merged['inflation_yoy'].corr(merged[col]).</w:t>
      </w:r>
    </w:p>
    <w:p>
      <w:pPr>
        <w:spacing w:after="40"/>
        <w:ind w:left="567"/>
      </w:pPr>
      <w:r>
        <w:rPr>
          <w:rFonts w:ascii="Consolas" w:hAnsi="Consolas"/>
          <w:color w:val="3C3C3C"/>
          <w:sz w:val="20"/>
        </w:rPr>
        <w:t>• Line 161 — lag-1: inflation from index 1 onwards correlated with fuel from index 0 to second-last.</w:t>
      </w:r>
    </w:p>
    <w:p>
      <w:pPr>
        <w:spacing w:before="280" w:after="80"/>
      </w:pPr>
      <w:r>
        <w:rPr>
          <w:b/>
          <w:color w:val="1A3C6E"/>
          <w:sz w:val="24"/>
        </w:rPr>
        <w:t xml:space="preserve">Q3: </w:t>
      </w:r>
      <w:r>
        <w:rPr>
          <w:b/>
          <w:sz w:val="24"/>
        </w:rPr>
        <w:t>Why specifically lag-1? Why not lag-2 or lag-6?</w:t>
      </w:r>
    </w:p>
    <w:p>
      <w:pPr>
        <w:spacing w:after="80"/>
        <w:ind w:left="283"/>
      </w:pPr>
      <w:r>
        <w:rPr>
          <w:b/>
          <w:color w:val="E8523A"/>
        </w:rPr>
        <w:t xml:space="preserve">Answer: </w:t>
      </w:r>
      <w:r>
        <w:t>Lag-1 was chosen for a specific economic reason. When fuel prices rise, businesses do not immediately raise consumer prices — there is a pass-through delay while inventories from before the price change get sold, supply contracts get renegotiated, and businesses observe whether the price change is permanent. Empirical economic research suggests this transmission happens within one to two months for transport-related CPI components in most economies.</w:t>
      </w:r>
    </w:p>
    <w:p>
      <w:pPr>
        <w:spacing w:after="80"/>
        <w:ind w:left="283"/>
      </w:pPr>
      <w:r>
        <w:t>We picked lag-1 as the simplest test of this transmission mechanism. If the lag-1 correlation is notably stronger than the contemporaneous one, it supports the leading-indicator hypothesis. If they are similar, fuel and inflation move together with no clear leader. We chose not to add lag-2 or lag-6 to keep the analysis focused — too many lags would invite p-hacking concerns where we might pick whichever lag happens to be strongest.</w:t>
      </w:r>
    </w:p>
    <w:p>
      <w:pPr>
        <w:spacing w:before="280" w:after="80"/>
      </w:pPr>
      <w:r>
        <w:rPr>
          <w:b/>
          <w:color w:val="1A3C6E"/>
          <w:sz w:val="24"/>
        </w:rPr>
        <w:t xml:space="preserve">Q4: </w:t>
      </w:r>
      <w:r>
        <w:rPr>
          <w:b/>
          <w:sz w:val="24"/>
        </w:rPr>
        <w:t>Walk me through the fuel-CPI correlation chart you built.</w:t>
      </w:r>
    </w:p>
    <w:p>
      <w:pPr>
        <w:spacing w:after="80"/>
        <w:ind w:left="283"/>
      </w:pPr>
      <w:r>
        <w:rPr>
          <w:b/>
          <w:color w:val="E8523A"/>
        </w:rPr>
        <w:t xml:space="preserve">Answer: </w:t>
      </w:r>
      <w:r>
        <w:t>It is a two-panel chart. The left panel is a scatter plot. Each point represents one month: the x-coordinate is the average fuel price in Ringgit Malaysia per litre, and the y-coordinate is overall YoY inflation in percent. I drew an OLS regression line through the points and annotated it with the Pearson r and p-value. The visual gives an immediate sense of how tight the relationship is and which direction it goes.</w:t>
      </w:r>
    </w:p>
    <w:p>
      <w:pPr>
        <w:spacing w:after="80"/>
        <w:ind w:left="283"/>
      </w:pPr>
      <w:r>
        <w:t>The right panel is a grouped bar chart. The x-axis shows each fuel type — RON95, RON97, Diesel, and the composite avg_fuel. For each fuel type there are two bars side by side: the contemporaneous correlation and the lag-1 correlation. This makes it easy to see whether different fuel types behave differently and whether the lag-1 effect is consistently stronger or weaker.</w:t>
      </w:r>
    </w:p>
    <w:p>
      <w:pPr>
        <w:spacing w:after="80"/>
        <w:ind w:left="283"/>
      </w:pPr>
      <w:r>
        <w:rPr>
          <w:b/>
          <w:i/>
          <w:color w:val="646464"/>
        </w:rPr>
        <w:t xml:space="preserve">Code reference: </w:t>
      </w:r>
    </w:p>
    <w:p>
      <w:pPr>
        <w:spacing w:after="40"/>
        <w:ind w:left="567"/>
      </w:pPr>
      <w:r>
        <w:rPr>
          <w:rFonts w:ascii="Consolas" w:hAnsi="Consolas"/>
          <w:color w:val="3C3C3C"/>
          <w:sz w:val="20"/>
        </w:rPr>
        <w:t>• src/evaluation.py lines 49–95 — plot_fuel_cpi_correlation.</w:t>
      </w:r>
    </w:p>
    <w:p>
      <w:pPr>
        <w:spacing w:after="40"/>
        <w:ind w:left="567"/>
      </w:pPr>
      <w:r>
        <w:rPr>
          <w:rFonts w:ascii="Consolas" w:hAnsi="Consolas"/>
          <w:color w:val="3C3C3C"/>
          <w:sz w:val="20"/>
        </w:rPr>
        <w:t>• Lines 63–66 — uses scipy.stats.linregress to compute slope, intercept, and the r and p values shown on the chart.</w:t>
      </w:r>
    </w:p>
    <w:p>
      <w:pPr>
        <w:spacing w:after="40"/>
        <w:ind w:left="567"/>
      </w:pPr>
      <w:r>
        <w:rPr>
          <w:rFonts w:ascii="Consolas" w:hAnsi="Consolas"/>
          <w:color w:val="3C3C3C"/>
          <w:sz w:val="20"/>
        </w:rPr>
        <w:t>• Lines 75–88 — the side-by-side bar chart of contemporaneous vs lag-1 r for each fuel type.</w:t>
      </w:r>
    </w:p>
    <w:p>
      <w:pPr>
        <w:spacing w:before="280" w:after="80"/>
      </w:pPr>
      <w:r>
        <w:rPr>
          <w:b/>
          <w:color w:val="1A3C6E"/>
          <w:sz w:val="24"/>
        </w:rPr>
        <w:t xml:space="preserve">Q5: </w:t>
      </w:r>
      <w:r>
        <w:rPr>
          <w:b/>
          <w:sz w:val="24"/>
        </w:rPr>
        <w:t>Explain your division inflation heatmap. What insights does it surface?</w:t>
      </w:r>
    </w:p>
    <w:p>
      <w:pPr>
        <w:spacing w:after="80"/>
        <w:ind w:left="283"/>
      </w:pPr>
      <w:r>
        <w:rPr>
          <w:b/>
          <w:color w:val="E8523A"/>
        </w:rPr>
        <w:t xml:space="preserve">Answer: </w:t>
      </w:r>
      <w:r>
        <w:t>The heatmap visualises inflation across the two dimensions that matter most to a policymaker: which category of spending, and which year. Rows are the 13 CPI spending divisions — Food, Transport, Health, and so on. Columns are years from 2010 to the latest available year. Each cell shows the mean year-on-year inflation rate for that category in that year.</w:t>
      </w:r>
    </w:p>
    <w:p>
      <w:pPr>
        <w:spacing w:after="80"/>
        <w:ind w:left="283"/>
      </w:pPr>
      <w:r>
        <w:t>The colour scale is red-yellow-green reversed, centred on zero. Green cells mean low or negative inflation. Yellow is moderate. Red is high. Each cell also has the numeric value annotated for precision.</w:t>
      </w:r>
    </w:p>
    <w:p>
      <w:pPr>
        <w:spacing w:after="80"/>
        <w:ind w:left="283"/>
      </w:pPr>
      <w:r>
        <w:t>Several insights emerge from this view. The Transport row turns deep red in years when fuel subsidies were cut — for example, 2014 and 2022. The Food row shows inflation persistently above the overall rate after the COVID-19 pandemic. Some categories like Communication run consistently green, indicating long-term technology-driven deflation. This kind of pattern is almost impossible to see in a line chart but obvious in a heatmap.</w:t>
      </w:r>
    </w:p>
    <w:p>
      <w:pPr>
        <w:spacing w:after="80"/>
        <w:ind w:left="283"/>
      </w:pPr>
      <w:r>
        <w:rPr>
          <w:b/>
          <w:i/>
          <w:color w:val="646464"/>
        </w:rPr>
        <w:t xml:space="preserve">Code reference: </w:t>
      </w:r>
    </w:p>
    <w:p>
      <w:pPr>
        <w:spacing w:after="40"/>
        <w:ind w:left="567"/>
      </w:pPr>
      <w:r>
        <w:rPr>
          <w:rFonts w:ascii="Consolas" w:hAnsi="Consolas"/>
          <w:color w:val="3C3C3C"/>
          <w:sz w:val="20"/>
        </w:rPr>
        <w:t>• src/evaluation.py lines 132–154 — plot_division_inflation_heatmap.</w:t>
      </w:r>
    </w:p>
    <w:p>
      <w:pPr>
        <w:spacing w:after="40"/>
        <w:ind w:left="567"/>
      </w:pPr>
      <w:r>
        <w:rPr>
          <w:rFonts w:ascii="Consolas" w:hAnsi="Consolas"/>
          <w:color w:val="3C3C3C"/>
          <w:sz w:val="20"/>
        </w:rPr>
        <w:t>• Line 141 — pivot_table with rows=division_label, columns=year, values=mean of inflation_yoy.</w:t>
      </w:r>
    </w:p>
    <w:p>
      <w:pPr>
        <w:spacing w:after="40"/>
        <w:ind w:left="567"/>
      </w:pPr>
      <w:r>
        <w:rPr>
          <w:rFonts w:ascii="Consolas" w:hAnsi="Consolas"/>
          <w:color w:val="3C3C3C"/>
          <w:sz w:val="20"/>
        </w:rPr>
        <w:t>• Lines 144–145 — sns.heatmap with cmap='RdYlGn_r', centred on 0, with annotations enabled.</w:t>
      </w:r>
    </w:p>
    <w:p>
      <w:pPr>
        <w:spacing w:before="280" w:after="80"/>
      </w:pPr>
      <w:r>
        <w:rPr>
          <w:b/>
          <w:color w:val="1A3C6E"/>
          <w:sz w:val="24"/>
        </w:rPr>
        <w:t xml:space="preserve">Q6: </w:t>
      </w:r>
      <w:r>
        <w:rPr>
          <w:b/>
          <w:sz w:val="24"/>
        </w:rPr>
        <w:t>What does your state CPI comparison bar chart show?</w:t>
      </w:r>
    </w:p>
    <w:p>
      <w:pPr>
        <w:spacing w:after="80"/>
        <w:ind w:left="283"/>
      </w:pPr>
      <w:r>
        <w:rPr>
          <w:b/>
          <w:color w:val="E8523A"/>
        </w:rPr>
        <w:t xml:space="preserve">Answer: </w:t>
      </w:r>
      <w:r>
        <w:t>It is a horizontal bar chart with all 16 Malaysian states on the y-axis and CPI growth rate as a percentage on the x-axis. The growth rate is computed as the percentage change in each state's overall CPI index from the earliest month in our data (2010) to the latest available month.</w:t>
      </w:r>
    </w:p>
    <w:p>
      <w:pPr>
        <w:spacing w:after="80"/>
        <w:ind w:left="283"/>
      </w:pPr>
      <w:r>
        <w:t>Bars are coloured by whether the state is above or below the national median growth rate. Below-median states get a blue bar, above-median states get a red bar. A dashed vertical line marks the median itself, with its value in the legend.</w:t>
      </w:r>
    </w:p>
    <w:p>
      <w:pPr>
        <w:spacing w:after="80"/>
        <w:ind w:left="283"/>
      </w:pPr>
      <w:r>
        <w:t>This makes regional disparities immediately visible. States in the high-growth half (red) have experienced faster price increases over the decade, which suggests their residents have faced relatively worse cost-of-living pressure. States in the low-growth half (blue) have been more stable. This is direct input for targeted policy — for example, the government might consider higher cash subsidies for the high-growth states.</w:t>
      </w:r>
    </w:p>
    <w:p>
      <w:pPr>
        <w:spacing w:after="80"/>
        <w:ind w:left="283"/>
      </w:pPr>
      <w:r>
        <w:rPr>
          <w:b/>
          <w:i/>
          <w:color w:val="646464"/>
        </w:rPr>
        <w:t xml:space="preserve">Code reference: </w:t>
      </w:r>
    </w:p>
    <w:p>
      <w:pPr>
        <w:spacing w:after="40"/>
        <w:ind w:left="567"/>
      </w:pPr>
      <w:r>
        <w:rPr>
          <w:rFonts w:ascii="Consolas" w:hAnsi="Consolas"/>
          <w:color w:val="3C3C3C"/>
          <w:sz w:val="20"/>
        </w:rPr>
        <w:t>• src/evaluation.py lines 98–129 — plot_state_cpi_comparison.</w:t>
      </w:r>
    </w:p>
    <w:p>
      <w:pPr>
        <w:spacing w:after="40"/>
        <w:ind w:left="567"/>
      </w:pPr>
      <w:r>
        <w:rPr>
          <w:rFonts w:ascii="Consolas" w:hAnsi="Consolas"/>
          <w:color w:val="3C3C3C"/>
          <w:sz w:val="20"/>
        </w:rPr>
        <w:t>• Lines 105–109 — growth inner function computing percent change from earliest to latest CPI index per state.</w:t>
      </w:r>
    </w:p>
    <w:p>
      <w:pPr>
        <w:spacing w:after="40"/>
        <w:ind w:left="567"/>
      </w:pPr>
      <w:r>
        <w:rPr>
          <w:rFonts w:ascii="Consolas" w:hAnsi="Consolas"/>
          <w:color w:val="3C3C3C"/>
          <w:sz w:val="20"/>
        </w:rPr>
        <w:t>• Lines 116–117 — colour assignment based on the median threshold.</w:t>
      </w:r>
    </w:p>
    <w:p>
      <w:pPr>
        <w:spacing w:before="280" w:after="80"/>
      </w:pPr>
      <w:r>
        <w:rPr>
          <w:b/>
          <w:color w:val="1A3C6E"/>
          <w:sz w:val="24"/>
        </w:rPr>
        <w:t xml:space="preserve">Q7: </w:t>
      </w:r>
      <w:r>
        <w:rPr>
          <w:b/>
          <w:sz w:val="24"/>
        </w:rPr>
        <w:t>Your income-versus-CPI scatter is the chart that ties everything together. Walk me through it.</w:t>
      </w:r>
    </w:p>
    <w:p>
      <w:pPr>
        <w:spacing w:after="80"/>
        <w:ind w:left="283"/>
      </w:pPr>
      <w:r>
        <w:rPr>
          <w:b/>
          <w:color w:val="E8523A"/>
        </w:rPr>
        <w:t xml:space="preserve">Answer: </w:t>
      </w:r>
      <w:r>
        <w:t>This is the synthesis chart that bridges the time-series and clustering work. Each point is one state. The x-axis is the latest mean household income in Ringgit Malaysia. The y-axis is the CPI growth rate over the decade. The colour of each point is the cluster label assigned by Kelvin's K-Means model. State names are annotated next to each point.</w:t>
      </w:r>
    </w:p>
    <w:p>
      <w:pPr>
        <w:spacing w:after="80"/>
        <w:ind w:left="283"/>
      </w:pPr>
      <w:r>
        <w:t>Several things happen on this single chart. First, the strong positive diagonal trend confirms that higher-income states have generally experienced higher price growth. Second, the colour grouping shows that the K-Means clusters separate cleanly along this diagonal — the 'High Income and High CPI' cluster sits in the top right, 'Low Income and Low CPI' sits in the bottom left, and the mid-tier clusters fall between them. This visually validates the cluster labels.</w:t>
      </w:r>
    </w:p>
    <w:p>
      <w:pPr>
        <w:spacing w:after="80"/>
        <w:ind w:left="283"/>
      </w:pPr>
      <w:r>
        <w:t>Third, outliers stand out. A state that lies far from the trend line — say, high income but low CPI growth — would be policy-relevant because it might represent a counter-example that deserves study.</w:t>
      </w:r>
    </w:p>
    <w:p>
      <w:pPr>
        <w:spacing w:after="80"/>
        <w:ind w:left="283"/>
      </w:pPr>
      <w:r>
        <w:rPr>
          <w:b/>
          <w:i/>
          <w:color w:val="646464"/>
        </w:rPr>
        <w:t xml:space="preserve">Code reference: </w:t>
      </w:r>
    </w:p>
    <w:p>
      <w:pPr>
        <w:spacing w:after="40"/>
        <w:ind w:left="567"/>
      </w:pPr>
      <w:r>
        <w:rPr>
          <w:rFonts w:ascii="Consolas" w:hAnsi="Consolas"/>
          <w:color w:val="3C3C3C"/>
          <w:sz w:val="20"/>
        </w:rPr>
        <w:t>• src/evaluation.py lines 175–201 — plot_income_vs_cpi_scatter.</w:t>
      </w:r>
    </w:p>
    <w:p>
      <w:pPr>
        <w:spacing w:after="40"/>
        <w:ind w:left="567"/>
      </w:pPr>
      <w:r>
        <w:rPr>
          <w:rFonts w:ascii="Consolas" w:hAnsi="Consolas"/>
          <w:color w:val="3C3C3C"/>
          <w:sz w:val="20"/>
        </w:rPr>
        <w:t>• Lines 178–180 — colour palette assignment from the cluster labels.</w:t>
      </w:r>
    </w:p>
    <w:p>
      <w:pPr>
        <w:spacing w:after="40"/>
        <w:ind w:left="567"/>
      </w:pPr>
      <w:r>
        <w:rPr>
          <w:rFonts w:ascii="Consolas" w:hAnsi="Consolas"/>
          <w:color w:val="3C3C3C"/>
          <w:sz w:val="20"/>
        </w:rPr>
        <w:t>• Lines 182–190 — scatter plot loop with per-state annotations.</w:t>
      </w:r>
    </w:p>
    <w:p>
      <w:pPr>
        <w:spacing w:before="280" w:after="80"/>
      </w:pPr>
      <w:r>
        <w:rPr>
          <w:b/>
          <w:color w:val="1A3C6E"/>
          <w:sz w:val="24"/>
        </w:rPr>
        <w:t xml:space="preserve">Q8: </w:t>
      </w:r>
      <w:r>
        <w:rPr>
          <w:b/>
          <w:sz w:val="24"/>
        </w:rPr>
        <w:t>How did you cross-check your figures against official 2022 numbers?</w:t>
      </w:r>
    </w:p>
    <w:p>
      <w:pPr>
        <w:spacing w:after="80"/>
        <w:ind w:left="283"/>
      </w:pPr>
      <w:r>
        <w:rPr>
          <w:b/>
          <w:color w:val="E8523A"/>
        </w:rPr>
        <w:t xml:space="preserve">Answer: </w:t>
      </w:r>
      <w:r>
        <w:t>Validation against an external source is critical because data cleaning decisions can silently bias results. We took the official DOSM 2022 statistical report and compared three categories of figures.</w:t>
      </w:r>
    </w:p>
    <w:p>
      <w:pPr>
        <w:spacing w:after="80"/>
        <w:ind w:left="283"/>
      </w:pPr>
      <w:r>
        <w:t>First, the headline overall CPI inflation rate for 2022. We computed this from our cleaned data by averaging the YoY inflation values across the twelve months of 2022 and checked it matched the published annual figure.</w:t>
      </w:r>
    </w:p>
    <w:p>
      <w:pPr>
        <w:spacing w:after="80"/>
        <w:ind w:left="283"/>
      </w:pPr>
      <w:r>
        <w:t>Second, the mean household income figures per state from the 2022 Household Income and Expenditure Survey. Our state_features.csv contains income_mean_latest, which should match the official survey figures for each of the 16 states.</w:t>
      </w:r>
    </w:p>
    <w:p>
      <w:pPr>
        <w:spacing w:after="80"/>
        <w:ind w:left="283"/>
      </w:pPr>
      <w:r>
        <w:t>Third, the CPI division weights and category-level inflation rates. Even if the overall number is correct, individual categories might be wrong. We verified the year-end YoY rates for at least Food, Transport, and Housing.</w:t>
      </w:r>
    </w:p>
    <w:p>
      <w:pPr>
        <w:spacing w:after="80"/>
        <w:ind w:left="283"/>
      </w:pPr>
      <w:r>
        <w:t>If anything had been off by more than rounding error, we would have known the preprocessing pipeline had a bug — for example, a unit conversion error or an incorrect division code mapping.</w:t>
      </w:r>
    </w:p>
    <w:p>
      <w:pPr>
        <w:spacing w:before="280" w:after="80"/>
      </w:pPr>
      <w:r>
        <w:rPr>
          <w:b/>
          <w:color w:val="1A3C6E"/>
          <w:sz w:val="24"/>
        </w:rPr>
        <w:t xml:space="preserve">Q9: </w:t>
      </w:r>
      <w:r>
        <w:rPr>
          <w:b/>
          <w:sz w:val="24"/>
        </w:rPr>
        <w:t>What happens when the fuel data and inflation data cover different time ranges?</w:t>
      </w:r>
    </w:p>
    <w:p>
      <w:pPr>
        <w:spacing w:after="80"/>
        <w:ind w:left="283"/>
      </w:pPr>
      <w:r>
        <w:rPr>
          <w:b/>
          <w:color w:val="E8523A"/>
        </w:rPr>
        <w:t xml:space="preserve">Answer: </w:t>
      </w:r>
      <w:r>
        <w:t>Inflation data starts in 1980, but fuel data only starts in 2017. We cannot compute fuel-inflation correlation on the years before 2017 because the fuel data does not exist.</w:t>
      </w:r>
    </w:p>
    <w:p>
      <w:pPr>
        <w:spacing w:after="80"/>
        <w:ind w:left="283"/>
      </w:pPr>
      <w:r>
        <w:t>We handle this with a pandas inner merge on the date column. An inner merge keeps only the rows where both datasets have data — so the merged DataFrame only covers the overlap window from 2017 onwards. We then compute the correlation on this merged DataFrame.</w:t>
      </w:r>
    </w:p>
    <w:p>
      <w:pPr>
        <w:spacing w:after="80"/>
        <w:ind w:left="283"/>
      </w:pPr>
      <w:r>
        <w:t>Crucially, we report the overlap window explicitly in the output: the number of overlapping months, the start date, and the end date. A reader can then see that the correlation was computed over, say, 90 monthly observations, not the full inflation history. This protects against the false impression that we have decades of fuel-inflation data when in fact we only have a few years.</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151–156 — pd.merge with how='inner' on the date column.</w:t>
      </w:r>
    </w:p>
    <w:p>
      <w:pPr>
        <w:spacing w:after="40"/>
        <w:ind w:left="567"/>
      </w:pPr>
      <w:r>
        <w:rPr>
          <w:rFonts w:ascii="Consolas" w:hAnsi="Consolas"/>
          <w:color w:val="3C3C3C"/>
          <w:sz w:val="20"/>
        </w:rPr>
        <w:t>• src/time_series.py lines 166–169 — the output dict explicitly reports n_overlap_months, overlap_start, and overlap_end.</w:t>
      </w:r>
    </w:p>
    <w:p>
      <w:pPr>
        <w:spacing w:before="280" w:after="80"/>
      </w:pPr>
      <w:r>
        <w:rPr>
          <w:b/>
          <w:color w:val="1A3C6E"/>
          <w:sz w:val="24"/>
        </w:rPr>
        <w:t xml:space="preserve">Q10: </w:t>
      </w:r>
      <w:r>
        <w:rPr>
          <w:b/>
          <w:sz w:val="24"/>
        </w:rPr>
        <w:t>Why analyse RON95, RON97, and Diesel separately instead of just an average?</w:t>
      </w:r>
    </w:p>
    <w:p>
      <w:pPr>
        <w:spacing w:after="80"/>
        <w:ind w:left="283"/>
      </w:pPr>
      <w:r>
        <w:rPr>
          <w:b/>
          <w:color w:val="E8523A"/>
        </w:rPr>
        <w:t xml:space="preserve">Answer: </w:t>
      </w:r>
      <w:r>
        <w:t>Different fuel types serve different economic functions, and lumping them into a single average could hide important asymmetries.</w:t>
      </w:r>
    </w:p>
    <w:p>
      <w:pPr>
        <w:spacing w:after="80"/>
        <w:ind w:left="283"/>
      </w:pPr>
      <w:r>
        <w:t>RON95 is the standard consumer petrol used by most private cars. Its price is heavily regulated and subsidised in Malaysia, so its movements are policy-driven and affect household budgets directly.</w:t>
      </w:r>
    </w:p>
    <w:p>
      <w:pPr>
        <w:spacing w:after="80"/>
        <w:ind w:left="283"/>
      </w:pPr>
      <w:r>
        <w:t>RON97 is premium petrol, used by a smaller fraction of vehicles, and is not subject to the same subsidy regime. Its price is closer to a free-market benchmark.</w:t>
      </w:r>
    </w:p>
    <w:p>
      <w:pPr>
        <w:spacing w:after="80"/>
        <w:ind w:left="283"/>
      </w:pPr>
      <w:r>
        <w:t>Diesel powers heavy trucks, buses, generators, and a large share of the logistics chain. Diesel price changes flow through into the cost of moving goods, which means they have an indirect but pervasive effect on inflation across many categories — not just transport.</w:t>
      </w:r>
    </w:p>
    <w:p>
      <w:pPr>
        <w:spacing w:after="80"/>
        <w:ind w:left="283"/>
      </w:pPr>
      <w:r>
        <w:t>Looking at all three separately lets us see whether each fuel type has its own distinctive relationship with inflation. If we only used the average, a strong diesel-driven effect might be diluted by a weak petrol-driven one, or vice versa.</w:t>
      </w:r>
    </w:p>
    <w:p>
      <w:r>
        <w:br w:type="page"/>
      </w:r>
    </w:p>
    <w:p>
      <w:pPr>
        <w:pBdr>
          <w:bottom w:val="single" w:sz="12" w:space="4" w:color="1A3C6E"/>
        </w:pBdr>
      </w:pPr>
      <w:r>
        <w:rPr>
          <w:b/>
          <w:color w:val="1A3C6E"/>
          <w:sz w:val="36"/>
        </w:rPr>
        <w:t>Section 4 — Neng Yi CHIENG (104386364)</w:t>
      </w:r>
    </w:p>
    <w:p>
      <w:pPr>
        <w:spacing w:before="240" w:after="120"/>
      </w:pPr>
      <w:r>
        <w:rPr>
          <w:b/>
          <w:color w:val="E8523A"/>
          <w:sz w:val="28"/>
        </w:rPr>
        <w:t>Role: Forecasting Co-Lead + System &amp; Dashboard Builder</w:t>
      </w:r>
    </w:p>
    <w:tbl>
      <w:tblPr>
        <w:tblStyle w:val="LightGrid-Accent1"/>
        <w:tblW w:type="auto" w:w="0"/>
        <w:tblLook w:firstColumn="1" w:firstRow="1" w:lastColumn="0" w:lastRow="0" w:noHBand="0" w:noVBand="1" w:val="04A0"/>
      </w:tblPr>
      <w:tblGrid>
        <w:gridCol w:w="9746"/>
      </w:tblGrid>
      <w:tr>
        <w:tc>
          <w:tcPr>
            <w:tcW w:type="dxa" w:w="9746"/>
          </w:tcPr>
          <w:p>
            <w:r>
              <w:rPr>
                <w:b/>
              </w:rPr>
              <w:t xml:space="preserve">AI Role: </w:t>
            </w:r>
            <w:r>
              <w:rPr>
                <w:sz w:val="22"/>
              </w:rPr>
              <w:t>Forecasting Co-Lead and System Builder — co-developed the forecasting process (train/test split, retraining strategy, confidence intervals, all forecast charts), designed the four-stage automated pipeline, and built the interactive web dashboard with four tabs and live data backends.</w:t>
            </w:r>
          </w:p>
        </w:tc>
      </w:tr>
      <w:tr>
        <w:tc>
          <w:tcPr>
            <w:tcW w:type="dxa" w:w="9746"/>
          </w:tcPr>
          <w:p>
            <w:r>
              <w:rPr>
                <w:b/>
              </w:rPr>
              <w:t xml:space="preserve">Primary Files: </w:t>
            </w:r>
            <w:r>
              <w:rPr>
                <w:i/>
                <w:sz w:val="22"/>
              </w:rPr>
              <w:t>src/time_series.py (forecasting process and charts), run_pipeline.py (pipeline orchestrator), app/streamlit_app.py (dashboard), app/dashboard.py (Flask API)</w:t>
            </w:r>
          </w:p>
        </w:tc>
      </w:tr>
    </w:tbl>
    <w:p/>
    <w:p>
      <w:pPr>
        <w:spacing w:before="240" w:after="120"/>
      </w:pPr>
      <w:r>
        <w:rPr>
          <w:b/>
          <w:color w:val="E8523A"/>
          <w:sz w:val="24"/>
        </w:rPr>
        <w:t>What Neng Yi Did</w:t>
      </w:r>
    </w:p>
    <w:p>
      <w:pPr>
        <w:pStyle w:val="ListBullet"/>
      </w:pPr>
      <w:r>
        <w:t>Implemented the train/test split for time series, the retrain-on-full-data step, and the 95% confidence interval extraction.</w:t>
      </w:r>
    </w:p>
    <w:p>
      <w:pPr>
        <w:pStyle w:val="ListBullet"/>
      </w:pPr>
      <w:r>
        <w:t>Built the forecast visualisation charts showing historical data, test-period actual versus predicted, and the forward forecast with uncertainty band.</w:t>
      </w:r>
    </w:p>
    <w:p>
      <w:pPr>
        <w:pStyle w:val="ListBullet"/>
      </w:pPr>
      <w:r>
        <w:t>Produced the 2-year inflation forecast and saved all results in JSON, PKL, and CSV formats for reuse across the system.</w:t>
      </w:r>
    </w:p>
    <w:p>
      <w:pPr>
        <w:pStyle w:val="ListBullet"/>
      </w:pPr>
      <w:r>
        <w:t>Added category-level trend charts to provide context for the headline forecast.</w:t>
      </w:r>
    </w:p>
    <w:p>
      <w:pPr>
        <w:pStyle w:val="ListBullet"/>
      </w:pPr>
      <w:r>
        <w:t>Designed the full automated pipeline (run_pipeline.py) that runs preprocessing, forecasting, clustering, and evaluation in the correct order with deterministic results.</w:t>
      </w:r>
    </w:p>
    <w:p>
      <w:pPr>
        <w:pStyle w:val="ListBullet"/>
      </w:pPr>
      <w:r>
        <w:t>Built the interactive Streamlit dashboard with four tabs: Overview, Forecast, Clustering, and Fuel Analysis.</w:t>
      </w:r>
    </w:p>
    <w:p>
      <w:pPr>
        <w:pStyle w:val="ListBullet"/>
      </w:pPr>
      <w:r>
        <w:t>Built the Flask backend API (dashboard.py) with REST endpoints and Server-Sent Events for live pipeline streaming.</w:t>
      </w:r>
    </w:p>
    <w:p>
      <w:pPr>
        <w:pStyle w:val="ListBullet"/>
      </w:pPr>
      <w:r>
        <w:t>Set up Git LFS for large file storage and organised the overall project directory structure.</w:t>
      </w:r>
    </w:p>
    <w:p>
      <w:pPr>
        <w:spacing w:before="240" w:after="120"/>
      </w:pPr>
      <w:r>
        <w:rPr>
          <w:b/>
          <w:color w:val="E8523A"/>
          <w:sz w:val="26"/>
        </w:rPr>
        <w:t>Likely Questions &amp; Detailed Answers</w:t>
      </w:r>
    </w:p>
    <w:p>
      <w:pPr>
        <w:spacing w:before="280" w:after="80"/>
      </w:pPr>
      <w:r>
        <w:rPr>
          <w:b/>
          <w:color w:val="1A3C6E"/>
          <w:sz w:val="24"/>
        </w:rPr>
        <w:t xml:space="preserve">Q1: </w:t>
      </w:r>
      <w:r>
        <w:rPr>
          <w:b/>
          <w:sz w:val="24"/>
        </w:rPr>
        <w:t>Walk me through how train/test split works differently for time series.</w:t>
      </w:r>
    </w:p>
    <w:p>
      <w:pPr>
        <w:spacing w:after="80"/>
        <w:ind w:left="283"/>
      </w:pPr>
      <w:r>
        <w:rPr>
          <w:b/>
          <w:color w:val="E8523A"/>
        </w:rPr>
        <w:t xml:space="preserve">Answer: </w:t>
      </w:r>
      <w:r>
        <w:t>In standard machine learning you randomly shuffle data and take 20 percent for testing. You cannot do that with time series because every observation has a timestamp, and the algorithm would end up seeing future months during training and then being asked to predict past months. This is called data leakage from the future and it produces wildly optimistic accuracy numbers that do not hold up in deployment.</w:t>
      </w:r>
    </w:p>
    <w:p>
      <w:pPr>
        <w:spacing w:after="80"/>
        <w:ind w:left="283"/>
      </w:pPr>
      <w:r>
        <w:t>Our split respects chronology. We sort the series by date, keep every observation except the last 24 months for training, and use those final 24 months as the held-out test set. This simulates the actual forecasting scenario: you have all data up to a cut-off and need to predict the months that follow.</w:t>
      </w:r>
    </w:p>
    <w:p>
      <w:pPr>
        <w:spacing w:after="80"/>
        <w:ind w:left="283"/>
      </w:pPr>
      <w:r>
        <w:t>The split is implemented in two lines using pandas iloc slicing: series.iloc[:-24] for training and series.iloc[-24:] for testing.</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88–89 — train_test_split_ts function.</w:t>
      </w:r>
    </w:p>
    <w:p>
      <w:pPr>
        <w:spacing w:after="40"/>
        <w:ind w:left="567"/>
      </w:pPr>
      <w:r>
        <w:rPr>
          <w:rFonts w:ascii="Consolas" w:hAnsi="Consolas"/>
          <w:color w:val="3C3C3C"/>
          <w:sz w:val="20"/>
        </w:rPr>
        <w:t>• src/time_series.py line 34 — TEST_MONTHS = 24 constant defines the split.</w:t>
      </w:r>
    </w:p>
    <w:p>
      <w:pPr>
        <w:spacing w:before="280" w:after="80"/>
      </w:pPr>
      <w:r>
        <w:rPr>
          <w:b/>
          <w:color w:val="1A3C6E"/>
          <w:sz w:val="24"/>
        </w:rPr>
        <w:t xml:space="preserve">Q2: </w:t>
      </w:r>
      <w:r>
        <w:rPr>
          <w:b/>
          <w:sz w:val="24"/>
        </w:rPr>
        <w:t>Why do you retrain on the full data after the test evaluation? Doesn't that contaminate the metrics?</w:t>
      </w:r>
    </w:p>
    <w:p>
      <w:pPr>
        <w:spacing w:after="80"/>
        <w:ind w:left="283"/>
      </w:pPr>
      <w:r>
        <w:rPr>
          <w:b/>
          <w:color w:val="E8523A"/>
        </w:rPr>
        <w:t xml:space="preserve">Answer: </w:t>
      </w:r>
      <w:r>
        <w:t>It does not contaminate the metrics, because we report the metrics from the test split BEFORE retraining. The metrics tell us: 'this is how well the model would have performed if deployed two years ago.' Once we have that evaluation result locked in, the train/test split has served its purpose.</w:t>
      </w:r>
    </w:p>
    <w:p>
      <w:pPr>
        <w:spacing w:after="80"/>
        <w:ind w:left="283"/>
      </w:pPr>
      <w:r>
        <w:t>Then for the real forward forecast — predicting the next 24 months that have not happened yet — we fit a fresh ARIMA on all available data including the test months. We do this because more data generally produces a better-fitted model, and the most recent observations are especially important for short-horizon forecasts. If we ignored the test months in the final fit, we would be throwing away two years of valuable recent information.</w:t>
      </w:r>
    </w:p>
    <w:p>
      <w:pPr>
        <w:spacing w:after="80"/>
        <w:ind w:left="283"/>
      </w:pPr>
      <w:r>
        <w:t>So the rule is: train/test split for evaluation, full data for the deployed forecast.</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568–572 in run_all — the final fit_arima call uses the full series, and the result is saved to arima_fitted.pkl for reuse.</w:t>
      </w:r>
    </w:p>
    <w:p>
      <w:pPr>
        <w:spacing w:after="40"/>
        <w:ind w:left="567"/>
      </w:pPr>
      <w:r>
        <w:rPr>
          <w:rFonts w:ascii="Consolas" w:hAnsi="Consolas"/>
          <w:color w:val="3C3C3C"/>
          <w:sz w:val="20"/>
        </w:rPr>
        <w:t>• src/time_series.py lines 575–579 — get_forecast on the full-data model produces the headline 2-year prediction.</w:t>
      </w:r>
    </w:p>
    <w:p>
      <w:pPr>
        <w:spacing w:before="280" w:after="80"/>
      </w:pPr>
      <w:r>
        <w:rPr>
          <w:b/>
          <w:color w:val="1A3C6E"/>
          <w:sz w:val="24"/>
        </w:rPr>
        <w:t xml:space="preserve">Q3: </w:t>
      </w:r>
      <w:r>
        <w:rPr>
          <w:b/>
          <w:sz w:val="24"/>
        </w:rPr>
        <w:t>Explain the 95% confidence interval on your forecast plot. What does it actually mean?</w:t>
      </w:r>
    </w:p>
    <w:p>
      <w:pPr>
        <w:spacing w:after="80"/>
        <w:ind w:left="283"/>
      </w:pPr>
      <w:r>
        <w:rPr>
          <w:b/>
          <w:color w:val="E8523A"/>
        </w:rPr>
        <w:t xml:space="preserve">Answer: </w:t>
      </w:r>
      <w:r>
        <w:t>The 95% confidence interval — sometimes called the prediction interval — is the violet shaded band around the magenta forecast line. It expresses the model's uncertainty about its own predictions.</w:t>
      </w:r>
    </w:p>
    <w:p>
      <w:pPr>
        <w:spacing w:after="80"/>
        <w:ind w:left="283"/>
      </w:pPr>
      <w:r>
        <w:t>Specifically, under ARIMA's statistical assumptions, there is a 95% probability that the true future inflation value falls inside the band, for any given forecast month. The interval comes from ARIMA's internal variance estimates, which combine the residual variance from the fit and the propagated uncertainty over the forecast horizon.</w:t>
      </w:r>
    </w:p>
    <w:p>
      <w:pPr>
        <w:spacing w:after="80"/>
        <w:ind w:left="283"/>
      </w:pPr>
      <w:r>
        <w:t>Two important features of the band. First, it widens as we forecast further into the future. This is correct behaviour — uncertainty about month 24 should be greater than uncertainty about month 1 because errors accumulate. Second, the band is the model's uncertainty given its assumptions are correct — if the world changes structurally (a new pandemic, a major policy shock), the model would not know, and the true value could fall outside the band. That's a known limitation of any statistical model.</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82–85 — _extract_forecast: calls fc.conf_int(alpha=0.05) to get the lower and upper bounds at the 95% level.</w:t>
      </w:r>
    </w:p>
    <w:p>
      <w:pPr>
        <w:spacing w:after="40"/>
        <w:ind w:left="567"/>
      </w:pPr>
      <w:r>
        <w:rPr>
          <w:rFonts w:ascii="Consolas" w:hAnsi="Consolas"/>
          <w:color w:val="3C3C3C"/>
          <w:sz w:val="20"/>
        </w:rPr>
        <w:t>• src/time_series.py lines 407–412 — the violet shaded band is drawn with ax.fill_between using these bounds.</w:t>
      </w:r>
    </w:p>
    <w:p>
      <w:pPr>
        <w:spacing w:before="280" w:after="80"/>
      </w:pPr>
      <w:r>
        <w:rPr>
          <w:b/>
          <w:color w:val="1A3C6E"/>
          <w:sz w:val="24"/>
        </w:rPr>
        <w:t xml:space="preserve">Q4: </w:t>
      </w:r>
      <w:r>
        <w:rPr>
          <w:b/>
          <w:sz w:val="24"/>
        </w:rPr>
        <w:t>Walk me through the forecast plot — what is every element showing?</w:t>
      </w:r>
    </w:p>
    <w:p>
      <w:pPr>
        <w:spacing w:after="80"/>
        <w:ind w:left="283"/>
      </w:pPr>
      <w:r>
        <w:rPr>
          <w:b/>
          <w:color w:val="E8523A"/>
        </w:rPr>
        <w:t xml:space="preserve">Answer: </w:t>
      </w:r>
      <w:r>
        <w:t>The chart has two panels side by side.</w:t>
      </w:r>
    </w:p>
    <w:p>
      <w:pPr>
        <w:spacing w:after="80"/>
        <w:ind w:left="283"/>
      </w:pPr>
      <w:r>
        <w:t>Left panel — the headline view. The blue line is historical inflation from the past ten years; I deliberately truncated to ten years to keep the plot readable, otherwise four decades of data would compress the recent period into a sliver. The green line with circle markers is the actual test-period values from the held-out 24 months. The red dashed line with circles is what our trained model predicted for those same months — the gap between green and red is the test error visualised. The magenta line with triangles is the two-year forward forecast, going beyond the latest observed month. The violet shaded band is the 95% confidence interval around the forecast. A vertical grey dotted line marks where training ended and testing began, and a horizontal black dotted line marks the zero-inflation reference.</w:t>
      </w:r>
    </w:p>
    <w:p>
      <w:pPr>
        <w:spacing w:after="80"/>
        <w:ind w:left="283"/>
      </w:pPr>
      <w:r>
        <w:t>Right panel — the test-period zoom. Same data as the left panel's test section, but isolated and rescaled so the lecturer can clearly see how closely actual and predicted track each other. The title carries the four evaluation metrics — MAE, RMSE, sMAPE, and MASE — so the visual and the numbers tell a consistent story.</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384–446 — plot_forecast function.</w:t>
      </w:r>
    </w:p>
    <w:p>
      <w:pPr>
        <w:spacing w:after="40"/>
        <w:ind w:left="567"/>
      </w:pPr>
      <w:r>
        <w:rPr>
          <w:rFonts w:ascii="Consolas" w:hAnsi="Consolas"/>
          <w:color w:val="3C3C3C"/>
          <w:sz w:val="20"/>
        </w:rPr>
        <w:t>• Lines 393–423 — left panel with the truncated 10-year history, test actual/predicted, forecast, and CI band.</w:t>
      </w:r>
    </w:p>
    <w:p>
      <w:pPr>
        <w:spacing w:after="40"/>
        <w:ind w:left="567"/>
      </w:pPr>
      <w:r>
        <w:rPr>
          <w:rFonts w:ascii="Consolas" w:hAnsi="Consolas"/>
          <w:color w:val="3C3C3C"/>
          <w:sz w:val="20"/>
        </w:rPr>
        <w:t>• Lines 425–440 — right panel with the test-period zoom and metric title.</w:t>
      </w:r>
    </w:p>
    <w:p>
      <w:pPr>
        <w:spacing w:before="280" w:after="80"/>
      </w:pPr>
      <w:r>
        <w:rPr>
          <w:b/>
          <w:color w:val="1A3C6E"/>
          <w:sz w:val="24"/>
        </w:rPr>
        <w:t xml:space="preserve">Q5: </w:t>
      </w:r>
      <w:r>
        <w:rPr>
          <w:b/>
          <w:sz w:val="24"/>
        </w:rPr>
        <w:t>What does the category trend chart add? It is not the headline forecast.</w:t>
      </w:r>
    </w:p>
    <w:p>
      <w:pPr>
        <w:spacing w:after="80"/>
        <w:ind w:left="283"/>
      </w:pPr>
      <w:r>
        <w:rPr>
          <w:b/>
          <w:color w:val="E8523A"/>
        </w:rPr>
        <w:t xml:space="preserve">Answer: </w:t>
      </w:r>
      <w:r>
        <w:t>The headline forecast is a single national number — overall CPI inflation. But that single number is the weighted average of 13 different spending category inflation rates. The category trend chart breaks that aggregate apart so the audience can see which components are driving the overall movement.</w:t>
      </w:r>
    </w:p>
    <w:p>
      <w:pPr>
        <w:spacing w:after="80"/>
        <w:ind w:left="283"/>
      </w:pPr>
      <w:r>
        <w:t>The chart shows the last five years of YoY inflation for each spending category, with each category in its own colour and the overall CPI shown as a thick black line on top for reference. If the overall line is going up but Food and Transport are screaming higher while Communication is going down, the chart immediately reveals the story behind the average.</w:t>
      </w:r>
    </w:p>
    <w:p>
      <w:pPr>
        <w:spacing w:after="80"/>
        <w:ind w:left="283"/>
      </w:pPr>
      <w:r>
        <w:t>Without this chart, a policymaker looking at the headline forecast would not know whether to focus on food, fuel, housing, or healthcare. With it, the source of inflation pressure is obvious.</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449–477 — plot_division_trends.</w:t>
      </w:r>
    </w:p>
    <w:p>
      <w:pPr>
        <w:spacing w:after="40"/>
        <w:ind w:left="567"/>
      </w:pPr>
      <w:r>
        <w:rPr>
          <w:rFonts w:ascii="Consolas" w:hAnsi="Consolas"/>
          <w:color w:val="3C3C3C"/>
          <w:sz w:val="20"/>
        </w:rPr>
        <w:t>• Line 451 — five-year cutoff using pd.DateOffset(years=5).</w:t>
      </w:r>
    </w:p>
    <w:p>
      <w:pPr>
        <w:spacing w:after="40"/>
        <w:ind w:left="567"/>
      </w:pPr>
      <w:r>
        <w:rPr>
          <w:rFonts w:ascii="Consolas" w:hAnsi="Consolas"/>
          <w:color w:val="3C3C3C"/>
          <w:sz w:val="20"/>
        </w:rPr>
        <w:t>• Lines 461–462 — each category gets its own colour from a tab20 palette; line 465 emphasises the overall CPI as a thick black line.</w:t>
      </w:r>
    </w:p>
    <w:p>
      <w:pPr>
        <w:spacing w:before="280" w:after="80"/>
      </w:pPr>
      <w:r>
        <w:rPr>
          <w:b/>
          <w:color w:val="1A3C6E"/>
          <w:sz w:val="24"/>
        </w:rPr>
        <w:t xml:space="preserve">Q6: </w:t>
      </w:r>
      <w:r>
        <w:rPr>
          <w:b/>
          <w:sz w:val="24"/>
        </w:rPr>
        <w:t>Walk me through your automated pipeline. Why is it set up the way it is?</w:t>
      </w:r>
    </w:p>
    <w:p>
      <w:pPr>
        <w:spacing w:after="80"/>
        <w:ind w:left="283"/>
      </w:pPr>
      <w:r>
        <w:rPr>
          <w:b/>
          <w:color w:val="E8523A"/>
        </w:rPr>
        <w:t xml:space="preserve">Answer: </w:t>
      </w:r>
      <w:r>
        <w:t>run_pipeline.py is the master script that orchestrates everything. It runs four stages in strict order: preprocessing, time-series forecasting, clustering, and evaluation.</w:t>
      </w:r>
    </w:p>
    <w:p>
      <w:pPr>
        <w:spacing w:after="80"/>
        <w:ind w:left="283"/>
      </w:pPr>
      <w:r>
        <w:t>Three design decisions matter. First, at the very top I call os.chdir to change the working directory to the project root. Without this, relative paths like data/processed/ break when the script is invoked from a different directory, which would make the pipeline fragile.</w:t>
      </w:r>
    </w:p>
    <w:p>
      <w:pPr>
        <w:spacing w:after="80"/>
        <w:ind w:left="283"/>
      </w:pPr>
      <w:r>
        <w:t>Second, I set MPLCONFIGDIR to a pre-built matplotlib font cache committed with the repo. On cloud platforms like Streamlit Cloud or Render, matplotlib rebuilds its font cache on first run, which takes two to three minutes. Pointing at the pre-built cache makes cold starts almost instant.</w:t>
      </w:r>
    </w:p>
    <w:p>
      <w:pPr>
        <w:spacing w:after="80"/>
        <w:ind w:left="283"/>
      </w:pPr>
      <w:r>
        <w:t>Third, I pass Python objects directly between stages rather than re-reading from disk. The preprocess function returns DataFrames; those DataFrames are passed straight into run_ts and run_clustering. This makes the pipeline both faster and easier to debug because the data path through memory is explicit.</w:t>
      </w:r>
    </w:p>
    <w:p>
      <w:pPr>
        <w:spacing w:after="80"/>
        <w:ind w:left="283"/>
      </w:pPr>
      <w:r>
        <w:t>Finally, the pipeline launches Streamlit at the end unless --no-dashboard is passed, so a developer running it locally gets the dashboard automatically.</w:t>
      </w:r>
    </w:p>
    <w:p>
      <w:pPr>
        <w:spacing w:after="80"/>
        <w:ind w:left="283"/>
      </w:pPr>
      <w:r>
        <w:rPr>
          <w:b/>
          <w:i/>
          <w:color w:val="646464"/>
        </w:rPr>
        <w:t xml:space="preserve">Code reference: </w:t>
      </w:r>
    </w:p>
    <w:p>
      <w:pPr>
        <w:spacing w:after="40"/>
        <w:ind w:left="567"/>
      </w:pPr>
      <w:r>
        <w:rPr>
          <w:rFonts w:ascii="Consolas" w:hAnsi="Consolas"/>
          <w:color w:val="3C3C3C"/>
          <w:sz w:val="20"/>
        </w:rPr>
        <w:t>• run_pipeline.py line 17 — os.chdir to the project root.</w:t>
      </w:r>
    </w:p>
    <w:p>
      <w:pPr>
        <w:spacing w:after="40"/>
        <w:ind w:left="567"/>
      </w:pPr>
      <w:r>
        <w:rPr>
          <w:rFonts w:ascii="Consolas" w:hAnsi="Consolas"/>
          <w:color w:val="3C3C3C"/>
          <w:sz w:val="20"/>
        </w:rPr>
        <w:t>• run_pipeline.py lines 22–25 — sets MPLCONFIGDIR to the pre-built font cache.</w:t>
      </w:r>
    </w:p>
    <w:p>
      <w:pPr>
        <w:spacing w:after="40"/>
        <w:ind w:left="567"/>
      </w:pPr>
      <w:r>
        <w:rPr>
          <w:rFonts w:ascii="Consolas" w:hAnsi="Consolas"/>
          <w:color w:val="3C3C3C"/>
          <w:sz w:val="20"/>
        </w:rPr>
        <w:t>• run_pipeline.py lines 43–60 — the four stages, with outputs passed as Python objects.</w:t>
      </w:r>
    </w:p>
    <w:p>
      <w:pPr>
        <w:spacing w:after="40"/>
        <w:ind w:left="567"/>
      </w:pPr>
      <w:r>
        <w:rPr>
          <w:rFonts w:ascii="Consolas" w:hAnsi="Consolas"/>
          <w:color w:val="3C3C3C"/>
          <w:sz w:val="20"/>
        </w:rPr>
        <w:t>• run_pipeline.py lines 70–81 — conditional Streamlit launch with --no-dashboard guard.</w:t>
      </w:r>
    </w:p>
    <w:p>
      <w:pPr>
        <w:spacing w:before="280" w:after="80"/>
      </w:pPr>
      <w:r>
        <w:rPr>
          <w:b/>
          <w:color w:val="1A3C6E"/>
          <w:sz w:val="24"/>
        </w:rPr>
        <w:t xml:space="preserve">Q7: </w:t>
      </w:r>
      <w:r>
        <w:rPr>
          <w:b/>
          <w:sz w:val="24"/>
        </w:rPr>
        <w:t>You built a Streamlit dashboard AND a Flask backend. Why both?</w:t>
      </w:r>
    </w:p>
    <w:p>
      <w:pPr>
        <w:spacing w:after="80"/>
        <w:ind w:left="283"/>
      </w:pPr>
      <w:r>
        <w:rPr>
          <w:b/>
          <w:color w:val="E8523A"/>
        </w:rPr>
        <w:t xml:space="preserve">Answer: </w:t>
      </w:r>
      <w:r>
        <w:t>They serve different purposes.</w:t>
      </w:r>
    </w:p>
    <w:p>
      <w:pPr>
        <w:spacing w:after="80"/>
        <w:ind w:left="283"/>
      </w:pPr>
      <w:r>
        <w:t>Streamlit (app/streamlit_app.py) is the production-facing interactive dashboard. It is the version the lecturer sees on Streamlit Cloud. Streamlit is fast to build, integrates natively with pandas and Plotly, supports auto-deploy from a Git push, and lets us write the entire UI in Python without touching JavaScript. For a data-science project with a small team, this is the most productive choice.</w:t>
      </w:r>
    </w:p>
    <w:p>
      <w:pPr>
        <w:spacing w:after="80"/>
        <w:ind w:left="283"/>
      </w:pPr>
      <w:r>
        <w:t>The Flask backend (app/dashboard.py) is a separate REST API that exposes every piece of analysis as a JSON endpoint and supports Server-Sent Events for live progress streaming. We built it during the prototype phase when we considered a custom HTML/JavaScript frontend. We kept it in the repository because it allows any external system — for example, a government's existing analytics platform — to consume our results programmatically without going through a browser.</w:t>
      </w:r>
    </w:p>
    <w:p>
      <w:pPr>
        <w:spacing w:after="80"/>
        <w:ind w:left="283"/>
      </w:pPr>
      <w:r>
        <w:t>The two can coexist because they share no state. Both read the same JSON, CSV, and PKL output files produced by the pipeline. Either one can be used independently.</w:t>
      </w:r>
    </w:p>
    <w:p>
      <w:pPr>
        <w:spacing w:before="280" w:after="80"/>
      </w:pPr>
      <w:r>
        <w:rPr>
          <w:b/>
          <w:color w:val="1A3C6E"/>
          <w:sz w:val="24"/>
        </w:rPr>
        <w:t xml:space="preserve">Q8: </w:t>
      </w:r>
      <w:r>
        <w:rPr>
          <w:b/>
          <w:sz w:val="24"/>
        </w:rPr>
        <w:t>Take me through the four tabs of the Streamlit dashboard.</w:t>
      </w:r>
    </w:p>
    <w:p>
      <w:pPr>
        <w:spacing w:after="80"/>
        <w:ind w:left="283"/>
      </w:pPr>
      <w:r>
        <w:rPr>
          <w:b/>
          <w:color w:val="E8523A"/>
        </w:rPr>
        <w:t xml:space="preserve">Answer: </w:t>
      </w:r>
      <w:r>
        <w:t>Tab 1 — Overview. Shows the national overall CPI inflation trend over time, the CPI breakdown by the 13 spending divisions, an explorer where the user can pick any state to see its CPI history, and a choropleth map of Malaysia coloured by mean CPI level per state. This tab is the high-level entry point.</w:t>
      </w:r>
    </w:p>
    <w:p>
      <w:pPr>
        <w:spacing w:after="80"/>
        <w:ind w:left="283"/>
      </w:pPr>
      <w:r>
        <w:t>Tab 2 — Time Series Forecast. Displays the chosen ARIMA order, the AIC and BIC values, and the test-period metrics. Renders the full forecast plot with historical, test, and forward forecast sections plus the 95% confidence band. There is also a horizon slider that lets the user request a fresh forecast for a different number of months, with live progress streaming.</w:t>
      </w:r>
    </w:p>
    <w:p>
      <w:pPr>
        <w:spacing w:after="80"/>
        <w:ind w:left="283"/>
      </w:pPr>
      <w:r>
        <w:t>Tab 3 — State Clustering. Lets the user toggle between K-Means and Hierarchical clustering or view them side by side. Includes the PCA scatter, the elbow and silhouette plots, the cluster profile heatmap, an interactive dendrogram, and a choropleth map of Malaysia coloured by cluster assignment.</w:t>
      </w:r>
    </w:p>
    <w:p>
      <w:pPr>
        <w:spacing w:after="80"/>
        <w:ind w:left="283"/>
      </w:pPr>
      <w:r>
        <w:t>Tab 4 — Fuel Analysis. Shows the fuel price time series for RON95, RON97, and Diesel, the contemporaneous and lag-1 correlation bar charts with inflation, the ARIMAX-versus-ARIMA comparison table from Kenneth's experiment, and the fuel coefficient and p-value from the full-window refit.</w:t>
      </w:r>
    </w:p>
    <w:p>
      <w:pPr>
        <w:spacing w:before="280" w:after="80"/>
      </w:pPr>
      <w:r>
        <w:rPr>
          <w:b/>
          <w:color w:val="1A3C6E"/>
          <w:sz w:val="24"/>
        </w:rPr>
        <w:t xml:space="preserve">Q9: </w:t>
      </w:r>
      <w:r>
        <w:rPr>
          <w:b/>
          <w:sz w:val="24"/>
        </w:rPr>
        <w:t>Explain Server-Sent Events. Why did you use them?</w:t>
      </w:r>
    </w:p>
    <w:p>
      <w:pPr>
        <w:spacing w:after="80"/>
        <w:ind w:left="283"/>
      </w:pPr>
      <w:r>
        <w:rPr>
          <w:b/>
          <w:color w:val="E8523A"/>
        </w:rPr>
        <w:t xml:space="preserve">Answer: </w:t>
      </w:r>
      <w:r>
        <w:t>Server-Sent Events, abbreviated SSE, is a browser standard for one-way push communication from a server to a client over a long-lived HTTP connection. Once the connection opens, the server can keep sending messages until it decides to close the channel.</w:t>
      </w:r>
    </w:p>
    <w:p>
      <w:pPr>
        <w:spacing w:after="80"/>
        <w:ind w:left="283"/>
      </w:pPr>
      <w:r>
        <w:t>We used SSE for the long-running pipeline operations. When a user clicks 'Run Pipeline' in the dashboard, the analysis can take minutes — fitting ARIMA, computing clustering metrics, generating figures. Without SSE, the user would stare at a blank loading screen with no feedback. With SSE, the Flask backend spawns the pipeline as a subprocess and streams every line of stdout to the browser as it appears, so the user sees live progress messages like 'BIC grid 5 of 24: ARIMA(2,1,3)' and a progress bar that updates in real time.</w:t>
      </w:r>
    </w:p>
    <w:p>
      <w:pPr>
        <w:spacing w:after="80"/>
        <w:ind w:left="283"/>
      </w:pPr>
      <w:r>
        <w:t>The Python side uses a generator function (run_live in time_series.py) that yields progress dictionaries; the Flask route wraps those yields in SSE-formatted strings and the browser's EventSource API consumes them. A heartbeat comment is sent every 15 seconds to keep the connection alive across proxies that drop idle connections.</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268–381 — run_live generator that yields progress events.</w:t>
      </w:r>
    </w:p>
    <w:p>
      <w:pPr>
        <w:spacing w:after="40"/>
        <w:ind w:left="567"/>
      </w:pPr>
      <w:r>
        <w:rPr>
          <w:rFonts w:ascii="Consolas" w:hAnsi="Consolas"/>
          <w:color w:val="3C3C3C"/>
          <w:sz w:val="20"/>
        </w:rPr>
        <w:t>• app/dashboard.py — /api/ts/live and /api/run endpoints wrap these yields into SSE format with text/event-stream content type.</w:t>
      </w:r>
    </w:p>
    <w:p>
      <w:pPr>
        <w:spacing w:before="280" w:after="80"/>
      </w:pPr>
      <w:r>
        <w:rPr>
          <w:b/>
          <w:color w:val="1A3C6E"/>
          <w:sz w:val="24"/>
        </w:rPr>
        <w:t xml:space="preserve">Q10: </w:t>
      </w:r>
      <w:r>
        <w:rPr>
          <w:b/>
          <w:sz w:val="24"/>
        </w:rPr>
        <w:t>How does the caching strategy work across the whole system?</w:t>
      </w:r>
    </w:p>
    <w:p>
      <w:pPr>
        <w:spacing w:after="80"/>
        <w:ind w:left="283"/>
      </w:pPr>
      <w:r>
        <w:rPr>
          <w:b/>
          <w:color w:val="E8523A"/>
        </w:rPr>
        <w:t xml:space="preserve">Answer: </w:t>
      </w:r>
      <w:r>
        <w:t>Caching is layered at three levels.</w:t>
      </w:r>
    </w:p>
    <w:p>
      <w:pPr>
        <w:spacing w:after="80"/>
        <w:ind w:left="283"/>
      </w:pPr>
      <w:r>
        <w:t>Layer 1 — disk-level result caching. arima_results.json stores the chosen ARIMA order, the train/test split details, and the test metrics. arima_fitted.pkl stores the actual fitted full-series ARIMA model. clustering_results.json stores the clustering output. On the next pipeline run, if the input series length matches what is in the cache, we skip the BIC grid search entirely and reuse the fitted model — saving several minutes.</w:t>
      </w:r>
    </w:p>
    <w:p>
      <w:pPr>
        <w:spacing w:after="80"/>
        <w:ind w:left="283"/>
      </w:pPr>
      <w:r>
        <w:t>Layer 2 — Streamlit's @st.cache_data decorator. Every loader function in the dashboard is wrapped with this decorator. The first time the dashboard loads a CSV, the result is cached in memory. Subsequent calls with the same arguments return the cached object instantly. This means UI interactions like changing a dropdown do not re-read files from disk.</w:t>
      </w:r>
    </w:p>
    <w:p>
      <w:pPr>
        <w:spacing w:after="80"/>
        <w:ind w:left="283"/>
      </w:pPr>
      <w:r>
        <w:t>Layer 3 — pre-built matplotlib font cache. As discussed earlier, the outputs/mpl_cache/ directory contains a pre-built font index that we commit with the repo. This skips a 2–3 minute font scan on cold starts.</w:t>
      </w:r>
    </w:p>
    <w:p>
      <w:pPr>
        <w:spacing w:after="80"/>
        <w:ind w:left="283"/>
      </w:pPr>
      <w:r>
        <w:t>When does the cache invalidate? Layer 1 invalidates if the cached order or series length does not match the current data. Layer 2 invalidates when the loader's arguments or the loaded files change. Layer 3 never invalidates — it is just a static asset.</w:t>
      </w:r>
    </w:p>
    <w:p>
      <w:pPr>
        <w:spacing w:after="80"/>
        <w:ind w:left="283"/>
      </w:pPr>
      <w:r>
        <w:rPr>
          <w:b/>
          <w:i/>
          <w:color w:val="646464"/>
        </w:rPr>
        <w:t xml:space="preserve">Code reference: </w:t>
      </w:r>
    </w:p>
    <w:p>
      <w:pPr>
        <w:spacing w:after="40"/>
        <w:ind w:left="567"/>
      </w:pPr>
      <w:r>
        <w:rPr>
          <w:rFonts w:ascii="Consolas" w:hAnsi="Consolas"/>
          <w:color w:val="3C3C3C"/>
          <w:sz w:val="20"/>
        </w:rPr>
        <w:t>• src/time_series.py lines 497–534 — disk cache read logic in run_all.</w:t>
      </w:r>
    </w:p>
    <w:p>
      <w:pPr>
        <w:spacing w:after="40"/>
        <w:ind w:left="567"/>
      </w:pPr>
      <w:r>
        <w:rPr>
          <w:rFonts w:ascii="Consolas" w:hAnsi="Consolas"/>
          <w:color w:val="3C3C3C"/>
          <w:sz w:val="20"/>
        </w:rPr>
        <w:t>• src/time_series.py lines 284–300 — equivalent cache logic in the SSE streaming path.</w:t>
      </w:r>
    </w:p>
    <w:p>
      <w:pPr>
        <w:spacing w:after="40"/>
        <w:ind w:left="567"/>
      </w:pPr>
      <w:r>
        <w:rPr>
          <w:rFonts w:ascii="Consolas" w:hAnsi="Consolas"/>
          <w:color w:val="3C3C3C"/>
          <w:sz w:val="20"/>
        </w:rPr>
        <w:t>• run_pipeline.py lines 22–25 and app/streamlit_app.py line 25 — both set MPLCONFIGDIR to the pre-built font cache.</w:t>
      </w:r>
    </w:p>
    <w:p>
      <w:r>
        <w:br w:type="page"/>
      </w:r>
    </w:p>
    <w:p>
      <w:pPr>
        <w:pBdr>
          <w:bottom w:val="single" w:sz="12" w:space="4" w:color="1A3C6E"/>
        </w:pBdr>
      </w:pPr>
      <w:r>
        <w:rPr>
          <w:b/>
          <w:color w:val="1A3C6E"/>
          <w:sz w:val="36"/>
        </w:rPr>
        <w:t>Section 5 — General Project Questions (Any Member)</w:t>
      </w:r>
    </w:p>
    <w:p>
      <w:pPr>
        <w:spacing w:before="240" w:after="120"/>
      </w:pPr>
      <w:r>
        <w:rPr>
          <w:b/>
          <w:color w:val="E8523A"/>
          <w:sz w:val="28"/>
        </w:rPr>
        <w:t>Topics that may come up regardless of who is being interviewed</w:t>
      </w:r>
    </w:p>
    <w:p>
      <w:pPr>
        <w:spacing w:before="280" w:after="80"/>
      </w:pPr>
      <w:r>
        <w:rPr>
          <w:b/>
          <w:color w:val="1A3C6E"/>
          <w:sz w:val="24"/>
        </w:rPr>
        <w:t xml:space="preserve">Q1: </w:t>
      </w:r>
      <w:r>
        <w:rPr>
          <w:b/>
          <w:sz w:val="24"/>
        </w:rPr>
        <w:t>What real-world problem does this project address and who would use it?</w:t>
      </w:r>
    </w:p>
    <w:p>
      <w:pPr>
        <w:spacing w:after="80"/>
        <w:ind w:left="283"/>
      </w:pPr>
      <w:r>
        <w:rPr>
          <w:b/>
          <w:color w:val="E8523A"/>
        </w:rPr>
        <w:t xml:space="preserve">Answer: </w:t>
      </w:r>
      <w:r>
        <w:t>Malaysia is in the middle of a cost-of-living debate. Inflation has risen since 2022, fuel subsidies are being restructured under the RON95 rationalisation policy, and households across different states are feeling the impact unevenly. Politicians, economists, and ordinary citizens are all asking the same question: where is inflation headed, and who is being hit hardest?</w:t>
      </w:r>
    </w:p>
    <w:p>
      <w:pPr>
        <w:spacing w:after="80"/>
        <w:ind w:left="283"/>
      </w:pPr>
      <w:r>
        <w:t>Our system addresses this with three concrete deliverables. A two-year-ahead national inflation forecast with uncertainty bands. A grouping of all 16 states into socioeconomic tiers based on shared price and income patterns. And a quantitative analysis of how fuel prices relate to inflation, which is directly relevant to the subsidy reform debate.</w:t>
      </w:r>
    </w:p>
    <w:p>
      <w:pPr>
        <w:spacing w:after="80"/>
        <w:ind w:left="283"/>
      </w:pPr>
      <w:r>
        <w:t>The target user is a government policymaker — for example, an analyst at the Ministry of Finance or the Department of Statistics — who needs evidence-based tools to evaluate policy options. Secondary users include academic researchers, NGOs working on cost-of-living issues, and engaged citizens who want a transparent view of the data.</w:t>
      </w:r>
    </w:p>
    <w:p>
      <w:pPr>
        <w:spacing w:before="280" w:after="80"/>
      </w:pPr>
      <w:r>
        <w:rPr>
          <w:b/>
          <w:color w:val="1A3C6E"/>
          <w:sz w:val="24"/>
        </w:rPr>
        <w:t xml:space="preserve">Q2: </w:t>
      </w:r>
      <w:r>
        <w:rPr>
          <w:b/>
          <w:sz w:val="24"/>
        </w:rPr>
        <w:t>Where did all your data come from? How can you trust it?</w:t>
      </w:r>
    </w:p>
    <w:p>
      <w:pPr>
        <w:spacing w:after="80"/>
        <w:ind w:left="283"/>
      </w:pPr>
      <w:r>
        <w:rPr>
          <w:b/>
          <w:color w:val="E8523A"/>
        </w:rPr>
        <w:t xml:space="preserve">Answer: </w:t>
      </w:r>
      <w:r>
        <w:t>All four datasets are sourced from OpenDOSM, the official open data portal of the Department of Statistics Malaysia. DOSM is the federal statistical agency and the legally authoritative source for economic statistics in Malaysia. The datasets are publicly published, regularly updated, and used by Bank Negara Malaysia and the World Bank as primary input.</w:t>
      </w:r>
    </w:p>
    <w:p>
      <w:pPr>
        <w:spacing w:after="80"/>
        <w:ind w:left="283"/>
      </w:pPr>
      <w:r>
        <w:t>Our four datasets are: cpi_2d_inflation.csv (national monthly CPI by 13 spending divisions, going back to 1980), cpi_2d_state.csv (monthly CPI by state and division from 2010), fuelprice.csv (weekly retail fuel prices from 2017), and hh_income_state.csv (household income by state from the annual survey, 1970 to 2022).</w:t>
      </w:r>
    </w:p>
    <w:p>
      <w:pPr>
        <w:spacing w:after="80"/>
        <w:ind w:left="283"/>
      </w:pPr>
      <w:r>
        <w:t>We trust the data because it is the same data used by the government's own analysts. We also cross-validated our cleaned outputs against the official 2022 published figures — Nigel led that effort. If our pipeline had any systematic preprocessing error, the validation would have caught it.</w:t>
      </w:r>
    </w:p>
    <w:p>
      <w:pPr>
        <w:spacing w:after="80"/>
        <w:ind w:left="283"/>
      </w:pPr>
      <w:r>
        <w:rPr>
          <w:b/>
          <w:i/>
          <w:color w:val="646464"/>
        </w:rPr>
        <w:t xml:space="preserve">Code reference: </w:t>
      </w:r>
    </w:p>
    <w:p>
      <w:pPr>
        <w:spacing w:after="40"/>
        <w:ind w:left="567"/>
      </w:pPr>
      <w:r>
        <w:rPr>
          <w:rFonts w:ascii="Consolas" w:hAnsi="Consolas"/>
          <w:color w:val="3C3C3C"/>
          <w:sz w:val="20"/>
        </w:rPr>
        <w:t>• data/download_datasets.py — the script with the OpenDOSM URLs for all four datasets.</w:t>
      </w:r>
    </w:p>
    <w:p>
      <w:pPr>
        <w:spacing w:before="280" w:after="80"/>
      </w:pPr>
      <w:r>
        <w:rPr>
          <w:b/>
          <w:color w:val="1A3C6E"/>
          <w:sz w:val="24"/>
        </w:rPr>
        <w:t xml:space="preserve">Q3: </w:t>
      </w:r>
      <w:r>
        <w:rPr>
          <w:b/>
          <w:sz w:val="24"/>
        </w:rPr>
        <w:t>How do you ensure the pipeline is reproducible?</w:t>
      </w:r>
    </w:p>
    <w:p>
      <w:pPr>
        <w:spacing w:after="80"/>
        <w:ind w:left="283"/>
      </w:pPr>
      <w:r>
        <w:rPr>
          <w:b/>
          <w:color w:val="E8523A"/>
        </w:rPr>
        <w:t xml:space="preserve">Answer: </w:t>
      </w:r>
      <w:r>
        <w:t>Reproducibility comes from four mechanisms.</w:t>
      </w:r>
    </w:p>
    <w:p>
      <w:pPr>
        <w:spacing w:after="80"/>
        <w:ind w:left="283"/>
      </w:pPr>
      <w:r>
        <w:t>First, fixed random seeds. KMeans, PCA, and any other stochastic component is initialised with random_state=42. Running the pipeline twice on the same data produces bit-identical outputs.</w:t>
      </w:r>
    </w:p>
    <w:p>
      <w:pPr>
        <w:spacing w:after="80"/>
        <w:ind w:left="283"/>
      </w:pPr>
      <w:r>
        <w:t>Second, deterministic ordering. The pipeline always runs preprocessing, time-series, clustering, evaluation in that order. There is no concurrency or race condition.</w:t>
      </w:r>
    </w:p>
    <w:p>
      <w:pPr>
        <w:spacing w:after="80"/>
        <w:ind w:left="283"/>
      </w:pPr>
      <w:r>
        <w:t>Third, version-controlled inputs. The raw OpenDOSM CSVs are stored in Git LFS so the exact data used for any given run is preserved.</w:t>
      </w:r>
    </w:p>
    <w:p>
      <w:pPr>
        <w:spacing w:after="80"/>
        <w:ind w:left="283"/>
      </w:pPr>
      <w:r>
        <w:t>Fourth, explicit working directory and environment setup at the start of run_pipeline.py. The chdir and MPLCONFIGDIR calls make the script behave identically regardless of where Python was invoked from.</w:t>
      </w:r>
    </w:p>
    <w:p>
      <w:pPr>
        <w:spacing w:after="80"/>
        <w:ind w:left="283"/>
      </w:pPr>
      <w:r>
        <w:t>If anyone clones the repository and runs 'python run_pipeline.py', they will get the same JSON outputs, the same figures, and the same fitted model that we did.</w:t>
      </w:r>
    </w:p>
    <w:p>
      <w:pPr>
        <w:spacing w:before="280" w:after="80"/>
      </w:pPr>
      <w:r>
        <w:rPr>
          <w:b/>
          <w:color w:val="1A3C6E"/>
          <w:sz w:val="24"/>
        </w:rPr>
        <w:t xml:space="preserve">Q4: </w:t>
      </w:r>
      <w:r>
        <w:rPr>
          <w:b/>
          <w:sz w:val="24"/>
        </w:rPr>
        <w:t>How did your team divide the work? Was there any overlap?</w:t>
      </w:r>
    </w:p>
    <w:p>
      <w:pPr>
        <w:spacing w:after="80"/>
        <w:ind w:left="283"/>
      </w:pPr>
      <w:r>
        <w:rPr>
          <w:b/>
          <w:color w:val="E8523A"/>
        </w:rPr>
        <w:t xml:space="preserve">Answer: </w:t>
      </w:r>
      <w:r>
        <w:t>Yes, the division was deliberate but not rigid. Kenneth owned the ARIMA forecasting model itself — the order selection, the metrics, the fuel exogenous experiment. Kelvin owned the entire clustering analysis — feature engineering, K-Means, Hierarchical, validation. Nigel owned the cross-analysis layer — the fuel correlation, the cross-cutting charts, and the validation against official figures. Neng Yi owned the system — the pipeline orchestration, the forecasting workflow infrastructure (train/test split, retraining, plotting), and the dashboards.</w:t>
      </w:r>
    </w:p>
    <w:p>
      <w:pPr>
        <w:spacing w:after="80"/>
        <w:ind w:left="283"/>
      </w:pPr>
      <w:r>
        <w:t>Overlap was intentional in two places. Neng Yi shares the 'Forecasting Co-Lead' title with Kenneth because the forecasting workflow — splitting, retraining, plotting, saving — sits across both the modelling and the system layers. Nigel's chart code lives in the same evaluation.py file as shared utility plots, so we coordinated to avoid duplicate functions.</w:t>
      </w:r>
    </w:p>
    <w:p>
      <w:pPr>
        <w:spacing w:after="80"/>
        <w:ind w:left="283"/>
      </w:pPr>
      <w:r>
        <w:t>We used Git branches and weekly meetings to manage the integration. The single pipeline file (run_pipeline.py) acts as the contract: as long as each module's run_all returns the right shape, everything fits together.</w:t>
      </w:r>
    </w:p>
    <w:p>
      <w:pPr>
        <w:spacing w:before="280" w:after="80"/>
      </w:pPr>
      <w:r>
        <w:rPr>
          <w:b/>
          <w:color w:val="1A3C6E"/>
          <w:sz w:val="24"/>
        </w:rPr>
        <w:t xml:space="preserve">Q5: </w:t>
      </w:r>
      <w:r>
        <w:rPr>
          <w:b/>
          <w:sz w:val="24"/>
        </w:rPr>
        <w:t>What are the limitations of your approach? What should the lecturer know up front?</w:t>
      </w:r>
    </w:p>
    <w:p>
      <w:pPr>
        <w:spacing w:after="80"/>
        <w:ind w:left="283"/>
      </w:pPr>
      <w:r>
        <w:rPr>
          <w:b/>
          <w:color w:val="E8523A"/>
        </w:rPr>
        <w:t xml:space="preserve">Answer: </w:t>
      </w:r>
      <w:r>
        <w:t>Three honest limitations.</w:t>
      </w:r>
    </w:p>
    <w:p>
      <w:pPr>
        <w:spacing w:after="80"/>
        <w:ind w:left="283"/>
      </w:pPr>
      <w:r>
        <w:t>First, ARIMA is a univariate statistical model. It assumes the future will look like a continuation of the past. If there is a structural break — a major fuel subsidy reform, a global recession, a pandemic — the model cannot anticipate it. The 95% confidence band is conditional on that assumption holding.</w:t>
      </w:r>
    </w:p>
    <w:p>
      <w:pPr>
        <w:spacing w:after="80"/>
        <w:ind w:left="283"/>
      </w:pPr>
      <w:r>
        <w:t>Second, our clustering uses only five features. There are many other dimensions of state-level wellbeing that could matter — housing costs, healthcare access, education quality — that we did not include because the DOSM open data does not have them at state level on a comparable frequency. So our clusters reflect cost of living and income, not overall quality of life.</w:t>
      </w:r>
    </w:p>
    <w:p>
      <w:pPr>
        <w:spacing w:after="80"/>
        <w:ind w:left="283"/>
      </w:pPr>
      <w:r>
        <w:t>Third, the fuel-inflation correlation is only computed over the 2017-onward overlap window, because that is when fuel data starts. The relationship may have been different in earlier eras under different subsidy regimes.</w:t>
      </w:r>
    </w:p>
    <w:p>
      <w:pPr>
        <w:spacing w:after="80"/>
        <w:ind w:left="283"/>
      </w:pPr>
      <w:r>
        <w:t>We document all of these limitations in the report. None of them invalidate the analysis — they just bound its claims.</w:t>
      </w:r>
    </w:p>
    <w:p>
      <w:r>
        <w:br w:type="page"/>
      </w:r>
    </w:p>
    <w:p>
      <w:pPr>
        <w:jc w:val="center"/>
      </w:pPr>
      <w:r>
        <w:rPr>
          <w:b/>
          <w:color w:val="1A3C6E"/>
          <w:sz w:val="36"/>
        </w:rPr>
        <w:t>Final Tips for the Interview</w:t>
      </w:r>
    </w:p>
    <w:p/>
    <w:p>
      <w:pPr>
        <w:pStyle w:val="ListNumber"/>
        <w:spacing w:after="160"/>
      </w:pPr>
      <w:r>
        <w:t>Open the project in your IDE before the interview so you can navigate to specific line numbers when needed. The line references in this document point to the exact functions to display.</w:t>
      </w:r>
    </w:p>
    <w:p>
      <w:pPr>
        <w:pStyle w:val="ListNumber"/>
        <w:spacing w:after="160"/>
      </w:pPr>
      <w:r>
        <w:t>Do not memorise these answers verbatim. Read each Q&amp;A two or three times so you understand the reasoning, then explain it in your own words. The lecturer will detect rote memorisation immediately.</w:t>
      </w:r>
    </w:p>
    <w:p>
      <w:pPr>
        <w:pStyle w:val="ListNumber"/>
        <w:spacing w:after="160"/>
      </w:pPr>
      <w:r>
        <w:t>If you do not know the answer to a follow-up question, say so honestly and offer to reason it through. A confident 'I am not sure but here is how I would think about it' is far better than guessing.</w:t>
      </w:r>
    </w:p>
    <w:p>
      <w:pPr>
        <w:pStyle w:val="ListNumber"/>
        <w:spacing w:after="160"/>
      </w:pPr>
      <w:r>
        <w:t>If the lecturer asks about a teammate's part, you can briefly summarise it and then say 'that part was led by [name], they can explain the details.' Do not pretend to own work that was not yours.</w:t>
      </w:r>
    </w:p>
    <w:p>
      <w:pPr>
        <w:pStyle w:val="ListNumber"/>
        <w:spacing w:after="160"/>
      </w:pPr>
      <w:r>
        <w:t>Bring a printed copy of this document and the source code, or have them open on screen. Visual references make explanations clearer.</w:t>
      </w:r>
    </w:p>
    <w:p>
      <w:pPr>
        <w:pStyle w:val="ListNumber"/>
        <w:spacing w:after="160"/>
      </w:pPr>
      <w:r>
        <w:t>Practise explaining one or two of the more complex topics — ARIMA order selection, the silhouette metric, the train/test split logic — out loud the day before. Speaking is a different skill from understanding.</w:t>
      </w:r>
    </w:p>
    <w:p/>
    <w:p>
      <w:pPr>
        <w:jc w:val="center"/>
      </w:pPr>
      <w:r>
        <w:rPr>
          <w:b/>
          <w:color w:val="1A3C6E"/>
          <w:sz w:val="28"/>
        </w:rPr>
        <w:t>Good luck — E's Island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