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Afrimash Dataset Breakdown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RFM (Recency, Frequency and Monetary)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7"/>
        <w:gridCol w:w="6633"/>
        <w:tblGridChange w:id="0">
          <w:tblGrid>
            <w:gridCol w:w="2857"/>
            <w:gridCol w:w="66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assigned to each customer across all transactions. It serves as the primary key linking the RFM dataset to the transaction dataset.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Number of completed purchase transactions made by the customer during the observed period. Higher values indicate more active or loyal customers.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Monetary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Total revenue generated by the customer from all purchases (Net Sales aggregated across transactions). This measures the customer's overall value to the business.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Avg_Order_Value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average amount spent per transaction by the customer. Calculated as Monetary ÷ Frequency. Indicates spending behaviour per purchase.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Customer_Lifetime_Days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Total number of days between the customer’s first and last purchase (or registration date and last purchase). Reflects how long the customer has been active.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Purchase_Rate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Average purchase frequency per day, calculated as Frequency ÷ Customer_Lifetime_Days. Useful for predicting future purchase probability.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Classification of customer behaviour — typically </w:t>
            </w:r>
            <w:r w:rsidDel="00000000" w:rsidR="00000000" w:rsidRPr="00000000">
              <w:rPr>
                <w:b w:val="1"/>
                <w:rtl w:val="0"/>
              </w:rPr>
              <w:t xml:space="preserve">‘new’</w:t>
            </w:r>
            <w:r w:rsidDel="00000000" w:rsidR="00000000" w:rsidRPr="00000000">
              <w:rPr>
                <w:rtl w:val="0"/>
              </w:rPr>
              <w:t xml:space="preserve"> (first-time buyers) or </w:t>
            </w:r>
            <w:r w:rsidDel="00000000" w:rsidR="00000000" w:rsidRPr="00000000">
              <w:rPr>
                <w:b w:val="1"/>
                <w:rtl w:val="0"/>
              </w:rPr>
              <w:t xml:space="preserve">‘returning’</w:t>
            </w:r>
            <w:r w:rsidDel="00000000" w:rsidR="00000000" w:rsidRPr="00000000">
              <w:rPr>
                <w:rtl w:val="0"/>
              </w:rPr>
              <w:t xml:space="preserve"> (repeat customers).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traffic or marketing source that brought the customer (e.g., Direct, Organic: Google, Paid Ad, Referral). Useful for channel performance analysis.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Total_Items_Sold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total number of items the customer purchased across all orders. Reflects purchase volume and complements the frequency metric.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 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6"/>
        <w:gridCol w:w="7854"/>
        <w:tblGridChange w:id="0">
          <w:tblGrid>
            <w:gridCol w:w="1636"/>
            <w:gridCol w:w="7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linking each transaction to the specific customer (matches the Customer_ID in the RFM data).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 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each completed order transaction. Can be used to count distinct purchases per customer.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Timestamp showing when the order was placed (in YYYY-MM-DD HH:MM:SS format). Enables time-based analysis like recency or purchase intervals.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product(s) purchased in each transaction, often including quantity, brand, and variant details. Useful for product-level segmentation.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 sold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Number of items included in the order. This, when summed by Customer_ID, corresponds to Total_Items_Sold in the RFM data.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Gross revenue from the transaction before deductions (e.g., taxes, discounts, or adjustments). Useful for sales trend analysis.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Net_Sales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Actual revenue earned after cleaning adjustments like discounts, refunds, and taxes. This is the net figure used in the RFM’s </w:t>
            </w:r>
            <w:r w:rsidDel="00000000" w:rsidR="00000000" w:rsidRPr="00000000">
              <w:rPr>
                <w:b w:val="1"/>
                <w:rtl w:val="0"/>
              </w:rPr>
              <w:t xml:space="preserve">Monetary</w:t>
            </w:r>
            <w:r w:rsidDel="00000000" w:rsidR="00000000" w:rsidRPr="00000000">
              <w:rPr>
                <w:rtl w:val="0"/>
              </w:rPr>
              <w:t xml:space="preserve"> value.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Indicates the completion state of the transaction (e.g., </w:t>
            </w:r>
            <w:r w:rsidDel="00000000" w:rsidR="00000000" w:rsidRPr="00000000">
              <w:rPr>
                <w:i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cancelled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  <w:t xml:space="preserve">). Only “completed” transactions contribute to the RFM calculations.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280" w:top="1580" w:left="1340" w:right="1400" w:header="18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723900</wp:posOffset>
          </wp:positionH>
          <wp:positionV relativeFrom="page">
            <wp:posOffset>114300</wp:posOffset>
          </wp:positionV>
          <wp:extent cx="1533525" cy="7239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525" cy="7239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4143375</wp:posOffset>
          </wp:positionH>
          <wp:positionV relativeFrom="page">
            <wp:posOffset>114300</wp:posOffset>
          </wp:positionV>
          <wp:extent cx="2695575" cy="895349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5575" cy="8953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m143 Google Docs Renderer</vt:lpwstr>
  </property>
</Properties>
</file>