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52.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1259-words"/>
    <w:p>
      <w:pPr>
        <w:pStyle w:val="Heading1"/>
      </w:pPr>
      <w:r>
        <w:t xml:space="preserve">1. Introduction (1,259 words)</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prior naturalistic corpus studies indicates that, in the first years of life, multiple labels for the same referent are used seemingly interchangeably in children’s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It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(American)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(American)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a relevant review)</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unattested in English CDS. Looking 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word-recogntion accuracy in the</w:t>
      </w:r>
      <w:r>
        <w:t xml:space="preserve"> </w:t>
      </w:r>
      <w:r>
        <w:rPr>
          <w:i/>
          <w:iCs/>
        </w:rPr>
        <w:t xml:space="preserve">consistent</w:t>
      </w:r>
      <w:r>
        <w:t xml:space="preserve"> </w:t>
      </w:r>
      <w:r>
        <w:t xml:space="preserve">condition.</w:t>
      </w:r>
    </w:p>
    <w:p>
      <w:pPr>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5" w:name="method-1332-words"/>
    <w:p>
      <w:pPr>
        <w:pStyle w:val="Heading1"/>
      </w:pPr>
      <w:r>
        <w:t xml:space="preserve">2. Method (1,332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1"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 [</w:t>
      </w:r>
      <w:r>
        <w:t xml:space="preserve">“</w:t>
      </w:r>
      <w:r>
        <w:t xml:space="preserve">Can you find the _____? See the _____?</w:t>
      </w:r>
      <w:r>
        <w:t xml:space="preserve">”</w:t>
      </w:r>
      <w:r>
        <w:t xml:space="preserve">, following the test trial structure of Ota and Skarabela</w:t>
      </w:r>
      <w:r>
        <w:t xml:space="preserve"> </w:t>
      </w:r>
      <w:r>
        <w:t xml:space="preserve">(</w:t>
      </w:r>
      <w:hyperlink w:anchor="ref-ota2016reduplicated">
        <w:r>
          <w:rPr>
            <w:rStyle w:val="Hyperlink"/>
          </w:rPr>
          <w:t xml:space="preserve">2016</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14,131ms long, on average (range = 14,094–14,150ms), including 2,000ms silent periods between exposure sentences. Test trials were all exactly 4,966ms long, with target word durations ranging from 613 to 634ms (</w:t>
      </w:r>
      <w:r>
        <w:rPr>
          <w:i/>
          <w:iCs/>
        </w:rPr>
        <w:t xml:space="preserve">M</w:t>
      </w:r>
      <w:r>
        <w:t xml:space="preserve"> </w:t>
      </w:r>
      <w:r>
        <w:t xml:space="preserve">= 624ms), and including 2,000ms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1"/>
    <w:bookmarkStart w:id="42"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500ms, range = 250–750ms) or when the participant looked at the screen. During each exposure trial, a single target object appeared silently on the screen for 1,500ms or until the participant looked at the screen. Then, the exposure audio played (see stimulus details above).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(see stimulus details above). After the offset of the audio, the side-by-side objects remained on the screen for an additional 2,000ms.</w:t>
      </w:r>
    </w:p>
    <w:bookmarkEnd w:id="42"/>
    <w:bookmarkStart w:id="43"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3"/>
    <w:bookmarkStart w:id="44"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4"/>
    <w:bookmarkEnd w:id="45"/>
    <w:bookmarkStart w:id="58" w:name="results-950-words"/>
    <w:p>
      <w:pPr>
        <w:pStyle w:val="Heading1"/>
      </w:pPr>
      <w:r>
        <w:t xml:space="preserve">3. Results (950 words)</w:t>
      </w:r>
    </w:p>
    <w:bookmarkStart w:id="51"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novel-word 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 inflated beta regression models</w:t>
      </w:r>
      <w:r>
        <w:rPr>
          <w:rStyle w:val="FootnoteReference"/>
        </w:rPr>
        <w:footnoteReference w:id="46"/>
      </w:r>
      <w:r>
        <w:t xml:space="preserve"> </w:t>
      </w:r>
      <w:r>
        <w:t xml:space="preserve">to examine the effects of condition and age on children’s novel word-recognition accuracy (i.e., proportion looking to the target object). Models included fixed effects for condition (atypical variation vs. consistent vs. typical variation) and mean-centered age</w:t>
      </w:r>
      <w:r>
        <w:rPr>
          <w:rStyle w:val="FootnoteReference"/>
        </w:rPr>
        <w:footnoteReference w:id="47"/>
      </w:r>
      <w:r>
        <w:t xml:space="preserv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0.60]).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9" name="Picture"/>
            <a:graphic>
              <a:graphicData uri="http://schemas.openxmlformats.org/drawingml/2006/picture">
                <pic:pic>
                  <pic:nvPicPr>
                    <pic:cNvPr descr="Figure1.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condition effects remain uncertain given the credible interval overlap with zero, their alignment with the</w:t>
      </w:r>
      <w:r>
        <w:t xml:space="preserve"> </w:t>
      </w:r>
      <m:oMath>
        <m:r>
          <m:t>μ</m:t>
        </m:r>
      </m:oMath>
      <w:r>
        <w:t xml:space="preserve"> </w:t>
      </w:r>
      <w:r>
        <w:t xml:space="preserve">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accuarcy being a boundary value—floor (0) or ceiling (1). The coi (conditional-one inflation) component models the probability of ceiling responses (1s) among boundary values.</w:t>
      </w:r>
    </w:p>
    <w:p>
      <w:pPr>
        <w:pStyle w:val="BodyText"/>
      </w:pPr>
      <w:r>
        <w:t xml:space="preserve"> </w:t>
      </w:r>
    </w:p>
    <w:bookmarkEnd w:id="51"/>
    <w:bookmarkStart w:id="57" w:name="X766ac349de9df7b6c7c4b96c9a4fd67a2087b79"/>
    <w:p>
      <w:pPr>
        <w:pStyle w:val="Heading2"/>
      </w:pPr>
      <w:r>
        <w:t xml:space="preserve">3.2 Moment-by-moment attention measured by pupil size synchrony</w:t>
      </w:r>
    </w:p>
    <w:bookmarkStart w:id="55"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3" name="Picture"/>
            <a:graphic>
              <a:graphicData uri="http://schemas.openxmlformats.org/drawingml/2006/picture">
                <pic:pic>
                  <pic:nvPicPr>
                    <pic:cNvPr descr="Figure2.png" id="54" name="Picture"/>
                    <pic:cNvPicPr>
                      <a:picLocks noChangeArrowheads="1" noChangeAspect="1"/>
                    </pic:cNvPicPr>
                  </pic:nvPicPr>
                  <pic:blipFill>
                    <a:blip r:embed="rId52"/>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5"/>
    <w:bookmarkStart w:id="56"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condition-by-synchrony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bookmarkEnd w:id="56"/>
    <w:bookmarkEnd w:id="57"/>
    <w:bookmarkEnd w:id="58"/>
    <w:bookmarkStart w:id="59"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(reduplicated/diminutivized word forms attested in English CDS) versus atypical label variants (word forms unattested in English CDS). This is, to our knowledge, the first study to date to directly manipulate children’s exposure to label variation during a lab-based novel word learning task. Building on prior naturalistic corpus analyses of CDS variant use</w:t>
      </w:r>
      <w:r>
        <w:t xml:space="preserve"> </w:t>
      </w:r>
      <w:r>
        <w:t xml:space="preserve">(</w:t>
      </w:r>
      <w:hyperlink w:anchor="ref-caseyIPcorpus">
        <w:r>
          <w:rPr>
            <w:rStyle w:val="Hyperlink"/>
          </w:rPr>
          <w:t xml:space="preserve">Casey et al., in preparation</w:t>
        </w:r>
      </w:hyperlink>
      <w:r>
        <w:t xml:space="preserve">; 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Overall across conditions, toddlers reliably recognized novel words after a brief exposure phase. Word-recognition accuracy was numerically highest in the typical variation condition and lowest in the atypical variation condition. We provided toddlers with two opportunities demonstrate their recognition of the novel word-object mappings given the difficulty of the task, especially for the youngest participants. Condition effects emerged primarily following the first labeling window, during which children’s performance was at chance in the atypical variation condition and above chance in the typical variation and consistent conditions. These patterns point to possible condition effects, but our mixed-model analyses indicated uncertainty. [more discussion here]</w:t>
      </w:r>
    </w:p>
    <w:p>
      <w:pPr>
        <w:pStyle w:val="BodyText"/>
      </w:pPr>
      <w:r>
        <w:t xml:space="preserve">[explain why different condition trends emerged or did not, exposure to 4 standard forms was potentially enough, still it’s encouraging that children could at least</w:t>
      </w:r>
      <w:r>
        <w:t xml:space="preserve"> </w:t>
      </w:r>
      <w:r>
        <w:t xml:space="preserve">“</w:t>
      </w:r>
      <w:r>
        <w:t xml:space="preserve">filter it out</w:t>
      </w:r>
      <w:r>
        <w:t xml:space="preserve">”</w:t>
      </w:r>
      <w:r>
        <w:t xml:space="preserve">, testing only on the standard form of the target word, future work needed]</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golidlocks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where a moderate amount of variability is desirable. In the context of our experiment, the typical CDS variants… Overall, our pupillometry findings point to attentional engagement as a plausible—but not yet definitively established—mechanism by which label variation (particularly of the type that children encounter naturalistically) could facilitate novel word learning over short timescales.</w:t>
      </w:r>
    </w:p>
    <w:p>
      <w:pPr>
        <w:pStyle w:val="BodyText"/>
      </w:pPr>
      <w:r>
        <w:t xml:space="preserve">It is important to acknowledge that our findings do not tell us</w:t>
      </w:r>
      <w:r>
        <w:t xml:space="preserve"> </w:t>
      </w:r>
      <w:r>
        <w:rPr>
          <w:i/>
          <w:iCs/>
        </w:rPr>
        <w:t xml:space="preserve">why</w:t>
      </w:r>
      <w:r>
        <w:t xml:space="preserve"> </w:t>
      </w:r>
      <w:r>
        <w:t xml:space="preserve">children were able to succeed in learning words from consistent and variable labels. One possibility is that children</w:t>
      </w:r>
      <w:r>
        <w:t xml:space="preserve"> </w:t>
      </w:r>
      <w:r>
        <w:t xml:space="preserve">“</w:t>
      </w:r>
      <w:r>
        <w:t xml:space="preserve">filtered out</w:t>
      </w:r>
      <w:r>
        <w:t xml:space="preserve">”</w:t>
      </w:r>
      <w:r>
        <w:t xml:space="preserve"> </w:t>
      </w:r>
      <w:r>
        <w:t xml:space="preserve">the variants and focused only on the standard word forms, for which they received at least four exposures during the learning phase. This explanation is plausible in the context of this short in-lab experiment, though does not seem to be the case in naturalistic settings, where CDS variants are common in children’s early productive vocabularies [CITES] and are produced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w:t>
      </w:r>
    </w:p>
    <w:p>
      <w:pPr>
        <w:pStyle w:val="BodyText"/>
      </w:pPr>
      <w:r>
        <w:t xml:space="preserve">In conclusion, this is the first experimental study to provide evidence that English-hearing toddlers can successfully contend with label variants when learning new words. Future work is still needed to better understand</w:t>
      </w:r>
    </w:p>
    <w:bookmarkEnd w:id="59"/>
    <w:bookmarkStart w:id="127" w:name="references"/>
    <w:p>
      <w:pPr>
        <w:pStyle w:val="Heading1"/>
      </w:pPr>
      <w:r>
        <w:t xml:space="preserve">5. References</w:t>
      </w:r>
    </w:p>
    <w:bookmarkStart w:id="126" w:name="refs"/>
    <w:bookmarkStart w:id="61"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0">
        <w:r>
          <w:rPr>
            <w:rStyle w:val="Hyperlink"/>
          </w:rPr>
          <w:t xml:space="preserve">https://doi.org/10.18637/jss.v067.i01</w:t>
        </w:r>
      </w:hyperlink>
    </w:p>
    <w:bookmarkEnd w:id="61"/>
    <w:bookmarkStart w:id="62"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2"/>
    <w:bookmarkStart w:id="63"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3"/>
    <w:bookmarkStart w:id="65"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64">
        <w:r>
          <w:rPr>
            <w:rStyle w:val="Hyperlink"/>
          </w:rPr>
          <w:t xml:space="preserve">https://doi.org/10.32614/RJ-2017-066</w:t>
        </w:r>
      </w:hyperlink>
    </w:p>
    <w:bookmarkEnd w:id="65"/>
    <w:bookmarkStart w:id="66"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6"/>
    <w:bookmarkStart w:id="67"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7"/>
    <w:bookmarkStart w:id="68"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8"/>
    <w:bookmarkStart w:id="69"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9"/>
    <w:bookmarkStart w:id="70"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70"/>
    <w:bookmarkStart w:id="71"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71"/>
    <w:bookmarkStart w:id="72"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72"/>
    <w:bookmarkStart w:id="73"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73"/>
    <w:bookmarkStart w:id="74"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74"/>
    <w:bookmarkStart w:id="75"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5"/>
    <w:bookmarkStart w:id="76"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6"/>
    <w:bookmarkStart w:id="77"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7"/>
    <w:bookmarkStart w:id="78"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8"/>
    <w:bookmarkStart w:id="79"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9"/>
    <w:bookmarkStart w:id="80"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80"/>
    <w:bookmarkStart w:id="81"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81"/>
    <w:bookmarkStart w:id="82"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82"/>
    <w:bookmarkStart w:id="83"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83"/>
    <w:bookmarkStart w:id="84"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84"/>
    <w:bookmarkStart w:id="85"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5"/>
    <w:bookmarkStart w:id="86"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6"/>
    <w:bookmarkStart w:id="87"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7"/>
    <w:bookmarkStart w:id="88"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8"/>
    <w:bookmarkStart w:id="89"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9"/>
    <w:bookmarkStart w:id="90"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90"/>
    <w:bookmarkStart w:id="91"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91"/>
    <w:bookmarkStart w:id="92"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92"/>
    <w:bookmarkStart w:id="93"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93"/>
    <w:bookmarkStart w:id="94"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94"/>
    <w:bookmarkStart w:id="95"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5"/>
    <w:bookmarkStart w:id="96"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6"/>
    <w:bookmarkStart w:id="97"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7"/>
    <w:bookmarkStart w:id="98"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8"/>
    <w:bookmarkStart w:id="99"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9"/>
    <w:bookmarkStart w:id="100"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100"/>
    <w:bookmarkStart w:id="101"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101"/>
    <w:bookmarkStart w:id="102"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102"/>
    <w:bookmarkStart w:id="103"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103"/>
    <w:bookmarkStart w:id="104"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4"/>
    <w:bookmarkStart w:id="105"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5"/>
    <w:bookmarkStart w:id="107"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6">
        <w:r>
          <w:rPr>
            <w:rStyle w:val="Hyperlink"/>
          </w:rPr>
          <w:t xml:space="preserve">https://procreate.com/</w:t>
        </w:r>
      </w:hyperlink>
    </w:p>
    <w:bookmarkEnd w:id="107"/>
    <w:bookmarkStart w:id="108"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08"/>
    <w:bookmarkStart w:id="109"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09"/>
    <w:bookmarkStart w:id="110"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10"/>
    <w:bookmarkStart w:id="111"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11"/>
    <w:bookmarkStart w:id="112"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12"/>
    <w:bookmarkStart w:id="114"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13">
        <w:r>
          <w:rPr>
            <w:rStyle w:val="Hyperlink"/>
          </w:rPr>
          <w:t xml:space="preserve">https://mc-stan.org/</w:t>
        </w:r>
      </w:hyperlink>
    </w:p>
    <w:bookmarkEnd w:id="114"/>
    <w:bookmarkStart w:id="115"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15"/>
    <w:bookmarkStart w:id="116"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6"/>
    <w:bookmarkStart w:id="117"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17"/>
    <w:bookmarkStart w:id="118"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18"/>
    <w:bookmarkStart w:id="119"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19"/>
    <w:bookmarkStart w:id="120"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20"/>
    <w:bookmarkStart w:id="121"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21"/>
    <w:bookmarkStart w:id="122"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22"/>
    <w:bookmarkStart w:id="124"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23">
        <w:r>
          <w:rPr>
            <w:rStyle w:val="Hyperlink"/>
          </w:rPr>
          <w:t xml:space="preserve">https://doi.org/10.1214/17-BA1091</w:t>
        </w:r>
      </w:hyperlink>
    </w:p>
    <w:bookmarkEnd w:id="124"/>
    <w:bookmarkStart w:id="125"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25"/>
    <w:bookmarkEnd w:id="126"/>
    <w:bookmarkEnd w:id="12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(1)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(2) the model fails to converge with the maximal random effects structure, which forced us to remove the random slope for condition and thus reduced our ability to detect within-subject effects of condition.</w:t>
      </w:r>
    </w:p>
  </w:footnote>
  <w:footnote w:id="47">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1" Target="media/rId21.svg" /><Relationship Type="http://schemas.openxmlformats.org/officeDocument/2006/relationships/hyperlink" Id="rId123" Target="https://doi.org/10.1214/17-BA1091" TargetMode="External" /><Relationship Type="http://schemas.openxmlformats.org/officeDocument/2006/relationships/hyperlink" Id="rId60" Target="https://doi.org/10.18637/jss.v067.i01" TargetMode="External" /><Relationship Type="http://schemas.openxmlformats.org/officeDocument/2006/relationships/hyperlink" Id="rId64" Target="https://doi.org/10.32614/RJ-2017-066" TargetMode="External" /><Relationship Type="http://schemas.openxmlformats.org/officeDocument/2006/relationships/hyperlink" Id="rId11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6"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1214/17-BA1091" TargetMode="External" /><Relationship Type="http://schemas.openxmlformats.org/officeDocument/2006/relationships/hyperlink" Id="rId60" Target="https://doi.org/10.18637/jss.v067.i01" TargetMode="External" /><Relationship Type="http://schemas.openxmlformats.org/officeDocument/2006/relationships/hyperlink" Id="rId64" Target="https://doi.org/10.32614/RJ-2017-066" TargetMode="External" /><Relationship Type="http://schemas.openxmlformats.org/officeDocument/2006/relationships/hyperlink" Id="rId113"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6"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2025-08-17T22:10:17Z</dcterms:created>
  <dcterms:modified xsi:type="dcterms:W3CDTF">2025-08-17T22:10:17Z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3938</vt:lpwstr>
  </property>
  <property fmtid="{D5CDD505-2E9C-101B-9397-08002B2CF9AE}" pid="61" name="zerocitations">
    <vt:lpwstr>False</vt:lpwstr>
  </property>
</Properties>
</file>