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45C5" w14:textId="77777777" w:rsidR="003F2D62" w:rsidRDefault="00000000">
      <w:pPr>
        <w:pStyle w:val="FirstParagraph"/>
      </w:pPr>
      <w:r>
        <w:t xml:space="preserve"> </w:t>
      </w:r>
    </w:p>
    <w:p w14:paraId="4BED3CDB" w14:textId="77777777" w:rsidR="003F2D62" w:rsidRDefault="00000000">
      <w:pPr>
        <w:pStyle w:val="BodyText"/>
      </w:pPr>
      <w:r>
        <w:t xml:space="preserve"> </w:t>
      </w:r>
    </w:p>
    <w:p w14:paraId="6744706E" w14:textId="77777777" w:rsidR="003F2D62" w:rsidRDefault="00000000">
      <w:pPr>
        <w:pStyle w:val="Heading1"/>
      </w:pPr>
      <w:bookmarkStart w:id="0" w:name="title"/>
      <w:r>
        <w:t>English-hearing toddlers learn words from consistent and variable labels</w:t>
      </w:r>
    </w:p>
    <w:p w14:paraId="479A0D38" w14:textId="77777777" w:rsidR="003F2D62" w:rsidRDefault="00000000">
      <w:pPr>
        <w:pStyle w:val="Author"/>
      </w:pPr>
      <w:r>
        <w:t xml:space="preserve"> </w:t>
      </w:r>
    </w:p>
    <w:p w14:paraId="7BF9EE57" w14:textId="77777777" w:rsidR="003F2D62" w:rsidRDefault="00000000">
      <w:pPr>
        <w:pStyle w:val="Author"/>
      </w:pPr>
      <w:r>
        <w:t>Kennedy Casey and Casey Lew-Williams</w:t>
      </w:r>
    </w:p>
    <w:p w14:paraId="3E396702" w14:textId="77777777" w:rsidR="003F2D62" w:rsidRDefault="00000000">
      <w:pPr>
        <w:pStyle w:val="Author"/>
      </w:pPr>
      <w:r>
        <w:t>Department of Psychology, Princeton University</w:t>
      </w:r>
    </w:p>
    <w:p w14:paraId="3B3184AE" w14:textId="77777777" w:rsidR="003F2D62" w:rsidRDefault="00000000">
      <w:pPr>
        <w:pStyle w:val="BodyText"/>
      </w:pPr>
      <w:r>
        <w:t xml:space="preserve"> </w:t>
      </w:r>
    </w:p>
    <w:p w14:paraId="75BBCF97" w14:textId="77777777" w:rsidR="003F2D62" w:rsidRDefault="00000000">
      <w:pPr>
        <w:pStyle w:val="BodyText"/>
      </w:pPr>
      <w:r>
        <w:t xml:space="preserve"> </w:t>
      </w:r>
    </w:p>
    <w:p w14:paraId="4117BF87" w14:textId="77777777" w:rsidR="003F2D62" w:rsidRDefault="00000000">
      <w:pPr>
        <w:pStyle w:val="Heading1"/>
      </w:pPr>
      <w:bookmarkStart w:id="1" w:name="author-note"/>
      <w:bookmarkEnd w:id="0"/>
      <w:r>
        <w:t>Author Note</w:t>
      </w:r>
    </w:p>
    <w:p w14:paraId="471B78A2" w14:textId="77777777" w:rsidR="003F2D62" w:rsidRDefault="00000000">
      <w:pPr>
        <w:pStyle w:val="FirstParagraph"/>
      </w:pPr>
      <w:r>
        <w:t xml:space="preserve">Kennedy Casey </w:t>
      </w:r>
      <w:r>
        <w:rPr>
          <w:noProof/>
        </w:rPr>
        <w:drawing>
          <wp:inline distT="0" distB="0" distL="0" distR="0" wp14:anchorId="6FE9BC8C" wp14:editId="74F33A79">
            <wp:extent cx="152279" cy="152279"/>
            <wp:effectExtent l="0" t="0" r="0" b="0"/>
            <wp:docPr id="2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9">
        <w:r>
          <w:rPr>
            <w:rStyle w:val="Hyperlink"/>
          </w:rPr>
          <w:t>https://orcid.org/0000-0001-5326-3080</w:t>
        </w:r>
      </w:hyperlink>
    </w:p>
    <w:p w14:paraId="03EFA97C" w14:textId="77777777" w:rsidR="003F2D62" w:rsidRDefault="00000000">
      <w:pPr>
        <w:pStyle w:val="BodyText"/>
      </w:pPr>
      <w:r>
        <w:t xml:space="preserve">Casey Lew-Williams </w:t>
      </w:r>
      <w:bookmarkStart w:id="2" w:name="orchid"/>
      <w:r>
        <w:rPr>
          <w:noProof/>
        </w:rPr>
        <w:drawing>
          <wp:inline distT="0" distB="0" distL="0" distR="0" wp14:anchorId="3217184A" wp14:editId="3B0B8AC0">
            <wp:extent cx="152279" cy="152279"/>
            <wp:effectExtent l="0" t="0" r="0" b="0"/>
            <wp:docPr id="26"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7"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
      <w:r>
        <w:t xml:space="preserve"> </w:t>
      </w:r>
      <w:hyperlink r:id="rId10">
        <w:r>
          <w:rPr>
            <w:rStyle w:val="Hyperlink"/>
          </w:rPr>
          <w:t>https://orcid.org/0000-0002-8781-4458</w:t>
        </w:r>
      </w:hyperlink>
    </w:p>
    <w:p w14:paraId="1C45AA3A" w14:textId="77777777" w:rsidR="003F2D62" w:rsidRDefault="00000000">
      <w:pPr>
        <w:pStyle w:val="BodyText"/>
      </w:pPr>
      <w:r>
        <w:t>The study design and analysis plan was pre-registered (</w:t>
      </w:r>
      <w:hyperlink r:id="rId11">
        <w:r>
          <w:rPr>
            <w:rStyle w:val="Hyperlink"/>
          </w:rPr>
          <w:t>https://osf.io/uqz6d</w:t>
        </w:r>
      </w:hyperlink>
      <w:r>
        <w:t>). Anonymized data and fully reproducible manuscript code are available at LINK. The authors declare no conflicts of interest. This research was supported by the Eunice Kennedy Shriver National Institute of Child Health and Human Development (R01R01HD095912-05 awarded to CLW) and the National Science Foundation (Graduate Research Fellowship awarded to KC). We are grateful to the participating families as well as the members of the Princeton Baby Lab and Psychology of Language Lab for their feedback on this work.</w:t>
      </w:r>
    </w:p>
    <w:p w14:paraId="37A0450B" w14:textId="77777777" w:rsidR="003F2D62" w:rsidRDefault="00000000">
      <w:pPr>
        <w:pStyle w:val="BodyText"/>
      </w:pPr>
      <w:r>
        <w:t xml:space="preserve">Correspondence concerning this article should be addressed to Kennedy Casey, Department of Psychology, Princeton University, 40 Woodlands Way, Princeton, NJ 08544, Email: </w:t>
      </w:r>
      <w:hyperlink r:id="rId12">
        <w:r>
          <w:rPr>
            <w:rStyle w:val="Hyperlink"/>
          </w:rPr>
          <w:t>kcasey@princeton.edu</w:t>
        </w:r>
      </w:hyperlink>
    </w:p>
    <w:p w14:paraId="1A8585E6" w14:textId="77777777" w:rsidR="003F2D62" w:rsidRDefault="00000000">
      <w:r>
        <w:br w:type="page"/>
      </w:r>
    </w:p>
    <w:p w14:paraId="0F6E864D" w14:textId="77777777" w:rsidR="003F2D62" w:rsidRDefault="00000000">
      <w:pPr>
        <w:pStyle w:val="Heading1"/>
      </w:pPr>
      <w:bookmarkStart w:id="3" w:name="abstract"/>
      <w:bookmarkEnd w:id="1"/>
      <w:r>
        <w:lastRenderedPageBreak/>
        <w:t>Abstract</w:t>
      </w:r>
    </w:p>
    <w:p w14:paraId="1E22DEDD" w14:textId="77777777" w:rsidR="003F2D62" w:rsidRDefault="00000000">
      <w:pPr>
        <w:pStyle w:val="AbstractFirstParagraph"/>
      </w:pPr>
      <w:r>
        <w:t xml:space="preserve">Early word learning is traditionally characterized as a process of mapping a single label onto a single referent. Yet, across many languages, child-directed speech (CDS) frequently features multiple labels for the same referent, including diminutivized and reduplicated word forms (e.g., </w:t>
      </w:r>
      <w:r>
        <w:rPr>
          <w:i/>
          <w:iCs/>
        </w:rPr>
        <w:t>doggy</w:t>
      </w:r>
      <w:r>
        <w:t xml:space="preserve"> or </w:t>
      </w:r>
      <w:r>
        <w:rPr>
          <w:i/>
          <w:iCs/>
        </w:rPr>
        <w:t>woof-woof</w:t>
      </w:r>
      <w:r>
        <w:t xml:space="preserve"> for </w:t>
      </w:r>
      <w:r>
        <w:rPr>
          <w:i/>
          <w:iCs/>
        </w:rPr>
        <w:t>dog</w:t>
      </w:r>
      <w:r>
        <w:t>). We examined how consistent versus variable labels impact children’s novel word learning. In a within-subjects eye-tracking experiment, we exposed 18- to 36-month-old English-hearing children to novel objects that were labeled either consistently, with typical CDS variants, or with unattested CDS variants that are atypical in English. Using looking-time measures of word-recognition accuracy, we found that children reliably learned words in the consistent and typical variation conditions, with weaker performance in the atypical variation condition. Using pupil size synchrony measures of moment-by-moment attention, we found that engagement was higher in both variation conditions compared to the consistent condition, and was highest in the typical variation condition. Our findings suggest (1) that children can successfully contend with multiple types of label variation when learning new words, and (2) that increased attention is a plausible mechanism by which label variation could support—rather than hinder—children’s early word learning.</w:t>
      </w:r>
    </w:p>
    <w:p w14:paraId="3ACC822D" w14:textId="77777777" w:rsidR="003F2D62" w:rsidRDefault="00000000">
      <w:pPr>
        <w:pStyle w:val="BodyText"/>
      </w:pPr>
      <w:r>
        <w:rPr>
          <w:i/>
          <w:iCs/>
        </w:rPr>
        <w:t>Keywords</w:t>
      </w:r>
      <w:r>
        <w:t>: word learning, child-directed speech, wordplay, eye-tracking</w:t>
      </w:r>
    </w:p>
    <w:p w14:paraId="52AAD389" w14:textId="77777777" w:rsidR="003F2D62" w:rsidRDefault="00000000">
      <w:r>
        <w:br w:type="page"/>
      </w:r>
    </w:p>
    <w:p w14:paraId="7E820AC7" w14:textId="77777777" w:rsidR="003F2D62" w:rsidRDefault="00000000">
      <w:pPr>
        <w:pStyle w:val="Heading1"/>
      </w:pPr>
      <w:bookmarkStart w:id="4" w:name="firstheader"/>
      <w:bookmarkEnd w:id="3"/>
      <w:r>
        <w:lastRenderedPageBreak/>
        <w:t>English-hearing toddlers learn words from consistent and variable labels</w:t>
      </w:r>
    </w:p>
    <w:p w14:paraId="5DE47697" w14:textId="77777777" w:rsidR="003F2D62" w:rsidRDefault="00000000">
      <w:pPr>
        <w:pStyle w:val="Heading1"/>
      </w:pPr>
      <w:bookmarkStart w:id="5" w:name="introduction"/>
      <w:bookmarkEnd w:id="4"/>
      <w:r>
        <w:t>1. Introduction</w:t>
      </w:r>
    </w:p>
    <w:p w14:paraId="20A67A44" w14:textId="77777777" w:rsidR="003F2D62" w:rsidRDefault="00000000">
      <w:pPr>
        <w:pStyle w:val="FirstParagraph"/>
      </w:pPr>
      <w:r>
        <w:t>Across many languages, child-directed speech (CDS) frequently includes “baby-talk” words that are unique, or at least highly specific, to this register (</w:t>
      </w:r>
      <w:hyperlink w:anchor="ref-bynon1968berber">
        <w:r>
          <w:rPr>
            <w:rStyle w:val="Hyperlink"/>
          </w:rPr>
          <w:t>Bynon, 1968</w:t>
        </w:r>
      </w:hyperlink>
      <w:r>
        <w:t xml:space="preserve">; </w:t>
      </w:r>
      <w:hyperlink w:anchor="ref-casagrande1948comanche">
        <w:r>
          <w:rPr>
            <w:rStyle w:val="Hyperlink"/>
          </w:rPr>
          <w:t>Casagrande, 1948</w:t>
        </w:r>
      </w:hyperlink>
      <w:r>
        <w:t xml:space="preserve">; </w:t>
      </w:r>
      <w:hyperlink w:anchor="ref-ferguson1964baby">
        <w:r>
          <w:rPr>
            <w:rStyle w:val="Hyperlink"/>
          </w:rPr>
          <w:t>Ferguson, 1964</w:t>
        </w:r>
      </w:hyperlink>
      <w:r>
        <w:t xml:space="preserve">; </w:t>
      </w:r>
      <w:hyperlink w:anchor="ref-han2023che">
        <w:r>
          <w:rPr>
            <w:rStyle w:val="Hyperlink"/>
          </w:rPr>
          <w:t>Han &amp; Gu, 2023</w:t>
        </w:r>
      </w:hyperlink>
      <w:r>
        <w:t xml:space="preserve">; </w:t>
      </w:r>
      <w:hyperlink w:anchor="ref-mazuka2008japanese">
        <w:r>
          <w:rPr>
            <w:rStyle w:val="Hyperlink"/>
          </w:rPr>
          <w:t>Mazuka et al., 2008</w:t>
        </w:r>
      </w:hyperlink>
      <w:r>
        <w:t xml:space="preserve">; </w:t>
      </w:r>
      <w:hyperlink w:anchor="ref-ota2018choo">
        <w:r>
          <w:rPr>
            <w:rStyle w:val="Hyperlink"/>
          </w:rPr>
          <w:t>Ota et al., 2018</w:t>
        </w:r>
      </w:hyperlink>
      <w:r>
        <w:t xml:space="preserve">; </w:t>
      </w:r>
      <w:hyperlink w:anchor="ref-pye1986quiche">
        <w:r>
          <w:rPr>
            <w:rStyle w:val="Hyperlink"/>
          </w:rPr>
          <w:t>Pye, 1986</w:t>
        </w:r>
      </w:hyperlink>
      <w:r>
        <w:t xml:space="preserve">; </w:t>
      </w:r>
      <w:hyperlink w:anchor="ref-sarvasy2025child">
        <w:r>
          <w:rPr>
            <w:rStyle w:val="Hyperlink"/>
          </w:rPr>
          <w:t>Sarvasy et al., 2025</w:t>
        </w:r>
      </w:hyperlink>
      <w:r>
        <w:t xml:space="preserve">). Child-directed words are often variants of existing adult word forms, involving phonological and/or morphological changes (e.g., </w:t>
      </w:r>
      <w:r>
        <w:rPr>
          <w:i/>
          <w:iCs/>
        </w:rPr>
        <w:t>doggy</w:t>
      </w:r>
      <w:r>
        <w:t xml:space="preserve"> for </w:t>
      </w:r>
      <w:r>
        <w:rPr>
          <w:i/>
          <w:iCs/>
        </w:rPr>
        <w:t>dog</w:t>
      </w:r>
      <w:r>
        <w:t xml:space="preserve">, </w:t>
      </w:r>
      <w:hyperlink w:anchor="ref-moore2024wordform">
        <w:r>
          <w:rPr>
            <w:rStyle w:val="Hyperlink"/>
          </w:rPr>
          <w:t>Moore &amp; Bergelson, 2024</w:t>
        </w:r>
      </w:hyperlink>
      <w:r>
        <w:t xml:space="preserve">) or replacement by onomatopoeic forms (e.g., </w:t>
      </w:r>
      <w:r>
        <w:rPr>
          <w:i/>
          <w:iCs/>
        </w:rPr>
        <w:t>woof-woof</w:t>
      </w:r>
      <w:r>
        <w:t xml:space="preserve"> as an alternate label for </w:t>
      </w:r>
      <w:r>
        <w:rPr>
          <w:i/>
          <w:iCs/>
        </w:rPr>
        <w:t>dog</w:t>
      </w:r>
      <w:r>
        <w:t xml:space="preserve">: </w:t>
      </w:r>
      <w:hyperlink w:anchor="ref-laing2017perceptual">
        <w:r>
          <w:rPr>
            <w:rStyle w:val="Hyperlink"/>
          </w:rPr>
          <w:t>Laing, 2017</w:t>
        </w:r>
      </w:hyperlink>
      <w:r>
        <w:t xml:space="preserve">; </w:t>
      </w:r>
      <w:hyperlink w:anchor="ref-ota2018choo">
        <w:r>
          <w:rPr>
            <w:rStyle w:val="Hyperlink"/>
          </w:rPr>
          <w:t>Ota et al., 2018</w:t>
        </w:r>
      </w:hyperlink>
      <w:r>
        <w:t xml:space="preserve">), though some share little to no overlap in form or meaning (e.g., </w:t>
      </w:r>
      <w:r>
        <w:rPr>
          <w:i/>
          <w:iCs/>
        </w:rPr>
        <w:t>bunny</w:t>
      </w:r>
      <w:r>
        <w:t xml:space="preserve"> for </w:t>
      </w:r>
      <w:r>
        <w:rPr>
          <w:i/>
          <w:iCs/>
        </w:rPr>
        <w:t>rabbit</w:t>
      </w:r>
      <w:r>
        <w:t xml:space="preserve">: </w:t>
      </w:r>
      <w:hyperlink w:anchor="ref-soderstrom2007beyond">
        <w:r>
          <w:rPr>
            <w:rStyle w:val="Hyperlink"/>
          </w:rPr>
          <w:t>Soderstrom, 2007</w:t>
        </w:r>
      </w:hyperlink>
      <w:r>
        <w:t>). While child-directed variants are typically replaced by adult forms later in development (</w:t>
      </w:r>
      <w:hyperlink w:anchor="ref-casey2022doggy">
        <w:r>
          <w:rPr>
            <w:rStyle w:val="Hyperlink"/>
          </w:rPr>
          <w:t>Casey &amp; Casillas, 2022</w:t>
        </w:r>
      </w:hyperlink>
      <w:r>
        <w:t>), evidence from a prior naturalistic corpus study indicates that, in the first years of life, multiple labels for the same referent are used seemingly interchangeably in children’s input (</w:t>
      </w:r>
      <w:hyperlink w:anchor="ref-moore2024wordform">
        <w:r>
          <w:rPr>
            <w:rStyle w:val="Hyperlink"/>
          </w:rPr>
          <w:t>Moore &amp; Bergelson, 2024</w:t>
        </w:r>
      </w:hyperlink>
      <w:r>
        <w:t>). Here, we investigate how such label variation impacts children’s word learning.</w:t>
      </w:r>
    </w:p>
    <w:p w14:paraId="2DAD3C66" w14:textId="77777777" w:rsidR="003F2D62" w:rsidRDefault="00000000">
      <w:pPr>
        <w:pStyle w:val="Heading2"/>
      </w:pPr>
      <w:bookmarkStart w:id="6" w:name="label-variation-may-hinder-word-learning"/>
      <w:r>
        <w:t>1.1 Label variation may hinder word learning</w:t>
      </w:r>
    </w:p>
    <w:p w14:paraId="69F2E9A6" w14:textId="19EF591A" w:rsidR="003F2D62" w:rsidRDefault="00000000">
      <w:pPr>
        <w:pStyle w:val="FirstParagraph"/>
      </w:pPr>
      <w:r>
        <w:t xml:space="preserve">From a traditional one-to-one mapping perspective—children learn to associate individual word forms (i.e., labels) with individual referents (e.g., </w:t>
      </w:r>
      <w:hyperlink w:anchor="ref-smith2008infants">
        <w:r>
          <w:rPr>
            <w:rStyle w:val="Hyperlink"/>
          </w:rPr>
          <w:t>Smith &amp; Yu, 2008</w:t>
        </w:r>
      </w:hyperlink>
      <w:r>
        <w:t xml:space="preserve">; </w:t>
      </w:r>
      <w:hyperlink w:anchor="ref-stevens2017pursuit">
        <w:r>
          <w:rPr>
            <w:rStyle w:val="Hyperlink"/>
          </w:rPr>
          <w:t>Stevens et al., 2017</w:t>
        </w:r>
      </w:hyperlink>
      <w:r>
        <w:t xml:space="preserve">; but see also </w:t>
      </w:r>
      <w:hyperlink w:anchor="ref-wojcik2022map">
        <w:r>
          <w:rPr>
            <w:rStyle w:val="Hyperlink"/>
          </w:rPr>
          <w:t>Wojcik et al., 2022</w:t>
        </w:r>
      </w:hyperlink>
      <w:r>
        <w:t>) —label variation could be considered “noise” in the learning signal. Indeed, children often avoid adopting a second label for a referent they already have a name for (</w:t>
      </w:r>
      <w:r w:rsidR="006704F5">
        <w:t xml:space="preserve">i.e., the mutual exclusivity bias: </w:t>
      </w:r>
      <w:hyperlink w:anchor="ref-markman2003use">
        <w:r>
          <w:rPr>
            <w:rStyle w:val="Hyperlink"/>
          </w:rPr>
          <w:t>Markman et al., 2003</w:t>
        </w:r>
      </w:hyperlink>
      <w:r>
        <w:t>;</w:t>
      </w:r>
      <w:r w:rsidR="006704F5">
        <w:t xml:space="preserve"> </w:t>
      </w:r>
      <w:hyperlink w:anchor="ref-markman1988children">
        <w:r>
          <w:rPr>
            <w:rStyle w:val="Hyperlink"/>
          </w:rPr>
          <w:t>Markman &amp; Wachtel, 1988</w:t>
        </w:r>
      </w:hyperlink>
      <w:r>
        <w:t xml:space="preserve">; </w:t>
      </w:r>
      <w:hyperlink w:anchor="ref-merriman1989mutual">
        <w:r>
          <w:rPr>
            <w:rStyle w:val="Hyperlink"/>
          </w:rPr>
          <w:t>Merriman &amp; Bowman, 1989</w:t>
        </w:r>
      </w:hyperlink>
      <w:r>
        <w:t xml:space="preserve">; see also </w:t>
      </w:r>
      <w:hyperlink w:anchor="ref-mervis1994two">
        <w:r>
          <w:rPr>
            <w:rStyle w:val="Hyperlink"/>
          </w:rPr>
          <w:t>Mervis et al., 1994</w:t>
        </w:r>
      </w:hyperlink>
      <w:r>
        <w:t xml:space="preserve">; </w:t>
      </w:r>
      <w:hyperlink w:anchor="ref-swingley2016two">
        <w:r>
          <w:rPr>
            <w:rStyle w:val="Hyperlink"/>
          </w:rPr>
          <w:t>Swingley, 2016</w:t>
        </w:r>
      </w:hyperlink>
      <w:r>
        <w:t xml:space="preserve">). Using multiple variants to label the exact same referent also violates the pragmatic assumption that unique word forms must have unique meanings (i.e., the principle of contrast: </w:t>
      </w:r>
      <w:hyperlink w:anchor="ref-clark1988logic">
        <w:r>
          <w:rPr>
            <w:rStyle w:val="Hyperlink"/>
          </w:rPr>
          <w:t>Clark, 1988</w:t>
        </w:r>
      </w:hyperlink>
      <w:r>
        <w:t xml:space="preserve">). Introducing </w:t>
      </w:r>
      <w:r>
        <w:lastRenderedPageBreak/>
        <w:t xml:space="preserve">multiple interchangeable labels also effectively decreases the frequency of the standard label (one of the best predictors of earlier word learning: </w:t>
      </w:r>
      <w:hyperlink w:anchor="ref-braginsky2019consistency">
        <w:r>
          <w:rPr>
            <w:rStyle w:val="Hyperlink"/>
          </w:rPr>
          <w:t>Braginsky et al., 2019</w:t>
        </w:r>
      </w:hyperlink>
      <w:r>
        <w:t xml:space="preserve">) and makes utterances less predictable (and thus potentially harder to learn new words from: e.g., </w:t>
      </w:r>
      <w:hyperlink w:anchor="ref-reuter2019predict">
        <w:r>
          <w:rPr>
            <w:rStyle w:val="Hyperlink"/>
          </w:rPr>
          <w:t>Reuter et al., 2019</w:t>
        </w:r>
      </w:hyperlink>
      <w:r>
        <w:t>). Variants may also create lexical competition (</w:t>
      </w:r>
      <w:hyperlink w:anchor="ref-swingley2007lexical">
        <w:r>
          <w:rPr>
            <w:rStyle w:val="Hyperlink"/>
          </w:rPr>
          <w:t>Swingley &amp; Aslin, 2007</w:t>
        </w:r>
      </w:hyperlink>
      <w:r>
        <w:t>) as well as increase memory interference (</w:t>
      </w:r>
      <w:hyperlink w:anchor="ref-regier2005emergence">
        <w:r>
          <w:rPr>
            <w:rStyle w:val="Hyperlink"/>
          </w:rPr>
          <w:t>Regier, 2005</w:t>
        </w:r>
      </w:hyperlink>
      <w:r>
        <w:t xml:space="preserve">) or general memory demands (see </w:t>
      </w:r>
      <w:hyperlink w:anchor="ref-vlach2019learning">
        <w:r>
          <w:rPr>
            <w:rStyle w:val="Hyperlink"/>
          </w:rPr>
          <w:t>Vlach, 2019</w:t>
        </w:r>
      </w:hyperlink>
      <w:r w:rsidR="007C38BD">
        <w:t xml:space="preserve">, </w:t>
      </w:r>
      <w:r>
        <w:t>for further discussion of memory constraints).</w:t>
      </w:r>
    </w:p>
    <w:p w14:paraId="26FA61EB" w14:textId="77777777" w:rsidR="003F2D62" w:rsidRDefault="00000000">
      <w:pPr>
        <w:pStyle w:val="Heading2"/>
      </w:pPr>
      <w:bookmarkStart w:id="7" w:name="X7e2b24e0d0bc6ba6ef08d648622d92aca7015b6"/>
      <w:bookmarkEnd w:id="6"/>
      <w:r>
        <w:t>1.2 Label variation may support word learning</w:t>
      </w:r>
    </w:p>
    <w:p w14:paraId="6E8B3B53" w14:textId="77777777" w:rsidR="003F2D62" w:rsidRDefault="00000000">
      <w:pPr>
        <w:pStyle w:val="FirstParagraph"/>
      </w:pPr>
      <w:r>
        <w:t>Yet, (North American) English-hearing children both recognize (</w:t>
      </w:r>
      <w:hyperlink w:anchor="ref-potter2024frequent">
        <w:r>
          <w:rPr>
            <w:rStyle w:val="Hyperlink"/>
          </w:rPr>
          <w:t>Potter &amp; Lew-Williams, 2024</w:t>
        </w:r>
      </w:hyperlink>
      <w:r>
        <w:t>) and use (</w:t>
      </w:r>
      <w:hyperlink w:anchor="ref-casey2022doggy">
        <w:r>
          <w:rPr>
            <w:rStyle w:val="Hyperlink"/>
          </w:rPr>
          <w:t>Casey &amp; Casillas, 2022</w:t>
        </w:r>
      </w:hyperlink>
      <w:r>
        <w:t xml:space="preserve">; </w:t>
      </w:r>
      <w:hyperlink w:anchor="ref-deak2001any">
        <w:r>
          <w:rPr>
            <w:rStyle w:val="Hyperlink"/>
          </w:rPr>
          <w:t>Deák et al., 2001</w:t>
        </w:r>
      </w:hyperlink>
      <w:r>
        <w:t>) multiple labels for the same referent. In fact, children’s earliest learned words are associated with the greatest amount of label variation in their input (</w:t>
      </w:r>
      <w:hyperlink w:anchor="ref-moore2024wordform">
        <w:r>
          <w:rPr>
            <w:rStyle w:val="Hyperlink"/>
          </w:rPr>
          <w:t>Moore &amp; Bergelson, 2024</w:t>
        </w:r>
      </w:hyperlink>
      <w:r>
        <w:t>). Moreover, the presence of certain types of label variation in the input has been shown to correlate both with children’s concurrent vocabulary size (</w:t>
      </w:r>
      <w:hyperlink w:anchor="ref-callanan2004multiple">
        <w:r>
          <w:rPr>
            <w:rStyle w:val="Hyperlink"/>
          </w:rPr>
          <w:t>Callanan &amp; Sabbagh, 2004</w:t>
        </w:r>
      </w:hyperlink>
      <w:r>
        <w:t>) and future vocabulary growth (</w:t>
      </w:r>
      <w:hyperlink w:anchor="ref-ota2018choo">
        <w:r>
          <w:rPr>
            <w:rStyle w:val="Hyperlink"/>
          </w:rPr>
          <w:t>Ota et al., 2018</w:t>
        </w:r>
      </w:hyperlink>
      <w:r>
        <w:t>) as well as their earlier learning of individual words (</w:t>
      </w:r>
      <w:hyperlink w:anchor="ref-moore2024wordform">
        <w:r>
          <w:rPr>
            <w:rStyle w:val="Hyperlink"/>
          </w:rPr>
          <w:t>Moore &amp; Bergelson, 2024</w:t>
        </w:r>
      </w:hyperlink>
      <w:r>
        <w:t>). Thus, young learners appear to successfully contend with—and potentially benefit from—label variation in their input.</w:t>
      </w:r>
    </w:p>
    <w:p w14:paraId="6E6FDFE0" w14:textId="7D2F4726" w:rsidR="003F2D62" w:rsidRDefault="00000000">
      <w:pPr>
        <w:pStyle w:val="BodyText"/>
      </w:pPr>
      <w:r>
        <w:t xml:space="preserve">One partial explanation for this pattern is that child-directed variants are more learnable than standard adult word forms. Reduplicated variants, which include repetition of full or partial syllables (e.g., </w:t>
      </w:r>
      <w:r>
        <w:rPr>
          <w:i/>
          <w:iCs/>
        </w:rPr>
        <w:t>woof-woof</w:t>
      </w:r>
      <w:r>
        <w:t xml:space="preserve">, </w:t>
      </w:r>
      <w:r>
        <w:rPr>
          <w:i/>
          <w:iCs/>
        </w:rPr>
        <w:t>bow-wow</w:t>
      </w:r>
      <w:r>
        <w:t>), are relatively common in CDS (though estimated rates vary substantially across languages</w:t>
      </w:r>
      <w:r w:rsidR="00FB7741">
        <w:t>:</w:t>
      </w:r>
      <w:r>
        <w:t xml:space="preserve"> e.g., </w:t>
      </w:r>
      <w:hyperlink w:anchor="ref-han2023che">
        <w:r>
          <w:rPr>
            <w:rStyle w:val="Hyperlink"/>
          </w:rPr>
          <w:t>Han &amp; Gu, 2023</w:t>
        </w:r>
      </w:hyperlink>
      <w:r>
        <w:t xml:space="preserve">; </w:t>
      </w:r>
      <w:hyperlink w:anchor="ref-mazuka2008japanese">
        <w:r>
          <w:rPr>
            <w:rStyle w:val="Hyperlink"/>
          </w:rPr>
          <w:t>Mazuka et al., 2008</w:t>
        </w:r>
      </w:hyperlink>
      <w:r>
        <w:t xml:space="preserve">; </w:t>
      </w:r>
      <w:hyperlink w:anchor="ref-ota2018choo">
        <w:r>
          <w:rPr>
            <w:rStyle w:val="Hyperlink"/>
          </w:rPr>
          <w:t>Ota et al., 2018</w:t>
        </w:r>
      </w:hyperlink>
      <w:r>
        <w:t>). Ota and Skarabela (</w:t>
      </w:r>
      <w:hyperlink w:anchor="ref-ota2016reduplicated">
        <w:r>
          <w:rPr>
            <w:rStyle w:val="Hyperlink"/>
          </w:rPr>
          <w:t>2016</w:t>
        </w:r>
      </w:hyperlink>
      <w:r>
        <w:t xml:space="preserve">) found that (Scottish) English-learning 17- to 19-month-olds learned reduplicated labels for novel objects better than non-reduplicated labels. Diminutivized variants, which include /i/ epenthesis in English (e.g., </w:t>
      </w:r>
      <w:r>
        <w:rPr>
          <w:i/>
          <w:iCs/>
        </w:rPr>
        <w:t>doggy</w:t>
      </w:r>
      <w:r>
        <w:t xml:space="preserve">), are also common in CDS (though again </w:t>
      </w:r>
      <w:r>
        <w:lastRenderedPageBreak/>
        <w:t>with cross-linguistic variation in rates</w:t>
      </w:r>
      <w:r w:rsidR="00A45D6F">
        <w:t xml:space="preserve">: </w:t>
      </w:r>
      <w:r>
        <w:t xml:space="preserve">e.g., </w:t>
      </w:r>
      <w:hyperlink w:anchor="ref-kempe2001can">
        <w:r>
          <w:rPr>
            <w:rStyle w:val="Hyperlink"/>
          </w:rPr>
          <w:t>Kempe et al., 2001</w:t>
        </w:r>
      </w:hyperlink>
      <w:r>
        <w:t xml:space="preserve">; </w:t>
      </w:r>
      <w:hyperlink w:anchor="ref-ota2018choo">
        <w:r>
          <w:rPr>
            <w:rStyle w:val="Hyperlink"/>
          </w:rPr>
          <w:t>Ota et al., 2018</w:t>
        </w:r>
      </w:hyperlink>
      <w:r>
        <w:t xml:space="preserve">; </w:t>
      </w:r>
      <w:hyperlink w:anchor="ref-savickiene1998acquisition">
        <w:r>
          <w:rPr>
            <w:rStyle w:val="Hyperlink"/>
          </w:rPr>
          <w:t>Savickiene, 1998</w:t>
        </w:r>
      </w:hyperlink>
      <w:r>
        <w:t>). Moore and Bergelson (</w:t>
      </w:r>
      <w:hyperlink w:anchor="ref-moore2024wordform">
        <w:r>
          <w:rPr>
            <w:rStyle w:val="Hyperlink"/>
          </w:rPr>
          <w:t>2024</w:t>
        </w:r>
      </w:hyperlink>
      <w:r>
        <w:t>) found that diminutives were the most common type of label variation observed in a corpus of 6- to 17-month-old (US) English-learning infants. Critically, hearing a higher proportion of both reduplicated words and diminutivized words has been linked to faster vocabulary growth from 9 to 21 months for (Scottish) English learners (</w:t>
      </w:r>
      <w:hyperlink w:anchor="ref-ota2018choo">
        <w:r>
          <w:rPr>
            <w:rStyle w:val="Hyperlink"/>
          </w:rPr>
          <w:t>Ota et al., 2018</w:t>
        </w:r>
      </w:hyperlink>
      <w:r>
        <w:t>). Additionally, both of these types of label variants have been shown to facilitate word segmentation (</w:t>
      </w:r>
      <w:hyperlink w:anchor="ref-kempe2007diminutives">
        <w:r>
          <w:rPr>
            <w:rStyle w:val="Hyperlink"/>
          </w:rPr>
          <w:t>Kempe et al., 2007</w:t>
        </w:r>
      </w:hyperlink>
      <w:r>
        <w:t xml:space="preserve">; </w:t>
      </w:r>
      <w:hyperlink w:anchor="ref-ota2018reduplication">
        <w:r>
          <w:rPr>
            <w:rStyle w:val="Hyperlink"/>
          </w:rPr>
          <w:t>Ota &amp; Skarabela, 2018</w:t>
        </w:r>
      </w:hyperlink>
      <w:r>
        <w:t xml:space="preserve">), and in doing so, could support word learning (e.g., </w:t>
      </w:r>
      <w:hyperlink w:anchor="ref-yurovsky2012statistical">
        <w:r>
          <w:rPr>
            <w:rStyle w:val="Hyperlink"/>
          </w:rPr>
          <w:t>Yurovsky et al., 2012</w:t>
        </w:r>
      </w:hyperlink>
      <w:r>
        <w:t>).</w:t>
      </w:r>
    </w:p>
    <w:p w14:paraId="54EC96D3" w14:textId="77777777" w:rsidR="003F2D62" w:rsidRDefault="00000000">
      <w:pPr>
        <w:pStyle w:val="BodyText"/>
      </w:pPr>
      <w:r>
        <w:t xml:space="preserve">What prior findings do not address is how the interchangeable use of multiple variants in the same interaction could facilitate—rather than hinder—children’s word learning. We consider attention as a plausible mechanism: label variation may heighten engagement across repeated labeling instances, particularly over short timescales. Just as CDS as a register is generally preferred by young listeners over adult-directed speech (ADS, </w:t>
      </w:r>
      <w:hyperlink w:anchor="ref-manybabies2020quantifying">
        <w:r>
          <w:rPr>
            <w:rStyle w:val="Hyperlink"/>
          </w:rPr>
          <w:t>ManyBabiesConsortium, 2020</w:t>
        </w:r>
      </w:hyperlink>
      <w:r>
        <w:t>), hearing multiple CDS variants may help capture and sustain children’s attention. Indeed, word repetition does not tend to draw children’s attention (</w:t>
      </w:r>
      <w:hyperlink w:anchor="ref-schwab2016repetition">
        <w:r>
          <w:rPr>
            <w:rStyle w:val="Hyperlink"/>
          </w:rPr>
          <w:t>Schwab &amp; Lew-Williams, 2016</w:t>
        </w:r>
      </w:hyperlink>
      <w:r>
        <w:t xml:space="preserve">; </w:t>
      </w:r>
      <w:hyperlink w:anchor="ref-segal2015infant">
        <w:r>
          <w:rPr>
            <w:rStyle w:val="Hyperlink"/>
          </w:rPr>
          <w:t>Segal &amp; Newman, 2015</w:t>
        </w:r>
      </w:hyperlink>
      <w:r>
        <w:t xml:space="preserve">), but label variation may introduce the kind of novelty that promotes engagement (see </w:t>
      </w:r>
      <w:hyperlink w:anchor="ref-tippenhauerURvariety">
        <w:r>
          <w:rPr>
            <w:rStyle w:val="Hyperlink"/>
          </w:rPr>
          <w:t>Tippenhauer, under review</w:t>
        </w:r>
      </w:hyperlink>
      <w:r>
        <w:t xml:space="preserve"> for related discussion), while still offering sufficient predictability to be learnable (</w:t>
      </w:r>
      <w:hyperlink w:anchor="ref-kidd2012goldilocks">
        <w:r>
          <w:rPr>
            <w:rStyle w:val="Hyperlink"/>
          </w:rPr>
          <w:t>Kidd et al., 2012</w:t>
        </w:r>
      </w:hyperlink>
      <w:r>
        <w:t xml:space="preserve">, </w:t>
      </w:r>
      <w:hyperlink w:anchor="ref-kidd2014goldilocks">
        <w:r>
          <w:rPr>
            <w:rStyle w:val="Hyperlink"/>
          </w:rPr>
          <w:t>2014</w:t>
        </w:r>
      </w:hyperlink>
      <w:r>
        <w:t>). This account aligns with evidence that other types of variability within CDS, such as prosodic contours (</w:t>
      </w:r>
      <w:hyperlink w:anchor="ref-nencheva2021moment">
        <w:r>
          <w:rPr>
            <w:rStyle w:val="Hyperlink"/>
          </w:rPr>
          <w:t>Nencheva et al., 2021</w:t>
        </w:r>
      </w:hyperlink>
      <w:r>
        <w:t xml:space="preserve">; </w:t>
      </w:r>
      <w:hyperlink w:anchor="ref-rasanen2018infant">
        <w:r>
          <w:rPr>
            <w:rStyle w:val="Hyperlink"/>
          </w:rPr>
          <w:t>Räsänen et al., 2018</w:t>
        </w:r>
      </w:hyperlink>
      <w:r>
        <w:t>) and vowel articulations (</w:t>
      </w:r>
      <w:hyperlink w:anchor="ref-miyazawa2017vowels">
        <w:r>
          <w:rPr>
            <w:rStyle w:val="Hyperlink"/>
          </w:rPr>
          <w:t>Miyazawa et al., 2017</w:t>
        </w:r>
      </w:hyperlink>
      <w:r>
        <w:t>), engage children’s attention and scaffold their word learning.</w:t>
      </w:r>
    </w:p>
    <w:p w14:paraId="1362FFA3" w14:textId="77777777" w:rsidR="003F2D62" w:rsidRDefault="00000000">
      <w:pPr>
        <w:pStyle w:val="Heading2"/>
      </w:pPr>
      <w:bookmarkStart w:id="8" w:name="the-current-study"/>
      <w:bookmarkEnd w:id="7"/>
      <w:r>
        <w:lastRenderedPageBreak/>
        <w:t>1.3 The current study</w:t>
      </w:r>
    </w:p>
    <w:p w14:paraId="57F5C1AB" w14:textId="77777777" w:rsidR="003F2D62" w:rsidRDefault="00000000">
      <w:pPr>
        <w:pStyle w:val="FirstParagraph"/>
      </w:pPr>
      <w:r>
        <w:t>Despite competing possibilities for the effect of label variation on children’s word learning, no studies to date have directly tested how consistent versus variable labels impact children’s ability to learn new words. The present study addresses this gap by manipulating the presence and type of label variation in a controlled, lab-based novel word learning task. In an eye-tracking study using a looking-while-listening (LWL) design (</w:t>
      </w:r>
      <w:hyperlink w:anchor="ref-fernald2008looking">
        <w:r>
          <w:rPr>
            <w:rStyle w:val="Hyperlink"/>
          </w:rPr>
          <w:t>Fernald et al., 2008</w:t>
        </w:r>
      </w:hyperlink>
      <w:r>
        <w:t xml:space="preserve">; </w:t>
      </w:r>
      <w:hyperlink w:anchor="ref-swingley2011looking">
        <w:r>
          <w:rPr>
            <w:rStyle w:val="Hyperlink"/>
          </w:rPr>
          <w:t>Swingley, 2011</w:t>
        </w:r>
      </w:hyperlink>
      <w:r>
        <w:t xml:space="preserve">), English-hearing toddlers learned novel word–object mappings across three within-subjects conditions. In the </w:t>
      </w:r>
      <w:r>
        <w:rPr>
          <w:b/>
          <w:bCs/>
        </w:rPr>
        <w:t>consistent</w:t>
      </w:r>
      <w:r>
        <w:t xml:space="preserve"> condition, toddlers heard repeated exposures to the exact same standard label. In two variation conditions, toddlers heard repetitions of the standard label in addition to two label variants. The </w:t>
      </w:r>
      <w:r>
        <w:rPr>
          <w:b/>
          <w:bCs/>
        </w:rPr>
        <w:t>typical variation</w:t>
      </w:r>
      <w:r>
        <w:t xml:space="preserve"> condition featured label variants common in English CDS, including diminutivized and reduplicated word forms. The </w:t>
      </w:r>
      <w:r>
        <w:rPr>
          <w:b/>
          <w:bCs/>
        </w:rPr>
        <w:t>atypical variation</w:t>
      </w:r>
      <w:r>
        <w:t xml:space="preserve"> condition featured phonologically altered word forms that are unattested in English CDS. Looking-time measures were used to assess children’s word-recognition accuracy (</w:t>
      </w:r>
      <w:hyperlink w:anchor="ref-fernald2008looking">
        <w:r>
          <w:rPr>
            <w:rStyle w:val="Hyperlink"/>
          </w:rPr>
          <w:t>Fernald et al., 2008</w:t>
        </w:r>
      </w:hyperlink>
      <w:r>
        <w:t xml:space="preserve">; </w:t>
      </w:r>
      <w:hyperlink w:anchor="ref-swingley2011looking">
        <w:r>
          <w:rPr>
            <w:rStyle w:val="Hyperlink"/>
          </w:rPr>
          <w:t>Swingley, 2011</w:t>
        </w:r>
      </w:hyperlink>
      <w:r>
        <w:t>), and pupil size synchrony measures (</w:t>
      </w:r>
      <w:hyperlink w:anchor="ref-nencheva2021moment">
        <w:r>
          <w:rPr>
            <w:rStyle w:val="Hyperlink"/>
          </w:rPr>
          <w:t>Nencheva et al., 2021</w:t>
        </w:r>
      </w:hyperlink>
      <w:r>
        <w:t>) were used to examine children’s moment-to-moment engagement during learning.</w:t>
      </w:r>
    </w:p>
    <w:p w14:paraId="0A139278" w14:textId="77777777" w:rsidR="003F2D62" w:rsidRDefault="00000000">
      <w:pPr>
        <w:pStyle w:val="Heading3"/>
      </w:pPr>
      <w:bookmarkStart w:id="9" w:name="hypotheses"/>
      <w:r>
        <w:t>1.3.1 Hypotheses</w:t>
      </w:r>
    </w:p>
    <w:p w14:paraId="2BE6B4CD" w14:textId="77777777" w:rsidR="003F2D62" w:rsidRDefault="00000000">
      <w:pPr>
        <w:pStyle w:val="FirstParagraph"/>
      </w:pPr>
      <w:r>
        <w:t>For the effects of condition and age on children’s novel word-recognition accuracy, we pre-registered the following predictions:</w:t>
      </w:r>
    </w:p>
    <w:p w14:paraId="4CB2E095" w14:textId="77777777" w:rsidR="003F2D62" w:rsidRDefault="00000000">
      <w:pPr>
        <w:numPr>
          <w:ilvl w:val="0"/>
          <w:numId w:val="23"/>
        </w:numPr>
      </w:pPr>
      <w:r>
        <w:t xml:space="preserve">In line with the vast majority of prior word learning studies conducted to date, which overwhelmingly test children’s recognition of one-to-one mappings, we hypothesized that children would demonstrate above-chance word-recognition accuracy in the </w:t>
      </w:r>
      <w:r>
        <w:rPr>
          <w:b/>
          <w:bCs/>
        </w:rPr>
        <w:t>consistent</w:t>
      </w:r>
      <w:r>
        <w:t xml:space="preserve"> condition.</w:t>
      </w:r>
    </w:p>
    <w:p w14:paraId="055E923E" w14:textId="77777777" w:rsidR="003F2D62" w:rsidRDefault="00000000">
      <w:pPr>
        <w:numPr>
          <w:ilvl w:val="0"/>
          <w:numId w:val="23"/>
        </w:numPr>
      </w:pPr>
      <w:r>
        <w:lastRenderedPageBreak/>
        <w:t xml:space="preserve">The key condition of interest was the </w:t>
      </w:r>
      <w:r>
        <w:rPr>
          <w:b/>
          <w:bCs/>
        </w:rPr>
        <w:t>typical variation</w:t>
      </w:r>
      <w:r>
        <w:t xml:space="preserve"> condition. We did not pre-register a specific directional hypothesis for this condition given competing theoretical predictions and uncertainty around how label variation impacts learning over short timescales. If children can successfully contend with variation attested in English CDS during a short lab task (as they do over longer developmental timescales, e.g., </w:t>
      </w:r>
      <w:hyperlink w:anchor="ref-moore2024wordform">
        <w:r>
          <w:rPr>
            <w:rStyle w:val="Hyperlink"/>
          </w:rPr>
          <w:t>Moore &amp; Bergelson, 2024</w:t>
        </w:r>
      </w:hyperlink>
      <w:r>
        <w:t>), then we should expect to see above-chance word-recognition accuracy in this condition. If this type of variation impedes novel word learning (at least in the context of a short lab task), then we should expect chance-level performance in this condition.</w:t>
      </w:r>
    </w:p>
    <w:p w14:paraId="181D0D66" w14:textId="77777777" w:rsidR="003F2D62" w:rsidRDefault="00000000">
      <w:pPr>
        <w:numPr>
          <w:ilvl w:val="0"/>
          <w:numId w:val="23"/>
        </w:numPr>
      </w:pPr>
      <w:r>
        <w:t xml:space="preserve">We hypothesized that words would be more difficult to learn in the </w:t>
      </w:r>
      <w:r>
        <w:rPr>
          <w:b/>
          <w:bCs/>
        </w:rPr>
        <w:t>atypical variation</w:t>
      </w:r>
      <w:r>
        <w:t xml:space="preserve"> condition and that toddlers would show chance-level word-recognition accuracy, on average, for this condition.</w:t>
      </w:r>
    </w:p>
    <w:p w14:paraId="2D97B05D" w14:textId="77777777" w:rsidR="003F2D62" w:rsidRDefault="00000000">
      <w:pPr>
        <w:numPr>
          <w:ilvl w:val="0"/>
          <w:numId w:val="23"/>
        </w:numPr>
      </w:pPr>
      <w:r>
        <w:t>We also predicted that word-recognition accuracy would increase across age.</w:t>
      </w:r>
      <w:r>
        <w:br/>
      </w:r>
    </w:p>
    <w:p w14:paraId="2F559D01" w14:textId="77777777" w:rsidR="003F2D62" w:rsidRDefault="00000000">
      <w:pPr>
        <w:pStyle w:val="FirstParagraph"/>
      </w:pPr>
      <w:r>
        <w:t xml:space="preserve">We additionally pre-registered to test whether pupil size synchrony during the learning phase (a) differed between conditions and (b) predicted toddlers’ word-recognition accuracy during the test phase (consistent with </w:t>
      </w:r>
      <w:hyperlink w:anchor="ref-nencheva2021moment">
        <w:r>
          <w:rPr>
            <w:rStyle w:val="Hyperlink"/>
          </w:rPr>
          <w:t>Nencheva et al., 2021</w:t>
        </w:r>
      </w:hyperlink>
      <w:r>
        <w:t>).</w:t>
      </w:r>
    </w:p>
    <w:p w14:paraId="0274F234" w14:textId="77777777" w:rsidR="003F2D62" w:rsidRDefault="00000000">
      <w:pPr>
        <w:pStyle w:val="Heading1"/>
      </w:pPr>
      <w:bookmarkStart w:id="10" w:name="method"/>
      <w:bookmarkEnd w:id="5"/>
      <w:bookmarkEnd w:id="8"/>
      <w:bookmarkEnd w:id="9"/>
      <w:r>
        <w:t>2. Method</w:t>
      </w:r>
    </w:p>
    <w:p w14:paraId="5B7C6944" w14:textId="77777777" w:rsidR="003F2D62" w:rsidRDefault="00000000">
      <w:pPr>
        <w:pStyle w:val="FirstParagraph"/>
      </w:pPr>
      <w:r>
        <w:t>Our study design and analysis plan were pre-registered (</w:t>
      </w:r>
      <w:hyperlink r:id="rId13">
        <w:r>
          <w:rPr>
            <w:rStyle w:val="Hyperlink"/>
          </w:rPr>
          <w:t>https://osf.io/uqz6d</w:t>
        </w:r>
      </w:hyperlink>
      <w:r>
        <w:t>). All stimuli, anonymized data, and analysis scripts are publicly available at LINK.</w:t>
      </w:r>
    </w:p>
    <w:p w14:paraId="4EDF2E45" w14:textId="77777777" w:rsidR="003F2D62" w:rsidRDefault="00000000">
      <w:pPr>
        <w:pStyle w:val="Heading2"/>
      </w:pPr>
      <w:bookmarkStart w:id="11" w:name="participants"/>
      <w:r>
        <w:t>2.1 Participants</w:t>
      </w:r>
    </w:p>
    <w:p w14:paraId="62FEF25E" w14:textId="77777777" w:rsidR="003F2D62" w:rsidRDefault="00000000">
      <w:pPr>
        <w:pStyle w:val="FirstParagraph"/>
      </w:pPr>
      <w:r>
        <w:t>Participants (</w:t>
      </w:r>
      <w:r>
        <w:rPr>
          <w:i/>
          <w:iCs/>
        </w:rPr>
        <w:t>N</w:t>
      </w:r>
      <w:r>
        <w:t>=58 total, 28 female, 30 male), aged 18 to 36 months (</w:t>
      </w:r>
      <w:r>
        <w:rPr>
          <w:i/>
          <w:iCs/>
        </w:rPr>
        <w:t>M</w:t>
      </w:r>
      <w:r>
        <w:rPr>
          <w:vertAlign w:val="subscript"/>
        </w:rPr>
        <w:t>age</w:t>
      </w:r>
      <w:r>
        <w:t xml:space="preserve">=28.08 months), were full-term, monolingual English-hearing children (&gt;80% exposure) with no known </w:t>
      </w:r>
      <w:r>
        <w:lastRenderedPageBreak/>
        <w:t>hearing, vision, language, and/or developmental delays and were recruited from a volunteer database of local families. Caregivers reported race/ethnicity information for their children in an open-ended format at the time of database sign-up. Participants were primarily Non-Latine white (</w:t>
      </w:r>
      <w:r>
        <w:rPr>
          <w:i/>
          <w:iCs/>
        </w:rPr>
        <w:t>N</w:t>
      </w:r>
      <w:r>
        <w:t>=27, 46.55%) with some representation of other races/ethnicities: Mixed race (</w:t>
      </w:r>
      <w:r>
        <w:rPr>
          <w:i/>
          <w:iCs/>
        </w:rPr>
        <w:t>N</w:t>
      </w:r>
      <w:r>
        <w:t>=12, 20.69%), Asian (</w:t>
      </w:r>
      <w:r>
        <w:rPr>
          <w:i/>
          <w:iCs/>
        </w:rPr>
        <w:t>N</w:t>
      </w:r>
      <w:r>
        <w:t>=5, 8.62%), Black (</w:t>
      </w:r>
      <w:r>
        <w:rPr>
          <w:i/>
          <w:iCs/>
        </w:rPr>
        <w:t>N</w:t>
      </w:r>
      <w:r>
        <w:t>=2, 3.45%), Latine white (</w:t>
      </w:r>
      <w:r>
        <w:rPr>
          <w:i/>
          <w:iCs/>
        </w:rPr>
        <w:t>N</w:t>
      </w:r>
      <w:r>
        <w:t>=1, 1.72%), Not reported (</w:t>
      </w:r>
      <w:r>
        <w:rPr>
          <w:i/>
          <w:iCs/>
        </w:rPr>
        <w:t>N</w:t>
      </w:r>
      <w:r>
        <w:t>=11, 18.97%). Caregivers also reported maternal education, though more sparsely: High school degree (</w:t>
      </w:r>
      <w:r>
        <w:rPr>
          <w:i/>
          <w:iCs/>
        </w:rPr>
        <w:t>N</w:t>
      </w:r>
      <w:r>
        <w:t>=1, 1.72%), Bachelor’s degree (</w:t>
      </w:r>
      <w:r>
        <w:rPr>
          <w:i/>
          <w:iCs/>
        </w:rPr>
        <w:t>N</w:t>
      </w:r>
      <w:r>
        <w:t>=12, 20.69%), Master’s degree or higher (</w:t>
      </w:r>
      <w:r>
        <w:rPr>
          <w:i/>
          <w:iCs/>
        </w:rPr>
        <w:t>N</w:t>
      </w:r>
      <w:r>
        <w:t>=11, 18.97%), Not reported (</w:t>
      </w:r>
      <w:r>
        <w:rPr>
          <w:i/>
          <w:iCs/>
        </w:rPr>
        <w:t>N</w:t>
      </w:r>
      <w:r>
        <w:t>=34, 58.62%).</w:t>
      </w:r>
    </w:p>
    <w:p w14:paraId="69A4F02A" w14:textId="77777777" w:rsidR="003F2D62" w:rsidRDefault="00000000">
      <w:pPr>
        <w:pStyle w:val="BodyText"/>
      </w:pPr>
      <w:r>
        <w:t>The final sample size was pre-registered and determined using an a priori power analysis conducted in G*Power (</w:t>
      </w:r>
      <w:hyperlink w:anchor="ref-faul2009statistical">
        <w:r>
          <w:rPr>
            <w:rStyle w:val="Hyperlink"/>
          </w:rPr>
          <w:t>Faul et al., 2009</w:t>
        </w:r>
      </w:hyperlink>
      <w:r>
        <w:t>) and informed by prior eye-tracking studies with a similar age range (</w:t>
      </w:r>
      <w:hyperlink w:anchor="ref-nencheva2021moment">
        <w:r>
          <w:rPr>
            <w:rStyle w:val="Hyperlink"/>
          </w:rPr>
          <w:t>Nencheva et al., 2021</w:t>
        </w:r>
      </w:hyperlink>
      <w:r>
        <w:t xml:space="preserve">; </w:t>
      </w:r>
      <w:hyperlink w:anchor="ref-quam2023protracted">
        <w:r>
          <w:rPr>
            <w:rStyle w:val="Hyperlink"/>
          </w:rPr>
          <w:t>Quam &amp; Swingley, 2023</w:t>
        </w:r>
      </w:hyperlink>
      <w:r>
        <w:t>). Thirty-two additional children participated but were excluded from the final analyses due to refusal to wear the EyeLink target sticker or failure to complete calibration (</w:t>
      </w:r>
      <w:r>
        <w:rPr>
          <w:i/>
          <w:iCs/>
        </w:rPr>
        <w:t>N</w:t>
      </w:r>
      <w:r>
        <w:t>=9), significant interruption by a family member (</w:t>
      </w:r>
      <w:r>
        <w:rPr>
          <w:i/>
          <w:iCs/>
        </w:rPr>
        <w:t>N</w:t>
      </w:r>
      <w:r>
        <w:t>=4), contribution of too few usable trials based on pre-registered criteria due to fussiness or inattention (</w:t>
      </w:r>
      <w:r>
        <w:rPr>
          <w:i/>
          <w:iCs/>
        </w:rPr>
        <w:t>N</w:t>
      </w:r>
      <w:r>
        <w:t>=18), or failure to meet the language requirement (</w:t>
      </w:r>
      <w:r>
        <w:rPr>
          <w:i/>
          <w:iCs/>
        </w:rPr>
        <w:t>N</w:t>
      </w:r>
      <w:r>
        <w:t>=1).</w:t>
      </w:r>
    </w:p>
    <w:p w14:paraId="779E6A4C" w14:textId="77777777" w:rsidR="003F2D62" w:rsidRDefault="00000000">
      <w:pPr>
        <w:pStyle w:val="BodyText"/>
      </w:pPr>
      <w:r>
        <w:t>All experimental protocols, including procedures for obtaining informed consent, were approved by the Princeton University Institutional Review Board (Approval: 0000007117, Language Learning: Sounds, Words, and Grammar). Families received a $10 digital gift card and a small gift for participating.</w:t>
      </w:r>
    </w:p>
    <w:p w14:paraId="1360ED28" w14:textId="77777777" w:rsidR="003F2D62" w:rsidRDefault="00000000">
      <w:pPr>
        <w:pStyle w:val="Heading2"/>
      </w:pPr>
      <w:bookmarkStart w:id="12" w:name="stimuli"/>
      <w:bookmarkEnd w:id="11"/>
      <w:r>
        <w:t>2.2 Stimuli</w:t>
      </w:r>
    </w:p>
    <w:p w14:paraId="0876E1A4" w14:textId="77777777" w:rsidR="003F2D62" w:rsidRDefault="00000000">
      <w:pPr>
        <w:pStyle w:val="FirstParagraph"/>
      </w:pPr>
      <w:r>
        <w:t xml:space="preserve">Auditory stimuli were recorded by a female native English speaker using naturalistic child-directed prosody. Each target word (see </w:t>
      </w:r>
      <w:r>
        <w:rPr>
          <w:b/>
          <w:bCs/>
        </w:rPr>
        <w:t>Table 1</w:t>
      </w:r>
      <w:r>
        <w:t xml:space="preserve">) appeared in four sentence frames for exposure trials (“Look, _____! That’s a _____. Do you see the ______? Yes, that’s a ______.”) </w:t>
      </w:r>
      <w:r>
        <w:lastRenderedPageBreak/>
        <w:t xml:space="preserve">and in two sentence frames for test trials (“Can you find the _____? See the _____?” following the test trial structure of </w:t>
      </w:r>
      <w:hyperlink w:anchor="ref-ota2016reduplicated">
        <w:r>
          <w:rPr>
            <w:rStyle w:val="Hyperlink"/>
          </w:rPr>
          <w:t>Ota &amp; Skarabela, 2016</w:t>
        </w:r>
      </w:hyperlink>
      <w:r>
        <w:t>)</w:t>
      </w:r>
      <w:r>
        <w:rPr>
          <w:rStyle w:val="FootnoteReference"/>
        </w:rPr>
        <w:footnoteReference w:id="1"/>
      </w:r>
      <w:r>
        <w:t>. Exposure trials were 14,131ms long, on average (range=14,094–14,150ms), including 2,000ms silent periods between sentences. Test trials were all 4,966ms long, with target word durations ranging from 613 to 634ms (</w:t>
      </w:r>
      <w:r>
        <w:rPr>
          <w:i/>
          <w:iCs/>
        </w:rPr>
        <w:t>M</w:t>
      </w:r>
      <w:r>
        <w:t>=624ms), and including 2,000ms of silence between sentences. All auditory stimuli were normed to a standard mean intensity of 65dB (</w:t>
      </w:r>
      <w:hyperlink w:anchor="ref-praat">
        <w:r>
          <w:rPr>
            <w:rStyle w:val="Hyperlink"/>
          </w:rPr>
          <w:t>Boersma &amp; Weenink, 2025</w:t>
        </w:r>
      </w:hyperlink>
      <w:r>
        <w:t>).</w:t>
      </w:r>
      <w:r>
        <w:br/>
      </w:r>
    </w:p>
    <w:p w14:paraId="53BAF657" w14:textId="77777777" w:rsidR="003F2D62" w:rsidRDefault="00000000">
      <w:pPr>
        <w:pStyle w:val="TableCaption"/>
      </w:pPr>
      <w:r>
        <w:t>Table 1. Target word forms by variant type.</w:t>
      </w:r>
    </w:p>
    <w:tbl>
      <w:tblPr>
        <w:tblStyle w:val="Table"/>
        <w:tblW w:w="0" w:type="auto"/>
        <w:tblLook w:val="0020" w:firstRow="1" w:lastRow="0" w:firstColumn="0" w:lastColumn="0" w:noHBand="0" w:noVBand="0"/>
        <w:tblCaption w:val="Table 1. Target word forms by variant type."/>
      </w:tblPr>
      <w:tblGrid>
        <w:gridCol w:w="1668"/>
        <w:gridCol w:w="1841"/>
        <w:gridCol w:w="1885"/>
        <w:gridCol w:w="1961"/>
        <w:gridCol w:w="2005"/>
      </w:tblGrid>
      <w:tr w:rsidR="003F2D62" w14:paraId="13D2715A" w14:textId="77777777" w:rsidTr="003F2D62">
        <w:trPr>
          <w:cnfStyle w:val="100000000000" w:firstRow="1" w:lastRow="0" w:firstColumn="0" w:lastColumn="0" w:oddVBand="0" w:evenVBand="0" w:oddHBand="0" w:evenHBand="0" w:firstRowFirstColumn="0" w:firstRowLastColumn="0" w:lastRowFirstColumn="0" w:lastRowLastColumn="0"/>
          <w:tblHeader/>
        </w:trPr>
        <w:tc>
          <w:tcPr>
            <w:tcW w:w="0" w:type="auto"/>
          </w:tcPr>
          <w:p w14:paraId="4689566D" w14:textId="77777777" w:rsidR="003F2D62" w:rsidRDefault="00000000">
            <w:pPr>
              <w:pStyle w:val="Compact"/>
            </w:pPr>
            <w:r>
              <w:t>Standard</w:t>
            </w:r>
          </w:p>
        </w:tc>
        <w:tc>
          <w:tcPr>
            <w:tcW w:w="0" w:type="auto"/>
          </w:tcPr>
          <w:p w14:paraId="1DC55FE1" w14:textId="77777777" w:rsidR="003F2D62" w:rsidRDefault="00000000">
            <w:pPr>
              <w:pStyle w:val="Compact"/>
            </w:pPr>
            <w:r>
              <w:t>Reduplicated (Typical)</w:t>
            </w:r>
          </w:p>
        </w:tc>
        <w:tc>
          <w:tcPr>
            <w:tcW w:w="0" w:type="auto"/>
          </w:tcPr>
          <w:p w14:paraId="37FBEAC5" w14:textId="77777777" w:rsidR="003F2D62" w:rsidRDefault="00000000">
            <w:pPr>
              <w:pStyle w:val="Compact"/>
            </w:pPr>
            <w:r>
              <w:t>Reduplicated (Atypical)</w:t>
            </w:r>
          </w:p>
        </w:tc>
        <w:tc>
          <w:tcPr>
            <w:tcW w:w="0" w:type="auto"/>
          </w:tcPr>
          <w:p w14:paraId="566A4B9A" w14:textId="77777777" w:rsidR="003F2D62" w:rsidRDefault="00000000">
            <w:pPr>
              <w:pStyle w:val="Compact"/>
            </w:pPr>
            <w:r>
              <w:t>Diminutivized (Typical)</w:t>
            </w:r>
          </w:p>
        </w:tc>
        <w:tc>
          <w:tcPr>
            <w:tcW w:w="0" w:type="auto"/>
          </w:tcPr>
          <w:p w14:paraId="46E32A16" w14:textId="77777777" w:rsidR="003F2D62" w:rsidRDefault="00000000">
            <w:pPr>
              <w:pStyle w:val="Compact"/>
            </w:pPr>
            <w:r>
              <w:t>Diminutivized (Atypical)</w:t>
            </w:r>
          </w:p>
        </w:tc>
      </w:tr>
      <w:tr w:rsidR="003F2D62" w14:paraId="4CB08FA9" w14:textId="77777777">
        <w:tc>
          <w:tcPr>
            <w:tcW w:w="0" w:type="auto"/>
          </w:tcPr>
          <w:p w14:paraId="0B5337A1" w14:textId="77777777" w:rsidR="003F2D62" w:rsidRDefault="00000000">
            <w:pPr>
              <w:pStyle w:val="Compact"/>
            </w:pPr>
            <w:r>
              <w:t>tanzer (/tæn.zɚ/)</w:t>
            </w:r>
          </w:p>
        </w:tc>
        <w:tc>
          <w:tcPr>
            <w:tcW w:w="0" w:type="auto"/>
          </w:tcPr>
          <w:p w14:paraId="1289DC3B" w14:textId="77777777" w:rsidR="003F2D62" w:rsidRDefault="00000000">
            <w:pPr>
              <w:pStyle w:val="Compact"/>
            </w:pPr>
            <w:r>
              <w:t>tan-tan (/tæn.tæn/)</w:t>
            </w:r>
          </w:p>
        </w:tc>
        <w:tc>
          <w:tcPr>
            <w:tcW w:w="0" w:type="auto"/>
          </w:tcPr>
          <w:p w14:paraId="4DD27483" w14:textId="77777777" w:rsidR="003F2D62" w:rsidRDefault="00000000">
            <w:pPr>
              <w:pStyle w:val="Compact"/>
            </w:pPr>
            <w:r>
              <w:t>zer-zer (/zɚ.zɚ/)</w:t>
            </w:r>
          </w:p>
        </w:tc>
        <w:tc>
          <w:tcPr>
            <w:tcW w:w="0" w:type="auto"/>
          </w:tcPr>
          <w:p w14:paraId="1DCC9E75" w14:textId="77777777" w:rsidR="003F2D62" w:rsidRDefault="00000000">
            <w:pPr>
              <w:pStyle w:val="Compact"/>
            </w:pPr>
            <w:r>
              <w:t>tanny (/tæn.i/)</w:t>
            </w:r>
          </w:p>
        </w:tc>
        <w:tc>
          <w:tcPr>
            <w:tcW w:w="0" w:type="auto"/>
          </w:tcPr>
          <w:p w14:paraId="4DE7B250" w14:textId="77777777" w:rsidR="003F2D62" w:rsidRDefault="00000000">
            <w:pPr>
              <w:pStyle w:val="Compact"/>
            </w:pPr>
            <w:r>
              <w:t>y-zer (/i.zɚ/)</w:t>
            </w:r>
          </w:p>
        </w:tc>
      </w:tr>
      <w:tr w:rsidR="003F2D62" w14:paraId="54C62D3B" w14:textId="77777777">
        <w:tc>
          <w:tcPr>
            <w:tcW w:w="0" w:type="auto"/>
          </w:tcPr>
          <w:p w14:paraId="2C84361D" w14:textId="77777777" w:rsidR="003F2D62" w:rsidRDefault="00000000">
            <w:pPr>
              <w:pStyle w:val="Compact"/>
            </w:pPr>
            <w:r>
              <w:t>bogdum (/bɑg.dʌm/)</w:t>
            </w:r>
          </w:p>
        </w:tc>
        <w:tc>
          <w:tcPr>
            <w:tcW w:w="0" w:type="auto"/>
          </w:tcPr>
          <w:p w14:paraId="671CC9B4" w14:textId="77777777" w:rsidR="003F2D62" w:rsidRDefault="00000000">
            <w:pPr>
              <w:pStyle w:val="Compact"/>
            </w:pPr>
            <w:r>
              <w:t>bog-bog (/bɑg.bɑg/)</w:t>
            </w:r>
          </w:p>
        </w:tc>
        <w:tc>
          <w:tcPr>
            <w:tcW w:w="0" w:type="auto"/>
          </w:tcPr>
          <w:p w14:paraId="5672F00E" w14:textId="77777777" w:rsidR="003F2D62" w:rsidRDefault="00000000">
            <w:pPr>
              <w:pStyle w:val="Compact"/>
            </w:pPr>
            <w:r>
              <w:t>dum-dum (/dʌm.dʌm/)</w:t>
            </w:r>
          </w:p>
        </w:tc>
        <w:tc>
          <w:tcPr>
            <w:tcW w:w="0" w:type="auto"/>
          </w:tcPr>
          <w:p w14:paraId="127037FC" w14:textId="77777777" w:rsidR="003F2D62" w:rsidRDefault="00000000">
            <w:pPr>
              <w:pStyle w:val="Compact"/>
            </w:pPr>
            <w:r>
              <w:t>boggy (/bɑg.i/)</w:t>
            </w:r>
          </w:p>
        </w:tc>
        <w:tc>
          <w:tcPr>
            <w:tcW w:w="0" w:type="auto"/>
          </w:tcPr>
          <w:p w14:paraId="76206B6D" w14:textId="77777777" w:rsidR="003F2D62" w:rsidRDefault="00000000">
            <w:pPr>
              <w:pStyle w:val="Compact"/>
            </w:pPr>
            <w:r>
              <w:t>y-dum (/i.dʌm/)</w:t>
            </w:r>
          </w:p>
        </w:tc>
      </w:tr>
      <w:tr w:rsidR="003F2D62" w14:paraId="3965F0AA" w14:textId="77777777">
        <w:tc>
          <w:tcPr>
            <w:tcW w:w="0" w:type="auto"/>
          </w:tcPr>
          <w:p w14:paraId="51C21B35" w14:textId="77777777" w:rsidR="003F2D62" w:rsidRDefault="00000000">
            <w:pPr>
              <w:pStyle w:val="Compact"/>
            </w:pPr>
            <w:r>
              <w:t>kaisol (/kaɪ.sɔl/)</w:t>
            </w:r>
          </w:p>
        </w:tc>
        <w:tc>
          <w:tcPr>
            <w:tcW w:w="0" w:type="auto"/>
          </w:tcPr>
          <w:p w14:paraId="1E9A93E0" w14:textId="77777777" w:rsidR="003F2D62" w:rsidRDefault="00000000">
            <w:pPr>
              <w:pStyle w:val="Compact"/>
            </w:pPr>
            <w:r>
              <w:t>kai-kai (/kaɪ.kaɪ/)</w:t>
            </w:r>
          </w:p>
        </w:tc>
        <w:tc>
          <w:tcPr>
            <w:tcW w:w="0" w:type="auto"/>
          </w:tcPr>
          <w:p w14:paraId="2B27C720" w14:textId="77777777" w:rsidR="003F2D62" w:rsidRDefault="00000000">
            <w:pPr>
              <w:pStyle w:val="Compact"/>
            </w:pPr>
            <w:r>
              <w:t>sol-sol (/sɔl.sɔl/)</w:t>
            </w:r>
          </w:p>
        </w:tc>
        <w:tc>
          <w:tcPr>
            <w:tcW w:w="0" w:type="auto"/>
          </w:tcPr>
          <w:p w14:paraId="300EECCB" w14:textId="77777777" w:rsidR="003F2D62" w:rsidRDefault="00000000">
            <w:pPr>
              <w:pStyle w:val="Compact"/>
            </w:pPr>
            <w:r>
              <w:t>kaisy (/kaɪ.si/)</w:t>
            </w:r>
          </w:p>
        </w:tc>
        <w:tc>
          <w:tcPr>
            <w:tcW w:w="0" w:type="auto"/>
          </w:tcPr>
          <w:p w14:paraId="479EFD3D" w14:textId="77777777" w:rsidR="003F2D62" w:rsidRDefault="00000000">
            <w:pPr>
              <w:pStyle w:val="Compact"/>
            </w:pPr>
            <w:r>
              <w:t>y-sol (/i.sɔl/)</w:t>
            </w:r>
          </w:p>
        </w:tc>
      </w:tr>
      <w:tr w:rsidR="003F2D62" w14:paraId="1AEB6B2C" w14:textId="77777777">
        <w:tc>
          <w:tcPr>
            <w:tcW w:w="0" w:type="auto"/>
          </w:tcPr>
          <w:p w14:paraId="16CE8BFE" w14:textId="77777777" w:rsidR="003F2D62" w:rsidRDefault="00000000">
            <w:pPr>
              <w:pStyle w:val="Compact"/>
            </w:pPr>
            <w:r>
              <w:t>mobet (/moʊ.bɛt/)</w:t>
            </w:r>
          </w:p>
        </w:tc>
        <w:tc>
          <w:tcPr>
            <w:tcW w:w="0" w:type="auto"/>
          </w:tcPr>
          <w:p w14:paraId="0CDD47C6" w14:textId="77777777" w:rsidR="003F2D62" w:rsidRDefault="00000000">
            <w:pPr>
              <w:pStyle w:val="Compact"/>
            </w:pPr>
            <w:r>
              <w:t>mo-mo (/moʊ.moʊ/)</w:t>
            </w:r>
          </w:p>
        </w:tc>
        <w:tc>
          <w:tcPr>
            <w:tcW w:w="0" w:type="auto"/>
          </w:tcPr>
          <w:p w14:paraId="201728C2" w14:textId="77777777" w:rsidR="003F2D62" w:rsidRDefault="00000000">
            <w:pPr>
              <w:pStyle w:val="Compact"/>
            </w:pPr>
            <w:r>
              <w:t>bet-bet (/bɛt.bɛt/)</w:t>
            </w:r>
          </w:p>
        </w:tc>
        <w:tc>
          <w:tcPr>
            <w:tcW w:w="0" w:type="auto"/>
          </w:tcPr>
          <w:p w14:paraId="33836C4D" w14:textId="77777777" w:rsidR="003F2D62" w:rsidRDefault="00000000">
            <w:pPr>
              <w:pStyle w:val="Compact"/>
            </w:pPr>
            <w:r>
              <w:t>moby (/moʊ.bi/)</w:t>
            </w:r>
          </w:p>
        </w:tc>
        <w:tc>
          <w:tcPr>
            <w:tcW w:w="0" w:type="auto"/>
          </w:tcPr>
          <w:p w14:paraId="53DE86EF" w14:textId="77777777" w:rsidR="003F2D62" w:rsidRDefault="00000000">
            <w:pPr>
              <w:pStyle w:val="Compact"/>
            </w:pPr>
            <w:r>
              <w:t>y-bet (/i.bɛt/)</w:t>
            </w:r>
          </w:p>
        </w:tc>
      </w:tr>
      <w:tr w:rsidR="003F2D62" w14:paraId="4E3036FF" w14:textId="77777777">
        <w:tc>
          <w:tcPr>
            <w:tcW w:w="0" w:type="auto"/>
          </w:tcPr>
          <w:p w14:paraId="547B437C" w14:textId="77777777" w:rsidR="003F2D62" w:rsidRDefault="00000000">
            <w:pPr>
              <w:pStyle w:val="Compact"/>
            </w:pPr>
            <w:r>
              <w:t>woifer (/wɔɪ.fɚ/)</w:t>
            </w:r>
          </w:p>
        </w:tc>
        <w:tc>
          <w:tcPr>
            <w:tcW w:w="0" w:type="auto"/>
          </w:tcPr>
          <w:p w14:paraId="17D8D759" w14:textId="77777777" w:rsidR="003F2D62" w:rsidRDefault="00000000">
            <w:pPr>
              <w:pStyle w:val="Compact"/>
            </w:pPr>
            <w:r>
              <w:t>woi-woi (/wɔɪ.wɔɪ/)</w:t>
            </w:r>
          </w:p>
        </w:tc>
        <w:tc>
          <w:tcPr>
            <w:tcW w:w="0" w:type="auto"/>
          </w:tcPr>
          <w:p w14:paraId="74CA2900" w14:textId="77777777" w:rsidR="003F2D62" w:rsidRDefault="00000000">
            <w:pPr>
              <w:pStyle w:val="Compact"/>
            </w:pPr>
            <w:r>
              <w:t>fer-fer (/fɚ.fɚ/)</w:t>
            </w:r>
          </w:p>
        </w:tc>
        <w:tc>
          <w:tcPr>
            <w:tcW w:w="0" w:type="auto"/>
          </w:tcPr>
          <w:p w14:paraId="0A93E3A2" w14:textId="77777777" w:rsidR="003F2D62" w:rsidRDefault="00000000">
            <w:pPr>
              <w:pStyle w:val="Compact"/>
            </w:pPr>
            <w:r>
              <w:t>woify (/wɔɪ.fi/)</w:t>
            </w:r>
          </w:p>
        </w:tc>
        <w:tc>
          <w:tcPr>
            <w:tcW w:w="0" w:type="auto"/>
          </w:tcPr>
          <w:p w14:paraId="66907047" w14:textId="77777777" w:rsidR="003F2D62" w:rsidRDefault="00000000">
            <w:pPr>
              <w:pStyle w:val="Compact"/>
            </w:pPr>
            <w:r>
              <w:t>y-fer (/i.fɚ/)</w:t>
            </w:r>
          </w:p>
        </w:tc>
      </w:tr>
      <w:tr w:rsidR="003F2D62" w14:paraId="59E6F05F" w14:textId="77777777">
        <w:tc>
          <w:tcPr>
            <w:tcW w:w="0" w:type="auto"/>
          </w:tcPr>
          <w:p w14:paraId="2ABAC15C" w14:textId="77777777" w:rsidR="003F2D62" w:rsidRDefault="00000000">
            <w:pPr>
              <w:pStyle w:val="Compact"/>
            </w:pPr>
            <w:r>
              <w:t>voopin (/vu.pɪn/)</w:t>
            </w:r>
          </w:p>
        </w:tc>
        <w:tc>
          <w:tcPr>
            <w:tcW w:w="0" w:type="auto"/>
          </w:tcPr>
          <w:p w14:paraId="5998AF67" w14:textId="77777777" w:rsidR="003F2D62" w:rsidRDefault="00000000">
            <w:pPr>
              <w:pStyle w:val="Compact"/>
            </w:pPr>
            <w:r>
              <w:t>voo-voo (/vu.vu/)</w:t>
            </w:r>
          </w:p>
        </w:tc>
        <w:tc>
          <w:tcPr>
            <w:tcW w:w="0" w:type="auto"/>
          </w:tcPr>
          <w:p w14:paraId="518DD91C" w14:textId="77777777" w:rsidR="003F2D62" w:rsidRDefault="00000000">
            <w:pPr>
              <w:pStyle w:val="Compact"/>
            </w:pPr>
            <w:r>
              <w:t>pin-pin (/pɪn.pɪn/)</w:t>
            </w:r>
          </w:p>
        </w:tc>
        <w:tc>
          <w:tcPr>
            <w:tcW w:w="0" w:type="auto"/>
          </w:tcPr>
          <w:p w14:paraId="49CEE714" w14:textId="77777777" w:rsidR="003F2D62" w:rsidRDefault="00000000">
            <w:pPr>
              <w:pStyle w:val="Compact"/>
            </w:pPr>
            <w:r>
              <w:t>voopy (/vu.pi/)</w:t>
            </w:r>
          </w:p>
        </w:tc>
        <w:tc>
          <w:tcPr>
            <w:tcW w:w="0" w:type="auto"/>
          </w:tcPr>
          <w:p w14:paraId="2183D74A" w14:textId="77777777" w:rsidR="003F2D62" w:rsidRDefault="00000000">
            <w:pPr>
              <w:pStyle w:val="Compact"/>
            </w:pPr>
            <w:r>
              <w:t>y-pin (/i.pɪn/)</w:t>
            </w:r>
          </w:p>
        </w:tc>
      </w:tr>
    </w:tbl>
    <w:p w14:paraId="21865C0A" w14:textId="77777777" w:rsidR="003F2D62" w:rsidRDefault="00000000" w:rsidP="00680DF3">
      <w:pPr>
        <w:pStyle w:val="BodyText"/>
      </w:pPr>
      <w:r>
        <w:lastRenderedPageBreak/>
        <w:t>The visual stimuli consisted of six isoluminant objects with 12 unique colors (two per object) that were modeled after Nencheva et al. (</w:t>
      </w:r>
      <w:hyperlink w:anchor="ref-nencheva2021moment">
        <w:r>
          <w:rPr>
            <w:rStyle w:val="Hyperlink"/>
          </w:rPr>
          <w:t>2021</w:t>
        </w:r>
      </w:hyperlink>
      <w:r>
        <w:t>)’s stimuli and hand-drawn using Procreate software (</w:t>
      </w:r>
      <w:hyperlink w:anchor="ref-procreate">
        <w:r>
          <w:rPr>
            <w:rStyle w:val="Hyperlink"/>
          </w:rPr>
          <w:t>Savage Interactive, 2025</w:t>
        </w:r>
      </w:hyperlink>
      <w:r>
        <w:t>).</w:t>
      </w:r>
    </w:p>
    <w:p w14:paraId="3A85A434" w14:textId="77777777" w:rsidR="003F2D62" w:rsidRDefault="00000000">
      <w:pPr>
        <w:pStyle w:val="Heading2"/>
      </w:pPr>
      <w:bookmarkStart w:id="13" w:name="procedure"/>
      <w:bookmarkEnd w:id="12"/>
      <w:r>
        <w:t>2.3 Procedure</w:t>
      </w:r>
    </w:p>
    <w:p w14:paraId="33F93E0D" w14:textId="77777777" w:rsidR="003F2D62" w:rsidRDefault="00000000">
      <w:pPr>
        <w:pStyle w:val="FirstParagraph"/>
      </w:pPr>
      <w:r>
        <w:t>Toddlers sat on their caregiver’s lap, approximately 60cm away from a 17-inch monitor equipped with an EyeLink 1000 Plus eye-tracker, in a dimly-lit testing room. Caregivers wore opaque sunglasses to prevent them from influencing their children’s behavior.</w:t>
      </w:r>
    </w:p>
    <w:p w14:paraId="7BCE466C" w14:textId="77777777" w:rsidR="003F2D62" w:rsidRDefault="00000000">
      <w:pPr>
        <w:pStyle w:val="BodyText"/>
      </w:pPr>
      <w:r>
        <w:t>The experiment consisted of three blocks (one per condition). Each block consisted of two phases: an exposure phase, during which participants learned novel word–object pairings, and a test phase, during which toddlers were immediately tested on their recognition of the word–object mappings. An isoluminant, non-linguistic, attention-getting video was shown after every block.</w:t>
      </w:r>
    </w:p>
    <w:p w14:paraId="337084F0" w14:textId="77777777" w:rsidR="003F2D62" w:rsidRDefault="00000000">
      <w:pPr>
        <w:pStyle w:val="BodyText"/>
      </w:pPr>
      <w:r>
        <w:t>During the exposure phase (four trials per block), children learned two novel word–object mappings. Each exposure trial started after a short, variable-length ITI (mean=500ms, range=250–750ms) or when the participant looked at the screen. During each exposure trial, a single target object appeared silently on the screen for 1,500ms or until the participant looked at the screen. Then, the exposure audio played. After the offset of the audio, the target object remained on the screen for an additional 1,500ms.</w:t>
      </w:r>
    </w:p>
    <w:p w14:paraId="7EA8ADA5" w14:textId="77777777" w:rsidR="003F2D62" w:rsidRDefault="00000000">
      <w:pPr>
        <w:pStyle w:val="BodyText"/>
      </w:pPr>
      <w:r>
        <w:t>During the test phase (four trials per block), toddlers saw the two objects from the preceding exposure phase side-by-side on the screen. Each trial started with an ITI (same structure as training phase), followed by a 2,000ms silent period with both objects on the screen. Then, the target audio played. After the offset of the audio, the side-by-side objects remained on the screen for an additional 2,000ms.</w:t>
      </w:r>
    </w:p>
    <w:p w14:paraId="281A9791" w14:textId="77777777" w:rsidR="003F2D62" w:rsidRDefault="00000000">
      <w:pPr>
        <w:pStyle w:val="Heading2"/>
      </w:pPr>
      <w:bookmarkStart w:id="14" w:name="conditions"/>
      <w:bookmarkEnd w:id="13"/>
      <w:r>
        <w:lastRenderedPageBreak/>
        <w:t>2.4 Conditions</w:t>
      </w:r>
    </w:p>
    <w:p w14:paraId="1F355C7C" w14:textId="77777777" w:rsidR="003F2D62" w:rsidRDefault="00000000">
      <w:pPr>
        <w:pStyle w:val="FirstParagraph"/>
      </w:pPr>
      <w:r>
        <w:t xml:space="preserve">Participants learned words in three conditions (within-subjects manipulation). In all conditions, participants learned the names of two different novel objects across four alternating exposure trials (two per word). In the </w:t>
      </w:r>
      <w:r>
        <w:rPr>
          <w:b/>
          <w:bCs/>
        </w:rPr>
        <w:t>consistent</w:t>
      </w:r>
      <w:r>
        <w:t xml:space="preserve"> condition, participants heard the standard form of the target word repeated 5x per trial (e.g., “Look, </w:t>
      </w:r>
      <w:r>
        <w:rPr>
          <w:i/>
          <w:iCs/>
        </w:rPr>
        <w:t>tanzer</w:t>
      </w:r>
      <w:r>
        <w:t xml:space="preserve">! That’s a </w:t>
      </w:r>
      <w:r>
        <w:rPr>
          <w:i/>
          <w:iCs/>
        </w:rPr>
        <w:t>tanzer</w:t>
      </w:r>
      <w:r>
        <w:t>…</w:t>
      </w:r>
      <w:r>
        <w:rPr>
          <w:i/>
          <w:iCs/>
        </w:rPr>
        <w:t>tanzer</w:t>
      </w:r>
      <w:r>
        <w:t xml:space="preserve">. Do you see the </w:t>
      </w:r>
      <w:r>
        <w:rPr>
          <w:i/>
          <w:iCs/>
        </w:rPr>
        <w:t>tanzer</w:t>
      </w:r>
      <w:r>
        <w:t xml:space="preserve">? Yes, that’s a </w:t>
      </w:r>
      <w:r>
        <w:rPr>
          <w:i/>
          <w:iCs/>
        </w:rPr>
        <w:t>tanzer</w:t>
      </w:r>
      <w:r>
        <w:t xml:space="preserve">.”). In the </w:t>
      </w:r>
      <w:r>
        <w:rPr>
          <w:b/>
          <w:bCs/>
        </w:rPr>
        <w:t>typical variation</w:t>
      </w:r>
      <w:r>
        <w:t xml:space="preserve"> condition, participants heard the standard form of the target word repeated 2x per trial in addition to one reduplicated form and one diminutivized form per trial (e.g., “Look, </w:t>
      </w:r>
      <w:r>
        <w:rPr>
          <w:i/>
          <w:iCs/>
        </w:rPr>
        <w:t>tanzer</w:t>
      </w:r>
      <w:r>
        <w:t xml:space="preserve">! That’s a </w:t>
      </w:r>
      <w:r>
        <w:rPr>
          <w:i/>
          <w:iCs/>
        </w:rPr>
        <w:t>tan-tan</w:t>
      </w:r>
      <w:r>
        <w:t xml:space="preserve">. Do you see the </w:t>
      </w:r>
      <w:r>
        <w:rPr>
          <w:i/>
          <w:iCs/>
        </w:rPr>
        <w:t>tanny</w:t>
      </w:r>
      <w:r>
        <w:t xml:space="preserve">? Yes, that’s a </w:t>
      </w:r>
      <w:r>
        <w:rPr>
          <w:i/>
          <w:iCs/>
        </w:rPr>
        <w:t>tanzer</w:t>
      </w:r>
      <w:r>
        <w:t xml:space="preserve">.”). Critically, the number of exposures to the first syllable of the target word (i.e., </w:t>
      </w:r>
      <w:r>
        <w:rPr>
          <w:i/>
          <w:iCs/>
        </w:rPr>
        <w:t>tan</w:t>
      </w:r>
      <w:r>
        <w:t xml:space="preserve">) was equivalent across these two conditions. In the </w:t>
      </w:r>
      <w:r>
        <w:rPr>
          <w:b/>
          <w:bCs/>
        </w:rPr>
        <w:t>atypical variation</w:t>
      </w:r>
      <w:r>
        <w:t xml:space="preserve"> condition, participants heard the standard form of the target word repeated 2x per trial in addition to 1x exposure each of reversed versions of the typical reduplicated and diminutivized forms (e.g., “Look, </w:t>
      </w:r>
      <w:r>
        <w:rPr>
          <w:i/>
          <w:iCs/>
        </w:rPr>
        <w:t>tanzer</w:t>
      </w:r>
      <w:r>
        <w:t xml:space="preserve">! That’s a </w:t>
      </w:r>
      <w:r>
        <w:rPr>
          <w:i/>
          <w:iCs/>
        </w:rPr>
        <w:t>zer-zer</w:t>
      </w:r>
      <w:r>
        <w:t xml:space="preserve">. Do you see the </w:t>
      </w:r>
      <w:r>
        <w:rPr>
          <w:i/>
          <w:iCs/>
        </w:rPr>
        <w:t>y-zer</w:t>
      </w:r>
      <w:r>
        <w:t xml:space="preserve">? Yes, that’s a </w:t>
      </w:r>
      <w:r>
        <w:rPr>
          <w:i/>
          <w:iCs/>
        </w:rPr>
        <w:t>tanzer</w:t>
      </w:r>
      <w:r>
        <w:t xml:space="preserve">.”). A full list of exposed word forms can be found in </w:t>
      </w:r>
      <w:r>
        <w:rPr>
          <w:b/>
          <w:bCs/>
        </w:rPr>
        <w:t>Table 1</w:t>
      </w:r>
      <w:r>
        <w:t>.</w:t>
      </w:r>
    </w:p>
    <w:p w14:paraId="5D29CD79" w14:textId="77777777" w:rsidR="003F2D62" w:rsidRDefault="00000000">
      <w:pPr>
        <w:pStyle w:val="BodyText"/>
      </w:pPr>
      <w:r>
        <w:t>Participants were assigned to one of 18 pseudorandomized orders such that the order of presentation of blocks and the assignment of target labels to target objects was counterbalanced across conditions. Target locations were also counterbalanced such that the target object appeared 50% of time on the left and 50% of the time on the right.</w:t>
      </w:r>
    </w:p>
    <w:p w14:paraId="27BC7F4A" w14:textId="77777777" w:rsidR="003F2D62" w:rsidRDefault="00000000">
      <w:pPr>
        <w:pStyle w:val="Heading2"/>
      </w:pPr>
      <w:bookmarkStart w:id="15" w:name="data-pre-processing"/>
      <w:bookmarkEnd w:id="14"/>
      <w:r>
        <w:t>2.5 Data pre-processing</w:t>
      </w:r>
    </w:p>
    <w:p w14:paraId="056BF5AE" w14:textId="77777777" w:rsidR="003F2D62" w:rsidRDefault="00000000">
      <w:pPr>
        <w:pStyle w:val="FirstParagraph"/>
      </w:pPr>
      <w:r>
        <w:t xml:space="preserve">Gaze behavior was used to determine toddlers’ recognition of novel word–object pairings during two critical windows of analysis (300–2,000ms following each target word onset, </w:t>
      </w:r>
      <w:hyperlink w:anchor="ref-fernald2008looking">
        <w:r>
          <w:rPr>
            <w:rStyle w:val="Hyperlink"/>
          </w:rPr>
          <w:t>Fernald et al., 2008</w:t>
        </w:r>
      </w:hyperlink>
      <w:r>
        <w:t xml:space="preserve">; </w:t>
      </w:r>
      <w:hyperlink w:anchor="ref-swingley2000spoken">
        <w:r>
          <w:rPr>
            <w:rStyle w:val="Hyperlink"/>
          </w:rPr>
          <w:t>Swingley &amp; Aslin, 2000</w:t>
        </w:r>
      </w:hyperlink>
      <w:r>
        <w:t xml:space="preserve">). We included two instances of the target word during test trials to ensure that children had sufficient opportunity to demonstrate their recognition of novel </w:t>
      </w:r>
      <w:r>
        <w:lastRenderedPageBreak/>
        <w:t xml:space="preserve">word–object mappings (consistent with </w:t>
      </w:r>
      <w:hyperlink w:anchor="ref-ota2016reduplicated">
        <w:r>
          <w:rPr>
            <w:rStyle w:val="Hyperlink"/>
          </w:rPr>
          <w:t>Ota &amp; Skarabela, 2016</w:t>
        </w:r>
      </w:hyperlink>
      <w:r>
        <w:t>). We calculated participants’ proportion of looking to target objects during test trials (relative to their total time looking at either the target object or distractor object) as the measure of word-recognition accuracy. For any given test trial to be included in analyses, children must have looked to the target and/or distractor object at least once prior to the onset of the first label and for at least 1/3 of each critical post-labeling window. In order for a block to be included, children must have contributed usable data for at least two of four test trials. Finally, in order for a participant to be included, they must have contributed at least two of three blocks. On average, participants contributed 9.98 trials (median=10.50, range=4–12) across 2.81 conditions (median=3).</w:t>
      </w:r>
    </w:p>
    <w:p w14:paraId="19BCC5BE" w14:textId="77777777" w:rsidR="003F2D62" w:rsidRDefault="00000000">
      <w:pPr>
        <w:pStyle w:val="BodyText"/>
      </w:pPr>
      <w:r>
        <w:t>For pupillometry analyses, following Nencheva et al. (</w:t>
      </w:r>
      <w:hyperlink w:anchor="ref-nencheva2021moment">
        <w:r>
          <w:rPr>
            <w:rStyle w:val="Hyperlink"/>
          </w:rPr>
          <w:t>2021</w:t>
        </w:r>
      </w:hyperlink>
      <w:r>
        <w:t>), we first converted toddlers’ raw pupil size values during exposure sentences to percent change from the average pupil size for each trial. We removed potential artifacts due to partial blinks by excluding any 50ms intervals with more than 15% change in pupil size (</w:t>
      </w:r>
      <w:hyperlink w:anchor="ref-merritt1994artifact">
        <w:r>
          <w:rPr>
            <w:rStyle w:val="Hyperlink"/>
          </w:rPr>
          <w:t>Merritt et al., 1994</w:t>
        </w:r>
      </w:hyperlink>
      <w:r>
        <w:t>). We used Stineman interpolation to fill in gaps shorter than 100ms (</w:t>
      </w:r>
      <w:hyperlink w:anchor="ref-stinepack">
        <w:r>
          <w:rPr>
            <w:rStyle w:val="Hyperlink"/>
          </w:rPr>
          <w:t>Johannesson et al., 2009</w:t>
        </w:r>
      </w:hyperlink>
      <w:r>
        <w:t>). Finally, we excluded exposure sentences where more than 50% of a participant’s pupil size data was missing (e.g., due to the child looking away from the screen or technical error).</w:t>
      </w:r>
    </w:p>
    <w:p w14:paraId="79FABFF8" w14:textId="77777777" w:rsidR="003F2D62" w:rsidRDefault="00000000">
      <w:pPr>
        <w:pStyle w:val="Heading1"/>
      </w:pPr>
      <w:bookmarkStart w:id="16" w:name="results"/>
      <w:bookmarkEnd w:id="10"/>
      <w:bookmarkEnd w:id="15"/>
      <w:r>
        <w:t>3. Results</w:t>
      </w:r>
    </w:p>
    <w:p w14:paraId="23A384E8" w14:textId="77777777" w:rsidR="003F2D62" w:rsidRDefault="00000000">
      <w:pPr>
        <w:pStyle w:val="Heading2"/>
      </w:pPr>
      <w:bookmarkStart w:id="17" w:name="X81d3246c4b93329a5d0d8f2a794f9a185512a61"/>
      <w:r>
        <w:t>3.1 Word recognition measured by gaze behavior</w:t>
      </w:r>
    </w:p>
    <w:p w14:paraId="532E7CD7" w14:textId="77777777" w:rsidR="003F2D62" w:rsidRDefault="00000000">
      <w:pPr>
        <w:pStyle w:val="FirstParagraph"/>
      </w:pPr>
      <w:r>
        <w:t xml:space="preserve">Our primary pre-registered analysis examined whether toddlers successfully learned novel word–object mappings across conditions. Using the </w:t>
      </w:r>
      <w:r>
        <w:rPr>
          <w:rStyle w:val="VerbatimChar"/>
        </w:rPr>
        <w:t>lme4</w:t>
      </w:r>
      <w:r>
        <w:t xml:space="preserve"> package (</w:t>
      </w:r>
      <w:hyperlink w:anchor="ref-lme4">
        <w:r>
          <w:rPr>
            <w:rStyle w:val="Hyperlink"/>
          </w:rPr>
          <w:t>Bates et al., 2015</w:t>
        </w:r>
      </w:hyperlink>
      <w:r>
        <w:t xml:space="preserve">), we fit a mixed-effects logistic regression model to test the effects of condition and age on children’s novel word-recognition accuracy (i.e., proportion looking to the target object). The model included fixed effects for condition (atypical variation vs. consistent vs. typical variation) and </w:t>
      </w:r>
      <w:r>
        <w:lastRenderedPageBreak/>
        <w:t>mean-centered age</w:t>
      </w:r>
      <w:r>
        <w:rPr>
          <w:rStyle w:val="FootnoteReference"/>
        </w:rPr>
        <w:footnoteReference w:id="2"/>
      </w:r>
      <w:r>
        <w:t>, along with the maximal random effects structure that allowed for model convergence (by-participant and by-item random intercepts). We also replicated this analysis using zero-one-inflated beta regression under a Bayesian framework (</w:t>
      </w:r>
      <w:hyperlink w:anchor="ref-liu2018review">
        <w:r>
          <w:rPr>
            <w:rStyle w:val="Hyperlink"/>
          </w:rPr>
          <w:t>Liu &amp; Eugenio, 2018</w:t>
        </w:r>
      </w:hyperlink>
      <w:r>
        <w:t>), which yielded similar results (see Supplementary Materials).</w:t>
      </w:r>
    </w:p>
    <w:p w14:paraId="397825AA" w14:textId="77777777" w:rsidR="003F2D62" w:rsidRDefault="00000000">
      <w:pPr>
        <w:pStyle w:val="BodyText"/>
      </w:pPr>
      <w:r>
        <w:t xml:space="preserve">As predicted, toddlers’ performance was reliably above chance in the consistent condition (estimated marginal mean (EMM)=0.65, </w:t>
      </w:r>
      <w:r>
        <w:rPr>
          <w:i/>
          <w:iCs/>
        </w:rPr>
        <w:t>SE</w:t>
      </w:r>
      <w:r>
        <w:t xml:space="preserve">=0.04, 95% CI [0.56, 0.73]). In addition, as predicted, toddlers’ performance was at chance in the atypical variation condition (EMM=0.54, </w:t>
      </w:r>
      <w:r>
        <w:rPr>
          <w:i/>
          <w:iCs/>
        </w:rPr>
        <w:t>SE</w:t>
      </w:r>
      <w:r>
        <w:t xml:space="preserve">=0.04, 95% CI [0.45, 0.62]). The main condition of theoretical interest was the typical variation condition, in which we found that toddlers performed reliably above chance (EMM=0.60, </w:t>
      </w:r>
      <w:r>
        <w:rPr>
          <w:i/>
          <w:iCs/>
        </w:rPr>
        <w:t>SE</w:t>
      </w:r>
      <w:r>
        <w:t xml:space="preserve">=0.04, 95% CI [0.51, 0.68]). </w:t>
      </w:r>
      <w:r>
        <w:rPr>
          <w:b/>
          <w:bCs/>
        </w:rPr>
        <w:t>Figure 1</w:t>
      </w:r>
      <w:r>
        <w:t xml:space="preserve"> shows model-predicted accuracy across conditions.</w:t>
      </w:r>
    </w:p>
    <w:p w14:paraId="5149B144" w14:textId="77777777" w:rsidR="003F2D62" w:rsidRDefault="00000000">
      <w:pPr>
        <w:pStyle w:val="CaptionedFigure"/>
      </w:pPr>
      <w:r>
        <w:rPr>
          <w:noProof/>
        </w:rPr>
        <w:lastRenderedPageBreak/>
        <w:drawing>
          <wp:inline distT="0" distB="0" distL="0" distR="0" wp14:anchorId="44D6C69C" wp14:editId="7E8E26DC">
            <wp:extent cx="5943600" cy="3714749"/>
            <wp:effectExtent l="0" t="0" r="0" b="0"/>
            <wp:docPr id="49" name="Picture" descr="Figure 1. Model-predicted overall accuracy (i.e., proportion looking to target object) across conditions. Point ranges reflect estimated marginal means with 95% confidence intervals. Jittered dots show raw means for individual participants. The dotted line at 0.50 indicates chance looking."/>
            <wp:cNvGraphicFramePr/>
            <a:graphic xmlns:a="http://schemas.openxmlformats.org/drawingml/2006/main">
              <a:graphicData uri="http://schemas.openxmlformats.org/drawingml/2006/picture">
                <pic:pic xmlns:pic="http://schemas.openxmlformats.org/drawingml/2006/picture">
                  <pic:nvPicPr>
                    <pic:cNvPr id="50" name="Picture" descr="Figure1.png"/>
                    <pic:cNvPicPr>
                      <a:picLocks noChangeAspect="1" noChangeArrowheads="1"/>
                    </pic:cNvPicPr>
                  </pic:nvPicPr>
                  <pic:blipFill>
                    <a:blip r:embed="rId14"/>
                    <a:stretch>
                      <a:fillRect/>
                    </a:stretch>
                  </pic:blipFill>
                  <pic:spPr bwMode="auto">
                    <a:xfrm>
                      <a:off x="0" y="0"/>
                      <a:ext cx="5943600" cy="3714749"/>
                    </a:xfrm>
                    <a:prstGeom prst="rect">
                      <a:avLst/>
                    </a:prstGeom>
                    <a:noFill/>
                    <a:ln w="9525">
                      <a:noFill/>
                      <a:headEnd/>
                      <a:tailEnd/>
                    </a:ln>
                  </pic:spPr>
                </pic:pic>
              </a:graphicData>
            </a:graphic>
          </wp:inline>
        </w:drawing>
      </w:r>
    </w:p>
    <w:p w14:paraId="1322549F" w14:textId="77777777" w:rsidR="003F2D62" w:rsidRDefault="00000000">
      <w:pPr>
        <w:pStyle w:val="ImageCaption"/>
      </w:pPr>
      <w:r>
        <w:t>Figure 1. Model-predicted overall accuracy (i.e., proportion looking to target object) across conditions. Point ranges reflect estimated marginal means with 95% confidence intervals. Jittered dots show raw means for individual participants. The dotted line at 0.50 indicates chance looking.</w:t>
      </w:r>
    </w:p>
    <w:p w14:paraId="27152637" w14:textId="77777777" w:rsidR="003F2D62" w:rsidRDefault="00000000">
      <w:pPr>
        <w:pStyle w:val="BodyText"/>
      </w:pPr>
      <w:r>
        <w:t>Model parameter estimates revealed a significant positive effect of the consistent condition (</w:t>
      </w:r>
      <w:r>
        <w:rPr>
          <w:i/>
          <w:iCs/>
        </w:rPr>
        <w:t>β</w:t>
      </w:r>
      <w:r>
        <w:t xml:space="preserve">=0.47, </w:t>
      </w:r>
      <w:r>
        <w:rPr>
          <w:i/>
          <w:iCs/>
        </w:rPr>
        <w:t>SE</w:t>
      </w:r>
      <w:r>
        <w:t xml:space="preserve">=0.22, </w:t>
      </w:r>
      <w:r>
        <w:rPr>
          <w:i/>
          <w:iCs/>
        </w:rPr>
        <w:t>p</w:t>
      </w:r>
      <w:r>
        <w:t>=0.030), and a positive but non-significant effect of the typical variation condition (</w:t>
      </w:r>
      <w:r>
        <w:rPr>
          <w:i/>
          <w:iCs/>
        </w:rPr>
        <w:t>β</w:t>
      </w:r>
      <w:r>
        <w:t xml:space="preserve">=0.26, </w:t>
      </w:r>
      <w:r>
        <w:rPr>
          <w:i/>
          <w:iCs/>
        </w:rPr>
        <w:t>SE</w:t>
      </w:r>
      <w:r>
        <w:t xml:space="preserve">=0.21, </w:t>
      </w:r>
      <w:r>
        <w:rPr>
          <w:i/>
          <w:iCs/>
        </w:rPr>
        <w:t>p</w:t>
      </w:r>
      <w:r>
        <w:t>=0.231), relative to the atypical variation condition, on overall accuracy. Toddlers’ proportion looking to target also increased significantly with age, as hypothesized (</w:t>
      </w:r>
      <w:r>
        <w:rPr>
          <w:i/>
          <w:iCs/>
        </w:rPr>
        <w:t>β</w:t>
      </w:r>
      <w:r>
        <w:t xml:space="preserve">=0.26, </w:t>
      </w:r>
      <w:r>
        <w:rPr>
          <w:i/>
          <w:iCs/>
        </w:rPr>
        <w:t>SE</w:t>
      </w:r>
      <w:r>
        <w:t xml:space="preserve">=0.10, </w:t>
      </w:r>
      <w:r>
        <w:rPr>
          <w:i/>
          <w:iCs/>
        </w:rPr>
        <w:t>p</w:t>
      </w:r>
      <w:r>
        <w:t>=0.010).</w:t>
      </w:r>
    </w:p>
    <w:p w14:paraId="7167C646" w14:textId="77777777" w:rsidR="003F2D62" w:rsidRDefault="00000000">
      <w:pPr>
        <w:pStyle w:val="BodyText"/>
      </w:pPr>
      <w:r>
        <w:t>Exploratory analyses suggested descriptively stronger condition differences in the first post-labeling window, which is the typical window of analysis used in LWL studies to examine word recognition (</w:t>
      </w:r>
      <w:hyperlink w:anchor="ref-fernald2008looking">
        <w:r>
          <w:rPr>
            <w:rStyle w:val="Hyperlink"/>
          </w:rPr>
          <w:t>Fernald et al., 2008</w:t>
        </w:r>
      </w:hyperlink>
      <w:r>
        <w:t xml:space="preserve">). In the second post-labeling window, which is less </w:t>
      </w:r>
      <w:r>
        <w:lastRenderedPageBreak/>
        <w:t xml:space="preserve">frequently implemented in LWL studies, children’s performance was reliably above chance in all conditions (all </w:t>
      </w:r>
      <w:r>
        <w:rPr>
          <w:i/>
          <w:iCs/>
        </w:rPr>
        <w:t>p</w:t>
      </w:r>
      <w:r>
        <w:t>s &lt; 0.05), indicating some evidence of learning across all types of exposure (see Supplemental Materials for further details).</w:t>
      </w:r>
    </w:p>
    <w:p w14:paraId="352E5168" w14:textId="77777777" w:rsidR="003F2D62" w:rsidRDefault="00000000">
      <w:pPr>
        <w:pStyle w:val="Heading2"/>
      </w:pPr>
      <w:bookmarkStart w:id="18" w:name="X766ac349de9df7b6c7c4b96c9a4fd67a2087b79"/>
      <w:bookmarkEnd w:id="17"/>
      <w:r>
        <w:t>3.2 Moment-by-moment attention measured by pupil size synchrony</w:t>
      </w:r>
    </w:p>
    <w:p w14:paraId="4CF5E4DD" w14:textId="77777777" w:rsidR="003F2D62" w:rsidRDefault="00000000">
      <w:pPr>
        <w:pStyle w:val="FirstParagraph"/>
      </w:pPr>
      <w:r>
        <w:t>Following Nencheva et al. (</w:t>
      </w:r>
      <w:hyperlink w:anchor="ref-nencheva2021moment">
        <w:r>
          <w:rPr>
            <w:rStyle w:val="Hyperlink"/>
          </w:rPr>
          <w:t>2021</w:t>
        </w:r>
      </w:hyperlink>
      <w:r>
        <w:t xml:space="preserve">), we used dynamic time-warping distance (DTW, </w:t>
      </w:r>
      <w:hyperlink w:anchor="ref-tormene2009matching">
        <w:r>
          <w:rPr>
            <w:rStyle w:val="Hyperlink"/>
          </w:rPr>
          <w:t>Tormene et al., 2009</w:t>
        </w:r>
      </w:hyperlink>
      <w:r>
        <w:t>) to quantify the temporal alignment of participants’ pupil responses when hearing individual exposure sentences (normalized for duration). This DTW measure quantifies the dissimilarity between two time series of pupil fluctuations. To transform these values into synchrony scores, we subtracted DTW distance scores from the maximum distance between two participants on each trial. This transformation rescales DTW distances such that higher values reflect greater synchrony. To compare synchrony across conditions, we computed pairwise synchrony scores for all possible pairs of participants (for each exposure sentence per condition).</w:t>
      </w:r>
    </w:p>
    <w:p w14:paraId="1059C336" w14:textId="77777777" w:rsidR="003F2D62" w:rsidRDefault="00000000">
      <w:pPr>
        <w:pStyle w:val="BodyText"/>
      </w:pPr>
      <w:r>
        <w:t>We examined synchrony during the two types of critical exposure sentences that differed between conditions (see also Supplementary Materials for word-level effects and analyses for all exposure sentences). A linear mixed-effects model (</w:t>
      </w:r>
      <w:hyperlink w:anchor="ref-lme4">
        <w:r>
          <w:rPr>
            <w:rStyle w:val="Hyperlink"/>
          </w:rPr>
          <w:t>Bates et al., 2015</w:t>
        </w:r>
      </w:hyperlink>
      <w:r>
        <w:t>) predicting average pupil size synchrony (</w:t>
      </w:r>
      <w:r>
        <w:rPr>
          <w:i/>
          <w:iCs/>
        </w:rPr>
        <w:t>z</w:t>
      </w:r>
      <w:r>
        <w:t>-scored) from condition, with a by-participant random intercept, revealed a significant main effect of condition on pupil size synchrony [</w:t>
      </w:r>
      <w:r>
        <w:rPr>
          <w:i/>
          <w:iCs/>
        </w:rPr>
        <w:t>F</w:t>
      </w:r>
      <w:r>
        <w:t xml:space="preserve">(2, 246)=26.66, </w:t>
      </w:r>
      <w:r>
        <w:rPr>
          <w:i/>
          <w:iCs/>
        </w:rPr>
        <w:t>p</w:t>
      </w:r>
      <w:r>
        <w:t xml:space="preserve">&lt;0.001]. Follow-up pairwise comparisons using Tukey’s HSD correction indicated that there were statistically significant differences between all condition pairs. Pupil size synchrony was higher in the atypical variation condition (ΔM=0.20, </w:t>
      </w:r>
      <w:r>
        <w:rPr>
          <w:i/>
          <w:iCs/>
        </w:rPr>
        <w:t>p</w:t>
      </w:r>
      <w:r>
        <w:t xml:space="preserve">=0.006, Cohen’s </w:t>
      </w:r>
      <w:r>
        <w:rPr>
          <w:i/>
          <w:iCs/>
        </w:rPr>
        <w:t>d</w:t>
      </w:r>
      <w:r>
        <w:t xml:space="preserve">=0.45) and the typical variation condition (ΔM=0.47, </w:t>
      </w:r>
      <w:r>
        <w:rPr>
          <w:i/>
          <w:iCs/>
        </w:rPr>
        <w:t>p</w:t>
      </w:r>
      <w:r>
        <w:t xml:space="preserve">&lt;0.001, Cohen’s </w:t>
      </w:r>
      <w:r>
        <w:rPr>
          <w:i/>
          <w:iCs/>
        </w:rPr>
        <w:t>d</w:t>
      </w:r>
      <w:r>
        <w:t xml:space="preserve">=1.07) relative to the consistent condition. Pupil size synchrony was also higher in the typical variation condition relative to the atypical variation condition (ΔM=0.27, </w:t>
      </w:r>
      <w:r>
        <w:rPr>
          <w:i/>
          <w:iCs/>
        </w:rPr>
        <w:t>p</w:t>
      </w:r>
      <w:r>
        <w:t xml:space="preserve">&lt;0.001, Cohen’s </w:t>
      </w:r>
      <w:r>
        <w:rPr>
          <w:i/>
          <w:iCs/>
        </w:rPr>
        <w:t>d</w:t>
      </w:r>
      <w:r>
        <w:t>=0.62).</w:t>
      </w:r>
    </w:p>
    <w:p w14:paraId="5EA2A8AF" w14:textId="77777777" w:rsidR="003F2D62" w:rsidRDefault="00000000">
      <w:pPr>
        <w:pStyle w:val="CaptionedFigure"/>
      </w:pPr>
      <w:r>
        <w:rPr>
          <w:noProof/>
        </w:rPr>
        <w:lastRenderedPageBreak/>
        <w:drawing>
          <wp:inline distT="0" distB="0" distL="0" distR="0" wp14:anchorId="2E75BE1C" wp14:editId="760AF922">
            <wp:extent cx="5943600" cy="3714749"/>
            <wp:effectExtent l="0" t="0" r="0" b="0"/>
            <wp:docPr id="53" name="Picture" descr="Figure 2. Model-predicted mean pupil size synchrony (z-scored) across conditions with 95% confidence intervals. Jittered points represent participant means."/>
            <wp:cNvGraphicFramePr/>
            <a:graphic xmlns:a="http://schemas.openxmlformats.org/drawingml/2006/main">
              <a:graphicData uri="http://schemas.openxmlformats.org/drawingml/2006/picture">
                <pic:pic xmlns:pic="http://schemas.openxmlformats.org/drawingml/2006/picture">
                  <pic:nvPicPr>
                    <pic:cNvPr id="54" name="Picture" descr="Figure2.png"/>
                    <pic:cNvPicPr>
                      <a:picLocks noChangeAspect="1" noChangeArrowheads="1"/>
                    </pic:cNvPicPr>
                  </pic:nvPicPr>
                  <pic:blipFill>
                    <a:blip r:embed="rId15"/>
                    <a:stretch>
                      <a:fillRect/>
                    </a:stretch>
                  </pic:blipFill>
                  <pic:spPr bwMode="auto">
                    <a:xfrm>
                      <a:off x="0" y="0"/>
                      <a:ext cx="5943600" cy="3714749"/>
                    </a:xfrm>
                    <a:prstGeom prst="rect">
                      <a:avLst/>
                    </a:prstGeom>
                    <a:noFill/>
                    <a:ln w="9525">
                      <a:noFill/>
                      <a:headEnd/>
                      <a:tailEnd/>
                    </a:ln>
                  </pic:spPr>
                </pic:pic>
              </a:graphicData>
            </a:graphic>
          </wp:inline>
        </w:drawing>
      </w:r>
    </w:p>
    <w:p w14:paraId="212E3903" w14:textId="77777777" w:rsidR="003F2D62" w:rsidRDefault="00000000">
      <w:pPr>
        <w:pStyle w:val="ImageCaption"/>
      </w:pPr>
      <w:r>
        <w:t>Figure 2. Model-predicted mean pupil size synchrony (z-scored) across conditions with 95% confidence intervals. Jittered points represent participant means.</w:t>
      </w:r>
    </w:p>
    <w:p w14:paraId="054DF01A" w14:textId="77777777" w:rsidR="003F2D62" w:rsidRDefault="00000000">
      <w:pPr>
        <w:pStyle w:val="BodyText"/>
      </w:pPr>
      <w:r>
        <w:t>To understand if toddlers’ moment-to-moment engagement with consistent versus variable labels predicted their novel word learning, we tested whether or not a given participant’s proportion looking to a target object during test trials could be reliably predicted from their average pupil size synchrony for that target word during training trials. We added mean pupil size synchrony (</w:t>
      </w:r>
      <w:r>
        <w:rPr>
          <w:i/>
          <w:iCs/>
        </w:rPr>
        <w:t>z</w:t>
      </w:r>
      <w:r>
        <w:t>-scored) as an additional fixed effect, along with a condition-by-synchrony interaction term, to our main mixed-effects logistic regression model from Section 3.1; however, the addition of these terms did not significantly improve model fit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(3)=2.41, </w:t>
      </w:r>
      <w:r>
        <w:rPr>
          <w:i/>
          <w:iCs/>
        </w:rPr>
        <w:t>p</w:t>
      </w:r>
      <w:r>
        <w:t>=0.491).</w:t>
      </w:r>
    </w:p>
    <w:p w14:paraId="1A00B7EA" w14:textId="77777777" w:rsidR="003F2D62" w:rsidRDefault="00000000">
      <w:pPr>
        <w:pStyle w:val="Heading1"/>
      </w:pPr>
      <w:bookmarkStart w:id="19" w:name="discussion"/>
      <w:bookmarkEnd w:id="16"/>
      <w:bookmarkEnd w:id="18"/>
      <w:r>
        <w:t>4. Discussion</w:t>
      </w:r>
    </w:p>
    <w:p w14:paraId="289C54C4" w14:textId="77777777" w:rsidR="003F2D62" w:rsidRDefault="00000000">
      <w:pPr>
        <w:pStyle w:val="FirstParagraph"/>
      </w:pPr>
      <w:r>
        <w:t xml:space="preserve">We tested how consistent versus variable labels impact English-hearing toddlers’ learning of novel word–object mappings. Specifically, we examined whether 18- to 36-month-olds </w:t>
      </w:r>
      <w:r>
        <w:lastRenderedPageBreak/>
        <w:t xml:space="preserve">showed better novel word-recognition accuracy when they were exposed to consistent labels versus typical label variants (reduplicated/diminutivized word forms attested in English CDS) versus atypical label variants (word forms unattested in English CDS). This is, to our knowledge, the first experiment to directly manipulate children’s exposure to label variation during a word learning task. Building on prior naturalistic corpus analyses of CDS variant use (e.g., </w:t>
      </w:r>
      <w:hyperlink w:anchor="ref-casey2022doggy">
        <w:r>
          <w:rPr>
            <w:rStyle w:val="Hyperlink"/>
          </w:rPr>
          <w:t>Casey &amp; Casillas, 2022</w:t>
        </w:r>
      </w:hyperlink>
      <w:r>
        <w:t xml:space="preserve">; </w:t>
      </w:r>
      <w:hyperlink w:anchor="ref-moore2024wordform">
        <w:r>
          <w:rPr>
            <w:rStyle w:val="Hyperlink"/>
          </w:rPr>
          <w:t>Moore &amp; Bergelson, 2024</w:t>
        </w:r>
      </w:hyperlink>
      <w:r>
        <w:t xml:space="preserve">; </w:t>
      </w:r>
      <w:hyperlink w:anchor="ref-ota2018choo">
        <w:r>
          <w:rPr>
            <w:rStyle w:val="Hyperlink"/>
          </w:rPr>
          <w:t>Ota et al., 2018</w:t>
        </w:r>
      </w:hyperlink>
      <w:r>
        <w:t>), this study provides a next step toward understanding the causal impact of hearing multiple label variants on children’s learning of new words.</w:t>
      </w:r>
    </w:p>
    <w:p w14:paraId="106CA4FE" w14:textId="77777777" w:rsidR="003F2D62" w:rsidRDefault="00000000">
      <w:pPr>
        <w:pStyle w:val="BodyText"/>
      </w:pPr>
      <w:r>
        <w:t>As hypothesized, children performed above chance in the consistent condition, replicating decades of findings showing that children can learn novel one-to-one mappings from a brief exposure phase. The primary goal of this study was to determine how children contend with two different types of label variation. As predicted, overall performance was at chance in the atypical variation condition. However, overall performance was above chance in the typical variation condition, indicating that toddlers can successfully learn from variable input, particularly when variant labels match the type that they might hear at home. Critically, although overall performance was significantly above chance in two of the three conditions, between-condition effects were generally weak and not statistically significant, likely driven by the short length of the in-lab task relative to the longer developmental timescales over which children hear multiple interchangeable labels at home (</w:t>
      </w:r>
      <w:hyperlink w:anchor="ref-casey2022doggy">
        <w:r>
          <w:rPr>
            <w:rStyle w:val="Hyperlink"/>
          </w:rPr>
          <w:t>Casey &amp; Casillas, 2022</w:t>
        </w:r>
      </w:hyperlink>
      <w:r>
        <w:t xml:space="preserve">; </w:t>
      </w:r>
      <w:hyperlink w:anchor="ref-moore2024wordform">
        <w:r>
          <w:rPr>
            <w:rStyle w:val="Hyperlink"/>
          </w:rPr>
          <w:t>Moore &amp; Bergelson, 2024</w:t>
        </w:r>
      </w:hyperlink>
      <w:r>
        <w:t xml:space="preserve">; </w:t>
      </w:r>
      <w:hyperlink w:anchor="ref-ota2018choo">
        <w:r>
          <w:rPr>
            <w:rStyle w:val="Hyperlink"/>
          </w:rPr>
          <w:t>Ota et al., 2018</w:t>
        </w:r>
      </w:hyperlink>
      <w:r>
        <w:t>). Accordingly, these results warrant caution when interpreting the magnitude of differences between hearing consistent versus variable labels, particularly over short timescales.</w:t>
      </w:r>
    </w:p>
    <w:p w14:paraId="33026A2F" w14:textId="77777777" w:rsidR="003F2D62" w:rsidRDefault="00000000">
      <w:pPr>
        <w:pStyle w:val="BodyText"/>
      </w:pPr>
      <w:r>
        <w:t xml:space="preserve">Exploratory analyses across the two post-labeling windows suggested that condition differences were most apparent in toddlers’ looking behavior following the first instance of the </w:t>
      </w:r>
      <w:r>
        <w:lastRenderedPageBreak/>
        <w:t xml:space="preserve">label, which is the window used most often to index word recognition in looking-while-listening paradigms (e.g., </w:t>
      </w:r>
      <w:hyperlink w:anchor="ref-fernald2008looking">
        <w:r>
          <w:rPr>
            <w:rStyle w:val="Hyperlink"/>
          </w:rPr>
          <w:t>Fernald et al., 2008</w:t>
        </w:r>
      </w:hyperlink>
      <w:r>
        <w:t xml:space="preserve">). By the second instance of hearing the target label (cf. </w:t>
      </w:r>
      <w:hyperlink w:anchor="ref-ota2016reduplicated">
        <w:r>
          <w:rPr>
            <w:rStyle w:val="Hyperlink"/>
          </w:rPr>
          <w:t>Ota &amp; Skarabela, 2016</w:t>
        </w:r>
      </w:hyperlink>
      <w:r>
        <w:t xml:space="preserve">), children reliably recognized the novel word–object mappings in all conditions, suggesting that toddlers eventually demonstrated recognition of words learned during consistent and variable labeling conditions. It is important to acknowledge, however, that our current findings cannot fully tease apart different explanations for why children successfully learned from both types of inpu—specifically, whether learning was driven primarily by exposure to standard word forms or by experience with label variants. It is possible that exposure to four repetitions of the standard word form was sufficient for children to learn label–object mappings, regardless of the surrounding variants. Children may have “filtered out” (cf. </w:t>
      </w:r>
      <w:hyperlink w:anchor="ref-potter2019infants">
        <w:r>
          <w:rPr>
            <w:rStyle w:val="Hyperlink"/>
          </w:rPr>
          <w:t>Potter &amp; Lew-Williams, 2019</w:t>
        </w:r>
      </w:hyperlink>
      <w:r>
        <w:t xml:space="preserve">) atypical or unfamiliar forms, focusing on the consistent standard repetitions. This explanation is plausible in the context of this short in-lab experiment but contrasts with naturalistic evidence that CDS variants are common in children’s early productive vocabularies (e.g., </w:t>
      </w:r>
      <w:hyperlink w:anchor="ref-frank2021variability">
        <w:r>
          <w:rPr>
            <w:rStyle w:val="Hyperlink"/>
          </w:rPr>
          <w:t>Frank et al., 2021</w:t>
        </w:r>
      </w:hyperlink>
      <w:r>
        <w:t xml:space="preserve">; </w:t>
      </w:r>
      <w:hyperlink w:anchor="ref-laing2019role">
        <w:r>
          <w:rPr>
            <w:rStyle w:val="Hyperlink"/>
          </w:rPr>
          <w:t>Laing, 2019</w:t>
        </w:r>
      </w:hyperlink>
      <w:r>
        <w:t xml:space="preserve">; </w:t>
      </w:r>
      <w:hyperlink w:anchor="ref-tardif2008baby">
        <w:r>
          <w:rPr>
            <w:rStyle w:val="Hyperlink"/>
          </w:rPr>
          <w:t>Tardif et al., 2008</w:t>
        </w:r>
      </w:hyperlink>
      <w:r>
        <w:t>) and are used more often than standard adult word forms in the first years of life (</w:t>
      </w:r>
      <w:hyperlink w:anchor="ref-casey2022doggy">
        <w:r>
          <w:rPr>
            <w:rStyle w:val="Hyperlink"/>
          </w:rPr>
          <w:t>Casey &amp; Casillas, 2022</w:t>
        </w:r>
      </w:hyperlink>
      <w:r>
        <w:t xml:space="preserve">). Because it was not feasible to also evaluate children’s recognition of typical and atypical variants (in addition to standard word forms) in the test phase given the length of the task, we cannot determine exactly what children encoded about the specific label variants. Future work could further test the effects of exposure to label variants, for instance, by probing whether toddlers show improved long-term retention of word–object mappings (cf. </w:t>
      </w:r>
      <w:hyperlink w:anchor="ref-vlach2019learning">
        <w:r>
          <w:rPr>
            <w:rStyle w:val="Hyperlink"/>
          </w:rPr>
          <w:t>Vlach, 2019</w:t>
        </w:r>
      </w:hyperlink>
      <w:r>
        <w:t xml:space="preserve">) or better generalization to new label variants (cf. </w:t>
      </w:r>
      <w:hyperlink w:anchor="ref-regier2005emergence">
        <w:r>
          <w:rPr>
            <w:rStyle w:val="Hyperlink"/>
          </w:rPr>
          <w:t>Regier, 2005</w:t>
        </w:r>
      </w:hyperlink>
      <w:r>
        <w:t xml:space="preserve">; </w:t>
      </w:r>
      <w:hyperlink w:anchor="ref-swingley2016two">
        <w:r>
          <w:rPr>
            <w:rStyle w:val="Hyperlink"/>
          </w:rPr>
          <w:t>Swingley, 2016</w:t>
        </w:r>
      </w:hyperlink>
      <w:r>
        <w:t>) after hearing variable rather than consistent input.</w:t>
      </w:r>
    </w:p>
    <w:p w14:paraId="7EB0529B" w14:textId="77777777" w:rsidR="003F2D62" w:rsidRDefault="00000000">
      <w:pPr>
        <w:pStyle w:val="BodyText"/>
      </w:pPr>
      <w:r>
        <w:t xml:space="preserve">Our pupillometry analyses provide complementary insight into children’s moment-to-moment engagement during learning. Attention, indexed by pupil size synchrony, was higher in </w:t>
      </w:r>
      <w:r>
        <w:lastRenderedPageBreak/>
        <w:t>both variation conditions relative to the consistent condition, and was highest in the typical variation condition. These results suggest reliable differences in children’s engagement with the labeling sentences across conditions. Although pupil size synchrony during exposure did not reliably predict word-recognition accuracy during test, prior findings suggest a link between synchrony and learning (</w:t>
      </w:r>
      <w:hyperlink w:anchor="ref-nencheva2021moment">
        <w:r>
          <w:rPr>
            <w:rStyle w:val="Hyperlink"/>
          </w:rPr>
          <w:t>Nencheva et al., 2021</w:t>
        </w:r>
      </w:hyperlink>
      <w:r>
        <w:t>), which might have been observed if children were also tested on their recognition of variant labels. Our findings also fit with prior accounts of a “goldilocks” effect in children’s attention (</w:t>
      </w:r>
      <w:hyperlink w:anchor="ref-kidd2012goldilocks">
        <w:r>
          <w:rPr>
            <w:rStyle w:val="Hyperlink"/>
          </w:rPr>
          <w:t>Kidd et al., 2012</w:t>
        </w:r>
      </w:hyperlink>
      <w:r>
        <w:t xml:space="preserve">, </w:t>
      </w:r>
      <w:hyperlink w:anchor="ref-kidd2014goldilocks">
        <w:r>
          <w:rPr>
            <w:rStyle w:val="Hyperlink"/>
          </w:rPr>
          <w:t>2014</w:t>
        </w:r>
      </w:hyperlink>
      <w:r>
        <w:t>), where a moderate amount of variability—here, variation of the type common in children’s everyday language input—is associated with the highest engagement. Overall, the current pupillometry findings point to attentional engagement as a plausible, though not yet definitively established, mechanism by which label variation, particularly of the type that children encounter naturalistically, could facilitate novel word learning over short timescales.</w:t>
      </w:r>
    </w:p>
    <w:p w14:paraId="4D5DF3BA" w14:textId="77777777" w:rsidR="003F2D62" w:rsidRDefault="00000000">
      <w:pPr>
        <w:pStyle w:val="BodyText"/>
      </w:pPr>
      <w:r>
        <w:t>In sum, this study provides the first experimental evidence that English-hearing toddlers can successfully contend with label variants when learning new words. Typical CDS variants were associated with both greater attentional engagement during learning and above-chance word-recognition at test. These findings suggest that naturalistic label variation in children’s input is not merely noise and may play a facilitative role in early word learning. Future work that directly tests children’s learning of label variants, tracks longer-term retention of multiple labels, or examines generalization across novel variants will be critical for understanding how variability may support vocabulary growth across early development.</w:t>
      </w:r>
    </w:p>
    <w:p w14:paraId="285C044F" w14:textId="77777777" w:rsidR="003F2D62" w:rsidRDefault="00000000">
      <w:pPr>
        <w:pStyle w:val="Heading1"/>
      </w:pPr>
      <w:bookmarkStart w:id="20" w:name="references"/>
      <w:bookmarkEnd w:id="19"/>
      <w:r>
        <w:lastRenderedPageBreak/>
        <w:t>5. References</w:t>
      </w:r>
    </w:p>
    <w:p w14:paraId="6D1E0717" w14:textId="77777777" w:rsidR="003F2D62" w:rsidRDefault="00000000">
      <w:pPr>
        <w:pStyle w:val="Bibliography"/>
      </w:pPr>
      <w:bookmarkStart w:id="21" w:name="ref-lme4"/>
      <w:bookmarkStart w:id="22" w:name="refs"/>
      <w:r>
        <w:t xml:space="preserve">Bates, D., Mächler, M., Bolker, B., &amp; Walker, S. (2015). Fitting linear mixed-effects models using lme4. </w:t>
      </w:r>
      <w:r>
        <w:rPr>
          <w:i/>
          <w:iCs/>
        </w:rPr>
        <w:t>Journal of Statistical Software</w:t>
      </w:r>
      <w:r>
        <w:t xml:space="preserve">, </w:t>
      </w:r>
      <w:r>
        <w:rPr>
          <w:i/>
          <w:iCs/>
        </w:rPr>
        <w:t>67</w:t>
      </w:r>
      <w:r>
        <w:t xml:space="preserve">(1), 1–48. </w:t>
      </w:r>
      <w:hyperlink r:id="rId16">
        <w:r>
          <w:rPr>
            <w:rStyle w:val="Hyperlink"/>
          </w:rPr>
          <w:t>https://doi.org/10.18637/jss.v067.i01</w:t>
        </w:r>
      </w:hyperlink>
    </w:p>
    <w:p w14:paraId="3402E6A1" w14:textId="77777777" w:rsidR="003F2D62" w:rsidRDefault="00000000">
      <w:pPr>
        <w:pStyle w:val="Bibliography"/>
      </w:pPr>
      <w:bookmarkStart w:id="23" w:name="ref-praat"/>
      <w:bookmarkEnd w:id="21"/>
      <w:r>
        <w:t xml:space="preserve">Boersma, P., &amp; Weenink, D. (2025). </w:t>
      </w:r>
      <w:r>
        <w:rPr>
          <w:i/>
          <w:iCs/>
        </w:rPr>
        <w:t>Praat: Doing phonetics by computer</w:t>
      </w:r>
      <w:r>
        <w:t xml:space="preserve"> [Computer software]. </w:t>
      </w:r>
      <w:hyperlink r:id="rId17">
        <w:r>
          <w:rPr>
            <w:rStyle w:val="Hyperlink"/>
          </w:rPr>
          <w:t>https://praat.org</w:t>
        </w:r>
      </w:hyperlink>
    </w:p>
    <w:p w14:paraId="6E569044" w14:textId="77777777" w:rsidR="003F2D62" w:rsidRDefault="00000000">
      <w:pPr>
        <w:pStyle w:val="Bibliography"/>
      </w:pPr>
      <w:bookmarkStart w:id="24" w:name="ref-braginsky2019consistency"/>
      <w:bookmarkEnd w:id="23"/>
      <w:r>
        <w:t xml:space="preserve">Braginsky, M., Yurovsky, D., Marchman, V. A., &amp; Frank, M. C. (2019). Consistency and variability in children’s word learning across languages. </w:t>
      </w:r>
      <w:r>
        <w:rPr>
          <w:i/>
          <w:iCs/>
        </w:rPr>
        <w:t>Open Mind</w:t>
      </w:r>
      <w:r>
        <w:t xml:space="preserve">, </w:t>
      </w:r>
      <w:r>
        <w:rPr>
          <w:i/>
          <w:iCs/>
        </w:rPr>
        <w:t>3</w:t>
      </w:r>
      <w:r>
        <w:t xml:space="preserve">, 52–67. </w:t>
      </w:r>
      <w:hyperlink r:id="rId18">
        <w:r>
          <w:rPr>
            <w:rStyle w:val="Hyperlink"/>
          </w:rPr>
          <w:t>https://doi.org/10.1162/opmi_a_00026</w:t>
        </w:r>
      </w:hyperlink>
    </w:p>
    <w:p w14:paraId="09E9827C" w14:textId="77777777" w:rsidR="003F2D62" w:rsidRDefault="00000000">
      <w:pPr>
        <w:pStyle w:val="Bibliography"/>
      </w:pPr>
      <w:bookmarkStart w:id="25" w:name="ref-bynon1968berber"/>
      <w:bookmarkEnd w:id="24"/>
      <w:r>
        <w:t xml:space="preserve">Bynon, J. (1968). Berber nursery language. </w:t>
      </w:r>
      <w:r>
        <w:rPr>
          <w:i/>
          <w:iCs/>
        </w:rPr>
        <w:t>Transactions of the Philological Society</w:t>
      </w:r>
      <w:r>
        <w:t xml:space="preserve">, </w:t>
      </w:r>
      <w:r>
        <w:rPr>
          <w:i/>
          <w:iCs/>
        </w:rPr>
        <w:t>67</w:t>
      </w:r>
      <w:r>
        <w:t xml:space="preserve">(1), 107–161. </w:t>
      </w:r>
      <w:hyperlink r:id="rId19">
        <w:r>
          <w:rPr>
            <w:rStyle w:val="Hyperlink"/>
          </w:rPr>
          <w:t>https://doi.org/10.1111/j.1467-968X.1968.tb01132.x</w:t>
        </w:r>
      </w:hyperlink>
    </w:p>
    <w:p w14:paraId="5E3F733C" w14:textId="77777777" w:rsidR="003F2D62" w:rsidRDefault="00000000">
      <w:pPr>
        <w:pStyle w:val="Bibliography"/>
      </w:pPr>
      <w:bookmarkStart w:id="26" w:name="ref-callanan2004multiple"/>
      <w:bookmarkEnd w:id="25"/>
      <w:r>
        <w:t xml:space="preserve">Callanan, M. A., &amp; Sabbagh, M. A. (2004). Multiple labels for objects in conversations with young children: Parents’ language and children’s developing expectations about word meanings. </w:t>
      </w:r>
      <w:r>
        <w:rPr>
          <w:i/>
          <w:iCs/>
        </w:rPr>
        <w:t>Developmental Psychology</w:t>
      </w:r>
      <w:r>
        <w:t xml:space="preserve">, </w:t>
      </w:r>
      <w:r>
        <w:rPr>
          <w:i/>
          <w:iCs/>
        </w:rPr>
        <w:t>40</w:t>
      </w:r>
      <w:r>
        <w:t xml:space="preserve">(5), 746. </w:t>
      </w:r>
      <w:hyperlink r:id="rId20">
        <w:r>
          <w:rPr>
            <w:rStyle w:val="Hyperlink"/>
          </w:rPr>
          <w:t>https://doi.org/10.1037/0012-1649.40.5.746</w:t>
        </w:r>
      </w:hyperlink>
    </w:p>
    <w:p w14:paraId="4334BABC" w14:textId="77777777" w:rsidR="003F2D62" w:rsidRDefault="00000000">
      <w:pPr>
        <w:pStyle w:val="Bibliography"/>
      </w:pPr>
      <w:bookmarkStart w:id="27" w:name="ref-casagrande1948comanche"/>
      <w:bookmarkEnd w:id="26"/>
      <w:r>
        <w:t xml:space="preserve">Casagrande, J. B. (1948). Comanche baby language. </w:t>
      </w:r>
      <w:r>
        <w:rPr>
          <w:i/>
          <w:iCs/>
        </w:rPr>
        <w:t>International Journal of American Linguistics</w:t>
      </w:r>
      <w:r>
        <w:t xml:space="preserve">, </w:t>
      </w:r>
      <w:r>
        <w:rPr>
          <w:i/>
          <w:iCs/>
        </w:rPr>
        <w:t>14</w:t>
      </w:r>
      <w:r>
        <w:t xml:space="preserve">(1), 11–14. </w:t>
      </w:r>
      <w:hyperlink r:id="rId21">
        <w:r>
          <w:rPr>
            <w:rStyle w:val="Hyperlink"/>
          </w:rPr>
          <w:t>https://doi.org/10.1086/463971</w:t>
        </w:r>
      </w:hyperlink>
    </w:p>
    <w:p w14:paraId="58EC9463" w14:textId="77777777" w:rsidR="003F2D62" w:rsidRDefault="00000000">
      <w:pPr>
        <w:pStyle w:val="Bibliography"/>
      </w:pPr>
      <w:bookmarkStart w:id="28" w:name="ref-casey2022doggy"/>
      <w:bookmarkEnd w:id="27"/>
      <w:r>
        <w:t xml:space="preserve">Casey, K., &amp; Casillas, M. (2022). From doggy to dog: Developmental shifts in children’s use of register-specific words. </w:t>
      </w:r>
      <w:r>
        <w:rPr>
          <w:i/>
          <w:iCs/>
        </w:rPr>
        <w:t>Proceedings of the Annual Meeting of the Cognitive Science Society</w:t>
      </w:r>
      <w:r>
        <w:t xml:space="preserve">, </w:t>
      </w:r>
      <w:r>
        <w:rPr>
          <w:i/>
          <w:iCs/>
        </w:rPr>
        <w:t>44</w:t>
      </w:r>
      <w:r>
        <w:t xml:space="preserve">. </w:t>
      </w:r>
      <w:hyperlink r:id="rId22">
        <w:r>
          <w:rPr>
            <w:rStyle w:val="Hyperlink"/>
          </w:rPr>
          <w:t>https://escholarship.org/uc/item/7hb9113g</w:t>
        </w:r>
      </w:hyperlink>
    </w:p>
    <w:p w14:paraId="07058EDB" w14:textId="77777777" w:rsidR="003F2D62" w:rsidRDefault="00000000">
      <w:pPr>
        <w:pStyle w:val="Bibliography"/>
      </w:pPr>
      <w:bookmarkStart w:id="29" w:name="ref-clark1988logic"/>
      <w:bookmarkEnd w:id="28"/>
      <w:r>
        <w:t xml:space="preserve">Clark, E. V. (1988). On the logic of contrast. </w:t>
      </w:r>
      <w:r>
        <w:rPr>
          <w:i/>
          <w:iCs/>
        </w:rPr>
        <w:t>Journal of Child Language</w:t>
      </w:r>
      <w:r>
        <w:t xml:space="preserve">, </w:t>
      </w:r>
      <w:r>
        <w:rPr>
          <w:i/>
          <w:iCs/>
        </w:rPr>
        <w:t>15</w:t>
      </w:r>
      <w:r>
        <w:t xml:space="preserve">(2), 317–335. </w:t>
      </w:r>
      <w:hyperlink r:id="rId23">
        <w:r>
          <w:rPr>
            <w:rStyle w:val="Hyperlink"/>
          </w:rPr>
          <w:t>https://doi.org/10.1017/S0305000900012393</w:t>
        </w:r>
      </w:hyperlink>
    </w:p>
    <w:p w14:paraId="7B4628D1" w14:textId="77777777" w:rsidR="003F2D62" w:rsidRDefault="00000000">
      <w:pPr>
        <w:pStyle w:val="Bibliography"/>
      </w:pPr>
      <w:bookmarkStart w:id="30" w:name="ref-deak2001any"/>
      <w:bookmarkEnd w:id="29"/>
      <w:r>
        <w:lastRenderedPageBreak/>
        <w:t xml:space="preserve">Deák, G. O., Yen, L., &amp; Pettit, J. (2001). By any other name: When will preschoolers produce several labels for a referent? </w:t>
      </w:r>
      <w:r>
        <w:rPr>
          <w:i/>
          <w:iCs/>
        </w:rPr>
        <w:t>Journal of Child Language</w:t>
      </w:r>
      <w:r>
        <w:t xml:space="preserve">, </w:t>
      </w:r>
      <w:r>
        <w:rPr>
          <w:i/>
          <w:iCs/>
        </w:rPr>
        <w:t>28</w:t>
      </w:r>
      <w:r>
        <w:t xml:space="preserve">(3), 787–804. </w:t>
      </w:r>
      <w:hyperlink r:id="rId24">
        <w:r>
          <w:rPr>
            <w:rStyle w:val="Hyperlink"/>
          </w:rPr>
          <w:t>https://doi.org/10.1017/s0305000901004858</w:t>
        </w:r>
      </w:hyperlink>
    </w:p>
    <w:p w14:paraId="4D98E225" w14:textId="77777777" w:rsidR="003F2D62" w:rsidRDefault="00000000">
      <w:pPr>
        <w:pStyle w:val="Bibliography"/>
      </w:pPr>
      <w:bookmarkStart w:id="31" w:name="ref-faul2009statistical"/>
      <w:bookmarkEnd w:id="30"/>
      <w:r>
        <w:t xml:space="preserve">Faul, F., Erdfelder, E., Buchner, A., &amp; Lang, A.-G. (2009). Statistical power analyses using G* Power 3.1: Tests for correlation and regression analyses. </w:t>
      </w:r>
      <w:r>
        <w:rPr>
          <w:i/>
          <w:iCs/>
        </w:rPr>
        <w:t>Behavior Research Methods</w:t>
      </w:r>
      <w:r>
        <w:t xml:space="preserve">, </w:t>
      </w:r>
      <w:r>
        <w:rPr>
          <w:i/>
          <w:iCs/>
        </w:rPr>
        <w:t>41</w:t>
      </w:r>
      <w:r>
        <w:t xml:space="preserve">(4), 1149–1160. </w:t>
      </w:r>
      <w:hyperlink r:id="rId25">
        <w:r>
          <w:rPr>
            <w:rStyle w:val="Hyperlink"/>
          </w:rPr>
          <w:t>https://doi.org/10.3758/BRM.41.4.1149</w:t>
        </w:r>
      </w:hyperlink>
    </w:p>
    <w:p w14:paraId="7D2887D2" w14:textId="77777777" w:rsidR="003F2D62" w:rsidRDefault="00000000">
      <w:pPr>
        <w:pStyle w:val="Bibliography"/>
      </w:pPr>
      <w:bookmarkStart w:id="32" w:name="ref-ferguson1964baby"/>
      <w:bookmarkEnd w:id="31"/>
      <w:r>
        <w:t xml:space="preserve">Ferguson, C. A. (1964). Baby talk in six languages. </w:t>
      </w:r>
      <w:r>
        <w:rPr>
          <w:i/>
          <w:iCs/>
        </w:rPr>
        <w:t>American Anthropologist</w:t>
      </w:r>
      <w:r>
        <w:t xml:space="preserve">, </w:t>
      </w:r>
      <w:r>
        <w:rPr>
          <w:i/>
          <w:iCs/>
        </w:rPr>
        <w:t>66</w:t>
      </w:r>
      <w:r>
        <w:t xml:space="preserve">(6), 103–114. </w:t>
      </w:r>
      <w:hyperlink r:id="rId26">
        <w:r>
          <w:rPr>
            <w:rStyle w:val="Hyperlink"/>
          </w:rPr>
          <w:t>https://www.jstor.org/stable/pdf/668164.pdf</w:t>
        </w:r>
      </w:hyperlink>
    </w:p>
    <w:p w14:paraId="16EF7016" w14:textId="77777777" w:rsidR="003F2D62" w:rsidRDefault="00000000">
      <w:pPr>
        <w:pStyle w:val="Bibliography"/>
      </w:pPr>
      <w:bookmarkStart w:id="33" w:name="ref-fernald2008looking"/>
      <w:bookmarkEnd w:id="32"/>
      <w:r>
        <w:t xml:space="preserve">Fernald, A. E., Zangl, R., Portillo, A. L., &amp; Marchman, V. A. (2008). Looking while listening: Using eye movements to monitor spoken language comprehension by infants and young children. In </w:t>
      </w:r>
      <w:r>
        <w:rPr>
          <w:i/>
          <w:iCs/>
        </w:rPr>
        <w:t>Developmental psycholinguistics: On-line methods in children’s language processing</w:t>
      </w:r>
      <w:r>
        <w:t xml:space="preserve"> (pp. 97–135). John Benjamins Publishing Company. </w:t>
      </w:r>
      <w:hyperlink r:id="rId27">
        <w:r>
          <w:rPr>
            <w:rStyle w:val="Hyperlink"/>
          </w:rPr>
          <w:t>https://doi.org/10.1075/lald.44.06fer</w:t>
        </w:r>
      </w:hyperlink>
    </w:p>
    <w:p w14:paraId="7AABCBF0" w14:textId="77777777" w:rsidR="003F2D62" w:rsidRDefault="00000000">
      <w:pPr>
        <w:pStyle w:val="Bibliography"/>
      </w:pPr>
      <w:bookmarkStart w:id="34" w:name="ref-frank2021variability"/>
      <w:bookmarkEnd w:id="33"/>
      <w:r>
        <w:t xml:space="preserve">Frank, M. C., Braginsky, M., Yurovsky, D., &amp; Marchman, V. A. (2021). </w:t>
      </w:r>
      <w:r>
        <w:rPr>
          <w:i/>
          <w:iCs/>
        </w:rPr>
        <w:t>Variability and consistency in early language learning: The Wordbank project</w:t>
      </w:r>
      <w:r>
        <w:t xml:space="preserve">. MIT Press. </w:t>
      </w:r>
      <w:hyperlink r:id="rId28">
        <w:r>
          <w:rPr>
            <w:rStyle w:val="Hyperlink"/>
          </w:rPr>
          <w:t>https://doi.org/10.7551/mitpress/11577.001.0001</w:t>
        </w:r>
      </w:hyperlink>
    </w:p>
    <w:p w14:paraId="2BBBAF20" w14:textId="77777777" w:rsidR="003F2D62" w:rsidRDefault="00000000">
      <w:pPr>
        <w:pStyle w:val="Bibliography"/>
      </w:pPr>
      <w:bookmarkStart w:id="35" w:name="ref-han2023che"/>
      <w:bookmarkEnd w:id="34"/>
      <w:r>
        <w:t xml:space="preserve">Han, M., &amp; Gu, Y. (2023). Che-che (“car-car”) and chi-chi (“eat-eat”): Reduplication in Mandarin Chinese child-directed speech. </w:t>
      </w:r>
      <w:r>
        <w:rPr>
          <w:i/>
          <w:iCs/>
        </w:rPr>
        <w:t>Proceedings of the Annual Meeting of the Cognitive Science Society</w:t>
      </w:r>
      <w:r>
        <w:t xml:space="preserve">, </w:t>
      </w:r>
      <w:r>
        <w:rPr>
          <w:i/>
          <w:iCs/>
        </w:rPr>
        <w:t>45</w:t>
      </w:r>
      <w:r>
        <w:t xml:space="preserve">. </w:t>
      </w:r>
      <w:hyperlink r:id="rId29">
        <w:r>
          <w:rPr>
            <w:rStyle w:val="Hyperlink"/>
          </w:rPr>
          <w:t>https://escholarship.org/uc/item/8ks9p299</w:t>
        </w:r>
      </w:hyperlink>
    </w:p>
    <w:p w14:paraId="5A3A188B" w14:textId="77777777" w:rsidR="003F2D62" w:rsidRDefault="00000000">
      <w:pPr>
        <w:pStyle w:val="Bibliography"/>
      </w:pPr>
      <w:bookmarkStart w:id="36" w:name="ref-stinepack"/>
      <w:bookmarkEnd w:id="35"/>
      <w:r>
        <w:t xml:space="preserve">Johannesson, T., Bjornsson, H., Grothendieck, G., &amp; Johannesson, M. T. (2009). Package “stinepack.” </w:t>
      </w:r>
      <w:r>
        <w:rPr>
          <w:i/>
          <w:iCs/>
        </w:rPr>
        <w:t>Icelandic Meteorological Office</w:t>
      </w:r>
      <w:r>
        <w:t xml:space="preserve">. </w:t>
      </w:r>
      <w:hyperlink r:id="rId30">
        <w:r>
          <w:rPr>
            <w:rStyle w:val="Hyperlink"/>
          </w:rPr>
          <w:t>https://rdrr.io/cran/stinepack/</w:t>
        </w:r>
      </w:hyperlink>
    </w:p>
    <w:p w14:paraId="01CC7600" w14:textId="77777777" w:rsidR="003F2D62" w:rsidRDefault="00000000">
      <w:pPr>
        <w:pStyle w:val="Bibliography"/>
      </w:pPr>
      <w:bookmarkStart w:id="37" w:name="ref-kempe2007diminutives"/>
      <w:bookmarkEnd w:id="36"/>
      <w:r>
        <w:lastRenderedPageBreak/>
        <w:t xml:space="preserve">Kempe, V., Brooks, P. J., Gillis, S., &amp; Samson, G. (2007). Diminutives facilitate word segmentation in natural speech: Cross-linguistic evidence. </w:t>
      </w:r>
      <w:r>
        <w:rPr>
          <w:i/>
          <w:iCs/>
        </w:rPr>
        <w:t>Memory &amp; Cognition</w:t>
      </w:r>
      <w:r>
        <w:t xml:space="preserve">, </w:t>
      </w:r>
      <w:r>
        <w:rPr>
          <w:i/>
          <w:iCs/>
        </w:rPr>
        <w:t>35</w:t>
      </w:r>
      <w:r>
        <w:t xml:space="preserve">(4), 762–773. </w:t>
      </w:r>
      <w:hyperlink r:id="rId31">
        <w:r>
          <w:rPr>
            <w:rStyle w:val="Hyperlink"/>
          </w:rPr>
          <w:t>https://doi.org/10.3758/BF03193313</w:t>
        </w:r>
      </w:hyperlink>
    </w:p>
    <w:p w14:paraId="1BD787E3" w14:textId="77777777" w:rsidR="003F2D62" w:rsidRDefault="00000000">
      <w:pPr>
        <w:pStyle w:val="Bibliography"/>
      </w:pPr>
      <w:bookmarkStart w:id="38" w:name="ref-kempe2001can"/>
      <w:bookmarkEnd w:id="37"/>
      <w:r>
        <w:t xml:space="preserve">Kempe, V., Brooks, P. J., &amp; Pirott, L. (2001). How can child-directed speech facilitate the acquisition of morphology? </w:t>
      </w:r>
      <w:r>
        <w:rPr>
          <w:i/>
          <w:iCs/>
        </w:rPr>
        <w:t>Research on Child Language Acquisition: Proceedings of the 8th Conference of the International Association for the Study of Child Language</w:t>
      </w:r>
      <w:r>
        <w:t>, 1237–1247.</w:t>
      </w:r>
    </w:p>
    <w:p w14:paraId="3684D78D" w14:textId="77777777" w:rsidR="003F2D62" w:rsidRDefault="00000000">
      <w:pPr>
        <w:pStyle w:val="Bibliography"/>
      </w:pPr>
      <w:bookmarkStart w:id="39" w:name="ref-kidd2012goldilocks"/>
      <w:bookmarkEnd w:id="38"/>
      <w:r>
        <w:t xml:space="preserve">Kidd, C., Piantadosi, S. T., &amp; Aslin, R. N. (2012). The Goldilocks effect: Human infants allocate attention to visual sequences that are neither too simple nor too complex. </w:t>
      </w:r>
      <w:r>
        <w:rPr>
          <w:i/>
          <w:iCs/>
        </w:rPr>
        <w:t>PLoS One</w:t>
      </w:r>
      <w:r>
        <w:t xml:space="preserve">, </w:t>
      </w:r>
      <w:r>
        <w:rPr>
          <w:i/>
          <w:iCs/>
        </w:rPr>
        <w:t>7</w:t>
      </w:r>
      <w:r>
        <w:t xml:space="preserve">(5), e36399. </w:t>
      </w:r>
      <w:hyperlink r:id="rId32">
        <w:r>
          <w:rPr>
            <w:rStyle w:val="Hyperlink"/>
          </w:rPr>
          <w:t>https://doi.org/10.1371/journal.pone.0036399</w:t>
        </w:r>
      </w:hyperlink>
    </w:p>
    <w:p w14:paraId="214DFCAA" w14:textId="77777777" w:rsidR="003F2D62" w:rsidRDefault="00000000">
      <w:pPr>
        <w:pStyle w:val="Bibliography"/>
      </w:pPr>
      <w:bookmarkStart w:id="40" w:name="ref-kidd2014goldilocks"/>
      <w:bookmarkEnd w:id="39"/>
      <w:r>
        <w:t xml:space="preserve">Kidd, C., Piantadosi, S. T., &amp; Aslin, R. N. (2014). The Goldilocks effect in infant auditory attention. </w:t>
      </w:r>
      <w:r>
        <w:rPr>
          <w:i/>
          <w:iCs/>
        </w:rPr>
        <w:t>Child Development</w:t>
      </w:r>
      <w:r>
        <w:t xml:space="preserve">, </w:t>
      </w:r>
      <w:r>
        <w:rPr>
          <w:i/>
          <w:iCs/>
        </w:rPr>
        <w:t>85</w:t>
      </w:r>
      <w:r>
        <w:t xml:space="preserve">(5), 1795–1804. </w:t>
      </w:r>
      <w:hyperlink r:id="rId33">
        <w:r>
          <w:rPr>
            <w:rStyle w:val="Hyperlink"/>
          </w:rPr>
          <w:t>https://doi.org/10.1111/cdev.12263</w:t>
        </w:r>
      </w:hyperlink>
    </w:p>
    <w:p w14:paraId="47E2C153" w14:textId="77777777" w:rsidR="003F2D62" w:rsidRDefault="00000000">
      <w:pPr>
        <w:pStyle w:val="Bibliography"/>
      </w:pPr>
      <w:bookmarkStart w:id="41" w:name="ref-laing2017perceptual"/>
      <w:bookmarkEnd w:id="40"/>
      <w:r>
        <w:t xml:space="preserve">Laing, C. E. (2017). A perceptual advantage for onomatopoeia in early word learning: Evidence from eye-tracking. </w:t>
      </w:r>
      <w:r>
        <w:rPr>
          <w:i/>
          <w:iCs/>
        </w:rPr>
        <w:t>Journal of Experimental Child Psychology</w:t>
      </w:r>
      <w:r>
        <w:t xml:space="preserve">, </w:t>
      </w:r>
      <w:r>
        <w:rPr>
          <w:i/>
          <w:iCs/>
        </w:rPr>
        <w:t>161</w:t>
      </w:r>
      <w:r>
        <w:t xml:space="preserve">, 32–45. </w:t>
      </w:r>
      <w:hyperlink r:id="rId34">
        <w:r>
          <w:rPr>
            <w:rStyle w:val="Hyperlink"/>
          </w:rPr>
          <w:t>https://doi.org/10.1016/j.jecp.2017.03.017</w:t>
        </w:r>
      </w:hyperlink>
    </w:p>
    <w:p w14:paraId="611F7680" w14:textId="77777777" w:rsidR="003F2D62" w:rsidRDefault="00000000">
      <w:pPr>
        <w:pStyle w:val="Bibliography"/>
      </w:pPr>
      <w:bookmarkStart w:id="42" w:name="ref-laing2019role"/>
      <w:bookmarkEnd w:id="41"/>
      <w:r>
        <w:t xml:space="preserve">Laing, C. E. (2019). A role for onomatopoeia in early language: Evidence from phonological development. </w:t>
      </w:r>
      <w:r>
        <w:rPr>
          <w:i/>
          <w:iCs/>
        </w:rPr>
        <w:t>Language and Cognition</w:t>
      </w:r>
      <w:r>
        <w:t xml:space="preserve">, </w:t>
      </w:r>
      <w:r>
        <w:rPr>
          <w:i/>
          <w:iCs/>
        </w:rPr>
        <w:t>11</w:t>
      </w:r>
      <w:r>
        <w:t xml:space="preserve">(2), 173–187. </w:t>
      </w:r>
      <w:hyperlink r:id="rId35">
        <w:r>
          <w:rPr>
            <w:rStyle w:val="Hyperlink"/>
          </w:rPr>
          <w:t>https://doi.org/10.1017/langcog.2018.23</w:t>
        </w:r>
      </w:hyperlink>
    </w:p>
    <w:p w14:paraId="0F11F52E" w14:textId="77777777" w:rsidR="003F2D62" w:rsidRDefault="00000000">
      <w:pPr>
        <w:pStyle w:val="Bibliography"/>
      </w:pPr>
      <w:bookmarkStart w:id="43" w:name="ref-liu2018review"/>
      <w:bookmarkEnd w:id="42"/>
      <w:r>
        <w:t xml:space="preserve">Liu, F., &amp; Eugenio, E. C. (2018). A review and comparison of Bayesian and likelihood-based inferences in beta regression and zero-or-one-inflated beta regression. </w:t>
      </w:r>
      <w:r>
        <w:rPr>
          <w:i/>
          <w:iCs/>
        </w:rPr>
        <w:t>Statistical Methods in Medical Research</w:t>
      </w:r>
      <w:r>
        <w:t xml:space="preserve">, </w:t>
      </w:r>
      <w:r>
        <w:rPr>
          <w:i/>
          <w:iCs/>
        </w:rPr>
        <w:t>27</w:t>
      </w:r>
      <w:r>
        <w:t xml:space="preserve">(4), 1024–1044. </w:t>
      </w:r>
      <w:hyperlink r:id="rId36">
        <w:r>
          <w:rPr>
            <w:rStyle w:val="Hyperlink"/>
          </w:rPr>
          <w:t>https://doi.org/10.1177/0962280216650699</w:t>
        </w:r>
      </w:hyperlink>
    </w:p>
    <w:p w14:paraId="3EF78FAC" w14:textId="77777777" w:rsidR="003F2D62" w:rsidRDefault="00000000">
      <w:pPr>
        <w:pStyle w:val="Bibliography"/>
      </w:pPr>
      <w:bookmarkStart w:id="44" w:name="ref-manybabies2020quantifying"/>
      <w:bookmarkEnd w:id="43"/>
      <w:r>
        <w:lastRenderedPageBreak/>
        <w:t xml:space="preserve">ManyBabiesConsortium. (2020). Quantifying sources of variability in infancy research using the infant-directed-speech preference. </w:t>
      </w:r>
      <w:r>
        <w:rPr>
          <w:i/>
          <w:iCs/>
        </w:rPr>
        <w:t>Advances in Methods and Practices in Psychological Science</w:t>
      </w:r>
      <w:r>
        <w:t xml:space="preserve">, </w:t>
      </w:r>
      <w:r>
        <w:rPr>
          <w:i/>
          <w:iCs/>
        </w:rPr>
        <w:t>3</w:t>
      </w:r>
      <w:r>
        <w:t xml:space="preserve">(1), 24–52. </w:t>
      </w:r>
      <w:hyperlink r:id="rId37">
        <w:r>
          <w:rPr>
            <w:rStyle w:val="Hyperlink"/>
          </w:rPr>
          <w:t>https://doi.org/10.1177/2515245919900809</w:t>
        </w:r>
      </w:hyperlink>
    </w:p>
    <w:p w14:paraId="3A4F8889" w14:textId="77777777" w:rsidR="003F2D62" w:rsidRDefault="00000000">
      <w:pPr>
        <w:pStyle w:val="Bibliography"/>
      </w:pPr>
      <w:bookmarkStart w:id="45" w:name="ref-markman1988children"/>
      <w:bookmarkEnd w:id="44"/>
      <w:r>
        <w:t xml:space="preserve">Markman, E. M., &amp; Wachtel, G. F. (1988). Children’s use of mutual exclusivity to constrain the meanings of words. </w:t>
      </w:r>
      <w:r>
        <w:rPr>
          <w:i/>
          <w:iCs/>
        </w:rPr>
        <w:t>Cognitive Psychology</w:t>
      </w:r>
      <w:r>
        <w:t xml:space="preserve">, </w:t>
      </w:r>
      <w:r>
        <w:rPr>
          <w:i/>
          <w:iCs/>
        </w:rPr>
        <w:t>20</w:t>
      </w:r>
      <w:r>
        <w:t xml:space="preserve">(2), 121–157. </w:t>
      </w:r>
      <w:hyperlink r:id="rId38">
        <w:r>
          <w:rPr>
            <w:rStyle w:val="Hyperlink"/>
          </w:rPr>
          <w:t>https://doi.org/10.1016/0010-0285(88)90017-5</w:t>
        </w:r>
      </w:hyperlink>
    </w:p>
    <w:p w14:paraId="1835BB73" w14:textId="77777777" w:rsidR="003F2D62" w:rsidRDefault="00000000">
      <w:pPr>
        <w:pStyle w:val="Bibliography"/>
      </w:pPr>
      <w:bookmarkStart w:id="46" w:name="ref-markman2003use"/>
      <w:bookmarkEnd w:id="45"/>
      <w:r>
        <w:t xml:space="preserve">Markman, E. M., Wasow, J. L., &amp; Hansen, M. B. (2003). Use of the mutual exclusivity assumption by young word learners. </w:t>
      </w:r>
      <w:r>
        <w:rPr>
          <w:i/>
          <w:iCs/>
        </w:rPr>
        <w:t>Cognitive Psychology</w:t>
      </w:r>
      <w:r>
        <w:t xml:space="preserve">, </w:t>
      </w:r>
      <w:r>
        <w:rPr>
          <w:i/>
          <w:iCs/>
        </w:rPr>
        <w:t>47</w:t>
      </w:r>
      <w:r>
        <w:t xml:space="preserve">(3), 241–275. </w:t>
      </w:r>
      <w:hyperlink r:id="rId39">
        <w:r>
          <w:rPr>
            <w:rStyle w:val="Hyperlink"/>
          </w:rPr>
          <w:t>https://doi.org/10.1016/s0010-0285(03)00034-3</w:t>
        </w:r>
      </w:hyperlink>
    </w:p>
    <w:p w14:paraId="6064EFC9" w14:textId="77777777" w:rsidR="003F2D62" w:rsidRDefault="00000000">
      <w:pPr>
        <w:pStyle w:val="Bibliography"/>
      </w:pPr>
      <w:bookmarkStart w:id="47" w:name="ref-mazuka2008japanese"/>
      <w:bookmarkEnd w:id="46"/>
      <w:r>
        <w:t xml:space="preserve">Mazuka, R., Kondo, T., &amp; Hayashi, A. (2008). Japanese mothers’ use of specialized vocabulary in infant-directed speech: Infant-directed vocabulary in Japanese. In </w:t>
      </w:r>
      <w:r>
        <w:rPr>
          <w:i/>
          <w:iCs/>
        </w:rPr>
        <w:t>The origins of language: Unraveling evolutionary forces</w:t>
      </w:r>
      <w:r>
        <w:t xml:space="preserve"> (pp. 39–58). Springer. </w:t>
      </w:r>
      <w:hyperlink r:id="rId40">
        <w:r>
          <w:rPr>
            <w:rStyle w:val="Hyperlink"/>
          </w:rPr>
          <w:t>https://doi.org/10.1007/978-4-431-79102-7_4</w:t>
        </w:r>
      </w:hyperlink>
    </w:p>
    <w:p w14:paraId="1B4FD707" w14:textId="77777777" w:rsidR="003F2D62" w:rsidRDefault="00000000">
      <w:pPr>
        <w:pStyle w:val="Bibliography"/>
      </w:pPr>
      <w:bookmarkStart w:id="48" w:name="ref-merriman1989mutual"/>
      <w:bookmarkEnd w:id="47"/>
      <w:r>
        <w:t xml:space="preserve">Merriman, W. E., &amp; Bowman, L. L. (1989). The mutual exclusivity bias in children’s word learning. </w:t>
      </w:r>
      <w:r>
        <w:rPr>
          <w:i/>
          <w:iCs/>
        </w:rPr>
        <w:t>Monographs of the Society for Research in Child Development</w:t>
      </w:r>
      <w:r>
        <w:t xml:space="preserve">, </w:t>
      </w:r>
      <w:r>
        <w:rPr>
          <w:i/>
          <w:iCs/>
        </w:rPr>
        <w:t>54</w:t>
      </w:r>
      <w:r>
        <w:t xml:space="preserve">. </w:t>
      </w:r>
      <w:hyperlink r:id="rId41">
        <w:r>
          <w:rPr>
            <w:rStyle w:val="Hyperlink"/>
          </w:rPr>
          <w:t>https://doi.org/10.2307/1166130</w:t>
        </w:r>
      </w:hyperlink>
    </w:p>
    <w:p w14:paraId="60F8D553" w14:textId="77777777" w:rsidR="003F2D62" w:rsidRDefault="00000000">
      <w:pPr>
        <w:pStyle w:val="Bibliography"/>
      </w:pPr>
      <w:bookmarkStart w:id="49" w:name="ref-merritt1994artifact"/>
      <w:bookmarkEnd w:id="48"/>
      <w:r>
        <w:t xml:space="preserve">Merritt, S. L., Keegan, A. P., &amp; Mercer, P. W. (1994). Artifact management in pupillometry. </w:t>
      </w:r>
      <w:r>
        <w:rPr>
          <w:i/>
          <w:iCs/>
        </w:rPr>
        <w:t>Nursing Research</w:t>
      </w:r>
      <w:r>
        <w:t xml:space="preserve">, </w:t>
      </w:r>
      <w:r>
        <w:rPr>
          <w:i/>
          <w:iCs/>
        </w:rPr>
        <w:t>43</w:t>
      </w:r>
      <w:r>
        <w:t xml:space="preserve">(1), 56–59. </w:t>
      </w:r>
      <w:hyperlink r:id="rId42">
        <w:r>
          <w:rPr>
            <w:rStyle w:val="Hyperlink"/>
          </w:rPr>
          <w:t>https://doi.org/10.1097/00006199-199401000-00012</w:t>
        </w:r>
      </w:hyperlink>
    </w:p>
    <w:p w14:paraId="451CAA51" w14:textId="77777777" w:rsidR="003F2D62" w:rsidRDefault="00000000">
      <w:pPr>
        <w:pStyle w:val="Bibliography"/>
      </w:pPr>
      <w:bookmarkStart w:id="50" w:name="ref-mervis1994two"/>
      <w:bookmarkEnd w:id="49"/>
      <w:r>
        <w:t xml:space="preserve">Mervis, C. B., Golinkoff, R. M., &amp; Bertrand, J. (1994). Two-year-olds readily learn multiple labels for the same basic-level category. </w:t>
      </w:r>
      <w:r>
        <w:rPr>
          <w:i/>
          <w:iCs/>
        </w:rPr>
        <w:t>Child Development</w:t>
      </w:r>
      <w:r>
        <w:t xml:space="preserve">, </w:t>
      </w:r>
      <w:r>
        <w:rPr>
          <w:i/>
          <w:iCs/>
        </w:rPr>
        <w:t>65</w:t>
      </w:r>
      <w:r>
        <w:t xml:space="preserve">(4), 1163–1177. </w:t>
      </w:r>
      <w:hyperlink r:id="rId43">
        <w:r>
          <w:rPr>
            <w:rStyle w:val="Hyperlink"/>
          </w:rPr>
          <w:t>https://doi.org/10.2307/1131312</w:t>
        </w:r>
      </w:hyperlink>
    </w:p>
    <w:p w14:paraId="77BEC51B" w14:textId="77777777" w:rsidR="003F2D62" w:rsidRDefault="00000000">
      <w:pPr>
        <w:pStyle w:val="Bibliography"/>
      </w:pPr>
      <w:bookmarkStart w:id="51" w:name="ref-miyazawa2017vowels"/>
      <w:bookmarkEnd w:id="50"/>
      <w:r>
        <w:lastRenderedPageBreak/>
        <w:t xml:space="preserve">Miyazawa, K., Shinya, T., Martin, A., Kikuchi, H., &amp; Mazuka, R. (2017). Vowels in infant-directed speech: More breathy and more variable, but not clearer. </w:t>
      </w:r>
      <w:r>
        <w:rPr>
          <w:i/>
          <w:iCs/>
        </w:rPr>
        <w:t>Cognition</w:t>
      </w:r>
      <w:r>
        <w:t xml:space="preserve">, </w:t>
      </w:r>
      <w:r>
        <w:rPr>
          <w:i/>
          <w:iCs/>
        </w:rPr>
        <w:t>166</w:t>
      </w:r>
      <w:r>
        <w:t xml:space="preserve">, 84–93. </w:t>
      </w:r>
      <w:hyperlink r:id="rId44">
        <w:r>
          <w:rPr>
            <w:rStyle w:val="Hyperlink"/>
          </w:rPr>
          <w:t>https://doi.org/10.1016/j.cognition.2017.05.003</w:t>
        </w:r>
      </w:hyperlink>
    </w:p>
    <w:p w14:paraId="6C9C9B49" w14:textId="77777777" w:rsidR="003F2D62" w:rsidRDefault="00000000">
      <w:pPr>
        <w:pStyle w:val="Bibliography"/>
      </w:pPr>
      <w:bookmarkStart w:id="52" w:name="ref-moore2024wordform"/>
      <w:bookmarkEnd w:id="51"/>
      <w:r>
        <w:t xml:space="preserve">Moore, C., &amp; Bergelson, E. (2024). Wordform variability in infants’ language environment and its effects on early word learning. </w:t>
      </w:r>
      <w:r>
        <w:rPr>
          <w:i/>
          <w:iCs/>
        </w:rPr>
        <w:t>Cognition</w:t>
      </w:r>
      <w:r>
        <w:t xml:space="preserve">, </w:t>
      </w:r>
      <w:r>
        <w:rPr>
          <w:i/>
          <w:iCs/>
        </w:rPr>
        <w:t>245</w:t>
      </w:r>
      <w:r>
        <w:t xml:space="preserve">, 105694. </w:t>
      </w:r>
      <w:hyperlink r:id="rId45">
        <w:r>
          <w:rPr>
            <w:rStyle w:val="Hyperlink"/>
          </w:rPr>
          <w:t>https://doi.org/10.1016/j.cognition.2023.105694</w:t>
        </w:r>
      </w:hyperlink>
    </w:p>
    <w:p w14:paraId="4EFE30BC" w14:textId="77777777" w:rsidR="003F2D62" w:rsidRDefault="00000000">
      <w:pPr>
        <w:pStyle w:val="Bibliography"/>
      </w:pPr>
      <w:bookmarkStart w:id="53" w:name="ref-nencheva2021moment"/>
      <w:bookmarkEnd w:id="52"/>
      <w:r>
        <w:t xml:space="preserve">Nencheva, M. L., Piazza, E. A., &amp; Lew-Williams, C. (2021). The moment-to-moment pitch dynamics of child-directed speech shape toddlers’ attention and learning. </w:t>
      </w:r>
      <w:r>
        <w:rPr>
          <w:i/>
          <w:iCs/>
        </w:rPr>
        <w:t>Developmental Science</w:t>
      </w:r>
      <w:r>
        <w:t xml:space="preserve">, </w:t>
      </w:r>
      <w:r>
        <w:rPr>
          <w:i/>
          <w:iCs/>
        </w:rPr>
        <w:t>24</w:t>
      </w:r>
      <w:r>
        <w:t xml:space="preserve">(1), e12997. </w:t>
      </w:r>
      <w:hyperlink r:id="rId46">
        <w:r>
          <w:rPr>
            <w:rStyle w:val="Hyperlink"/>
          </w:rPr>
          <w:t>https://doi.org/10.1111/desc.12997</w:t>
        </w:r>
      </w:hyperlink>
    </w:p>
    <w:p w14:paraId="08A087D3" w14:textId="77777777" w:rsidR="003F2D62" w:rsidRDefault="00000000">
      <w:pPr>
        <w:pStyle w:val="Bibliography"/>
      </w:pPr>
      <w:bookmarkStart w:id="54" w:name="ref-ota2018choo"/>
      <w:bookmarkEnd w:id="53"/>
      <w:r>
        <w:t xml:space="preserve">Ota, M., Davies-Jenkins, N., &amp; Skarabela, B. (2018). Why choo-choo is better than train: The role of register-specific words in early vocabulary growth. </w:t>
      </w:r>
      <w:r>
        <w:rPr>
          <w:i/>
          <w:iCs/>
        </w:rPr>
        <w:t>Cognitive Science</w:t>
      </w:r>
      <w:r>
        <w:t xml:space="preserve">, </w:t>
      </w:r>
      <w:r>
        <w:rPr>
          <w:i/>
          <w:iCs/>
        </w:rPr>
        <w:t>42</w:t>
      </w:r>
      <w:r>
        <w:t xml:space="preserve">(6), 1974–1999. </w:t>
      </w:r>
      <w:hyperlink r:id="rId47">
        <w:r>
          <w:rPr>
            <w:rStyle w:val="Hyperlink"/>
          </w:rPr>
          <w:t>https://doi.org/10.1111/cogs.12628</w:t>
        </w:r>
      </w:hyperlink>
    </w:p>
    <w:p w14:paraId="11874FDE" w14:textId="77777777" w:rsidR="003F2D62" w:rsidRDefault="00000000">
      <w:pPr>
        <w:pStyle w:val="Bibliography"/>
      </w:pPr>
      <w:bookmarkStart w:id="55" w:name="ref-ota2016reduplicated"/>
      <w:bookmarkEnd w:id="54"/>
      <w:r>
        <w:t xml:space="preserve">Ota, M., &amp; Skarabela, B. (2016). Reduplicated words are easier to learn. </w:t>
      </w:r>
      <w:r>
        <w:rPr>
          <w:i/>
          <w:iCs/>
        </w:rPr>
        <w:t>Language Learning and Development</w:t>
      </w:r>
      <w:r>
        <w:t xml:space="preserve">, </w:t>
      </w:r>
      <w:r>
        <w:rPr>
          <w:i/>
          <w:iCs/>
        </w:rPr>
        <w:t>12</w:t>
      </w:r>
      <w:r>
        <w:t xml:space="preserve">(4), 380–397. </w:t>
      </w:r>
      <w:hyperlink r:id="rId48">
        <w:r>
          <w:rPr>
            <w:rStyle w:val="Hyperlink"/>
          </w:rPr>
          <w:t>https://doi.org/10.1080/15475441.2016.1165100</w:t>
        </w:r>
      </w:hyperlink>
    </w:p>
    <w:p w14:paraId="0F0FC38E" w14:textId="77777777" w:rsidR="003F2D62" w:rsidRDefault="00000000">
      <w:pPr>
        <w:pStyle w:val="Bibliography"/>
      </w:pPr>
      <w:bookmarkStart w:id="56" w:name="ref-ota2018reduplication"/>
      <w:bookmarkEnd w:id="55"/>
      <w:r>
        <w:t xml:space="preserve">Ota, M., &amp; Skarabela, B. (2018). Reduplication facilitates early word segmentation. </w:t>
      </w:r>
      <w:r>
        <w:rPr>
          <w:i/>
          <w:iCs/>
        </w:rPr>
        <w:t>Journal of Child Language</w:t>
      </w:r>
      <w:r>
        <w:t xml:space="preserve">, </w:t>
      </w:r>
      <w:r>
        <w:rPr>
          <w:i/>
          <w:iCs/>
        </w:rPr>
        <w:t>45</w:t>
      </w:r>
      <w:r>
        <w:t xml:space="preserve">(1), 204–218. </w:t>
      </w:r>
      <w:hyperlink r:id="rId49">
        <w:r>
          <w:rPr>
            <w:rStyle w:val="Hyperlink"/>
          </w:rPr>
          <w:t>https://doi.org/10.1017/S0305000916000660</w:t>
        </w:r>
      </w:hyperlink>
    </w:p>
    <w:p w14:paraId="6ACDD222" w14:textId="77777777" w:rsidR="003F2D62" w:rsidRDefault="00000000">
      <w:pPr>
        <w:pStyle w:val="Bibliography"/>
      </w:pPr>
      <w:bookmarkStart w:id="57" w:name="ref-potter2019infants"/>
      <w:bookmarkEnd w:id="56"/>
      <w:r>
        <w:t xml:space="preserve">Potter, C. E., &amp; Lew-Williams, C. (2019). Infants’ selective use of reliable cues in multidimensional language input. </w:t>
      </w:r>
      <w:r>
        <w:rPr>
          <w:i/>
          <w:iCs/>
        </w:rPr>
        <w:t>Developmental Psychology</w:t>
      </w:r>
      <w:r>
        <w:t xml:space="preserve">, </w:t>
      </w:r>
      <w:r>
        <w:rPr>
          <w:i/>
          <w:iCs/>
        </w:rPr>
        <w:t>55</w:t>
      </w:r>
      <w:r>
        <w:t xml:space="preserve">(1), 1. </w:t>
      </w:r>
      <w:hyperlink r:id="rId50">
        <w:r>
          <w:rPr>
            <w:rStyle w:val="Hyperlink"/>
          </w:rPr>
          <w:t>https://doi.org/10.1037/dev0000610</w:t>
        </w:r>
      </w:hyperlink>
    </w:p>
    <w:p w14:paraId="7503615A" w14:textId="77777777" w:rsidR="003F2D62" w:rsidRDefault="00000000">
      <w:pPr>
        <w:pStyle w:val="Bibliography"/>
      </w:pPr>
      <w:bookmarkStart w:id="58" w:name="ref-potter2024frequent"/>
      <w:bookmarkEnd w:id="57"/>
      <w:r>
        <w:t xml:space="preserve">Potter, C. E., &amp; Lew-Williams, C. (2024). Frequent vs. infrequent words shape toddlers’ real-time sentence comprehension. </w:t>
      </w:r>
      <w:r>
        <w:rPr>
          <w:i/>
          <w:iCs/>
        </w:rPr>
        <w:t>Journal of Child Language</w:t>
      </w:r>
      <w:r>
        <w:t xml:space="preserve">, </w:t>
      </w:r>
      <w:r>
        <w:rPr>
          <w:i/>
          <w:iCs/>
        </w:rPr>
        <w:t>51</w:t>
      </w:r>
      <w:r>
        <w:t xml:space="preserve">(6), 1478–1488. </w:t>
      </w:r>
      <w:hyperlink r:id="rId51">
        <w:r>
          <w:rPr>
            <w:rStyle w:val="Hyperlink"/>
          </w:rPr>
          <w:t>https://doi.org/10.1017/S0305000923000387</w:t>
        </w:r>
      </w:hyperlink>
    </w:p>
    <w:p w14:paraId="1DBAB568" w14:textId="77777777" w:rsidR="003F2D62" w:rsidRDefault="00000000">
      <w:pPr>
        <w:pStyle w:val="Bibliography"/>
      </w:pPr>
      <w:bookmarkStart w:id="59" w:name="ref-pye1986quiche"/>
      <w:bookmarkEnd w:id="58"/>
      <w:r>
        <w:lastRenderedPageBreak/>
        <w:t xml:space="preserve">Pye, C. (1986). Quiché Mayan speech to children. </w:t>
      </w:r>
      <w:r>
        <w:rPr>
          <w:i/>
          <w:iCs/>
        </w:rPr>
        <w:t>Journal of Child Language</w:t>
      </w:r>
      <w:r>
        <w:t xml:space="preserve">, </w:t>
      </w:r>
      <w:r>
        <w:rPr>
          <w:i/>
          <w:iCs/>
        </w:rPr>
        <w:t>13</w:t>
      </w:r>
      <w:r>
        <w:t xml:space="preserve">(1), 85–100. </w:t>
      </w:r>
      <w:hyperlink r:id="rId52">
        <w:r>
          <w:rPr>
            <w:rStyle w:val="Hyperlink"/>
          </w:rPr>
          <w:t>https://doi.org/10.1017/S0305000900000313</w:t>
        </w:r>
      </w:hyperlink>
    </w:p>
    <w:p w14:paraId="1ECE0610" w14:textId="77777777" w:rsidR="003F2D62" w:rsidRDefault="00000000">
      <w:pPr>
        <w:pStyle w:val="Bibliography"/>
      </w:pPr>
      <w:bookmarkStart w:id="60" w:name="ref-quam2023protracted"/>
      <w:bookmarkEnd w:id="59"/>
      <w:r>
        <w:t xml:space="preserve">Quam, C., &amp; Swingley, D. (2023). A protracted developmental trajectory for English-learning children’s detection of consonant mispronunciations in newly learned words. </w:t>
      </w:r>
      <w:r>
        <w:rPr>
          <w:i/>
          <w:iCs/>
        </w:rPr>
        <w:t>Language Acquisition</w:t>
      </w:r>
      <w:r>
        <w:t xml:space="preserve">, </w:t>
      </w:r>
      <w:r>
        <w:rPr>
          <w:i/>
          <w:iCs/>
        </w:rPr>
        <w:t>30</w:t>
      </w:r>
      <w:r>
        <w:t xml:space="preserve">(3-4), 256–276. </w:t>
      </w:r>
      <w:hyperlink r:id="rId53">
        <w:r>
          <w:rPr>
            <w:rStyle w:val="Hyperlink"/>
          </w:rPr>
          <w:t>https://doi.org/10.1080/10489223.2022.2069026</w:t>
        </w:r>
      </w:hyperlink>
    </w:p>
    <w:p w14:paraId="60CB5EE4" w14:textId="77777777" w:rsidR="003F2D62" w:rsidRDefault="00000000">
      <w:pPr>
        <w:pStyle w:val="Bibliography"/>
      </w:pPr>
      <w:bookmarkStart w:id="61" w:name="ref-rasanen2018infant"/>
      <w:bookmarkEnd w:id="60"/>
      <w:r>
        <w:t xml:space="preserve">Räsänen, O., Kakouros, S., &amp; Soderstrom, M. (2018). Is infant-directed speech interesting because it is surprising?–Linking properties of IDS to statistical learning and attention at the prosodic level. </w:t>
      </w:r>
      <w:r>
        <w:rPr>
          <w:i/>
          <w:iCs/>
        </w:rPr>
        <w:t>Cognition</w:t>
      </w:r>
      <w:r>
        <w:t xml:space="preserve">, </w:t>
      </w:r>
      <w:r>
        <w:rPr>
          <w:i/>
          <w:iCs/>
        </w:rPr>
        <w:t>178</w:t>
      </w:r>
      <w:r>
        <w:t xml:space="preserve">, 193–206. </w:t>
      </w:r>
      <w:hyperlink r:id="rId54">
        <w:r>
          <w:rPr>
            <w:rStyle w:val="Hyperlink"/>
          </w:rPr>
          <w:t>https://doi.org/10.1016/j.cognition.2018.05.015</w:t>
        </w:r>
      </w:hyperlink>
    </w:p>
    <w:p w14:paraId="75042AD0" w14:textId="77777777" w:rsidR="003F2D62" w:rsidRDefault="00000000">
      <w:pPr>
        <w:pStyle w:val="Bibliography"/>
      </w:pPr>
      <w:bookmarkStart w:id="62" w:name="ref-regier2005emergence"/>
      <w:bookmarkEnd w:id="61"/>
      <w:r>
        <w:t xml:space="preserve">Regier, T. (2005). The emergence of words: Attentional learning in form and meaning. </w:t>
      </w:r>
      <w:r>
        <w:rPr>
          <w:i/>
          <w:iCs/>
        </w:rPr>
        <w:t>Cognitive Science</w:t>
      </w:r>
      <w:r>
        <w:t xml:space="preserve">, </w:t>
      </w:r>
      <w:r>
        <w:rPr>
          <w:i/>
          <w:iCs/>
        </w:rPr>
        <w:t>29</w:t>
      </w:r>
      <w:r>
        <w:t xml:space="preserve">(6), 819–865. </w:t>
      </w:r>
      <w:hyperlink r:id="rId55">
        <w:r>
          <w:rPr>
            <w:rStyle w:val="Hyperlink"/>
          </w:rPr>
          <w:t>https://doi.org/10.1207/s15516709cog0000_31</w:t>
        </w:r>
      </w:hyperlink>
    </w:p>
    <w:p w14:paraId="3BEB7389" w14:textId="77777777" w:rsidR="003F2D62" w:rsidRDefault="00000000">
      <w:pPr>
        <w:pStyle w:val="Bibliography"/>
      </w:pPr>
      <w:bookmarkStart w:id="63" w:name="ref-reuter2019predict"/>
      <w:bookmarkEnd w:id="62"/>
      <w:r>
        <w:t xml:space="preserve">Reuter, T., Borovsky, A., &amp; Lew-Williams, C. (2019). Predict and redirect: Prediction errors support children’s word learning. </w:t>
      </w:r>
      <w:r>
        <w:rPr>
          <w:i/>
          <w:iCs/>
        </w:rPr>
        <w:t>Developmental Psychology</w:t>
      </w:r>
      <w:r>
        <w:t xml:space="preserve">, </w:t>
      </w:r>
      <w:r>
        <w:rPr>
          <w:i/>
          <w:iCs/>
        </w:rPr>
        <w:t>55</w:t>
      </w:r>
      <w:r>
        <w:t xml:space="preserve">(8), 1656. </w:t>
      </w:r>
      <w:hyperlink r:id="rId56">
        <w:r>
          <w:rPr>
            <w:rStyle w:val="Hyperlink"/>
          </w:rPr>
          <w:t>https://doi.org/10.1037/dev0000754</w:t>
        </w:r>
      </w:hyperlink>
    </w:p>
    <w:p w14:paraId="52BC1FEB" w14:textId="77777777" w:rsidR="003F2D62" w:rsidRDefault="00000000">
      <w:pPr>
        <w:pStyle w:val="Bibliography"/>
      </w:pPr>
      <w:bookmarkStart w:id="64" w:name="ref-sarvasy2025child"/>
      <w:bookmarkEnd w:id="63"/>
      <w:r>
        <w:t xml:space="preserve">Sarvasy, H., Rumsey, A., Dahmen, J., Onga, J., &amp; Yam, S. (2025). Child-directed speech in Ku Waru and Nungon (Papua New Guinea). </w:t>
      </w:r>
      <w:r>
        <w:rPr>
          <w:i/>
          <w:iCs/>
        </w:rPr>
        <w:t>Language Development Research</w:t>
      </w:r>
      <w:r>
        <w:t xml:space="preserve">, </w:t>
      </w:r>
      <w:r>
        <w:rPr>
          <w:i/>
          <w:iCs/>
        </w:rPr>
        <w:t>5</w:t>
      </w:r>
      <w:r>
        <w:t xml:space="preserve">(3), 191–244. </w:t>
      </w:r>
      <w:hyperlink r:id="rId57">
        <w:r>
          <w:rPr>
            <w:rStyle w:val="Hyperlink"/>
          </w:rPr>
          <w:t>https://doi.org/10.34842/ldr2025-857</w:t>
        </w:r>
      </w:hyperlink>
    </w:p>
    <w:p w14:paraId="16214959" w14:textId="77777777" w:rsidR="003F2D62" w:rsidRDefault="00000000">
      <w:pPr>
        <w:pStyle w:val="Bibliography"/>
      </w:pPr>
      <w:bookmarkStart w:id="65" w:name="ref-procreate"/>
      <w:bookmarkEnd w:id="64"/>
      <w:r>
        <w:t xml:space="preserve">Savage Interactive. (2025). </w:t>
      </w:r>
      <w:r>
        <w:rPr>
          <w:i/>
          <w:iCs/>
        </w:rPr>
        <w:t>Procreate</w:t>
      </w:r>
      <w:r>
        <w:t xml:space="preserve"> (Version 5.3.15) [Computer software]. Savage Interactive Pty Ltd. </w:t>
      </w:r>
      <w:hyperlink r:id="rId58">
        <w:r>
          <w:rPr>
            <w:rStyle w:val="Hyperlink"/>
          </w:rPr>
          <w:t>https://procreate.com/</w:t>
        </w:r>
      </w:hyperlink>
    </w:p>
    <w:p w14:paraId="1607A00B" w14:textId="77777777" w:rsidR="003F2D62" w:rsidRDefault="00000000">
      <w:pPr>
        <w:pStyle w:val="Bibliography"/>
      </w:pPr>
      <w:bookmarkStart w:id="66" w:name="ref-savickiene1998acquisition"/>
      <w:bookmarkEnd w:id="65"/>
      <w:r>
        <w:t xml:space="preserve">Savickiene, I. (1998). The acquisition of diminutives in Lithuanian. In </w:t>
      </w:r>
      <w:r>
        <w:rPr>
          <w:i/>
          <w:iCs/>
        </w:rPr>
        <w:t>Antwerp papers in linguistics: Studies in the acquisition of number and diminutive marking</w:t>
      </w:r>
      <w:r>
        <w:t xml:space="preserve"> (Vol. 95, pp. 129–153). Antwerpen: Universiteit Antwerpen.</w:t>
      </w:r>
    </w:p>
    <w:p w14:paraId="3D938F20" w14:textId="77777777" w:rsidR="003F2D62" w:rsidRDefault="00000000">
      <w:pPr>
        <w:pStyle w:val="Bibliography"/>
      </w:pPr>
      <w:bookmarkStart w:id="67" w:name="ref-schwab2016repetition"/>
      <w:bookmarkEnd w:id="66"/>
      <w:r>
        <w:lastRenderedPageBreak/>
        <w:t xml:space="preserve">Schwab, J. F., &amp; Lew-Williams, C. (2016). Repetition across successive sentences facilitates young children’s word learning. </w:t>
      </w:r>
      <w:r>
        <w:rPr>
          <w:i/>
          <w:iCs/>
        </w:rPr>
        <w:t>Developmental Psychology</w:t>
      </w:r>
      <w:r>
        <w:t xml:space="preserve">, </w:t>
      </w:r>
      <w:r>
        <w:rPr>
          <w:i/>
          <w:iCs/>
        </w:rPr>
        <w:t>52</w:t>
      </w:r>
      <w:r>
        <w:t xml:space="preserve">(6), 879. </w:t>
      </w:r>
      <w:hyperlink r:id="rId59">
        <w:r>
          <w:rPr>
            <w:rStyle w:val="Hyperlink"/>
          </w:rPr>
          <w:t>https://doi.org/10.1037/dev0000125</w:t>
        </w:r>
      </w:hyperlink>
    </w:p>
    <w:p w14:paraId="60E6A341" w14:textId="77777777" w:rsidR="003F2D62" w:rsidRDefault="00000000">
      <w:pPr>
        <w:pStyle w:val="Bibliography"/>
      </w:pPr>
      <w:bookmarkStart w:id="68" w:name="ref-segal2015infant"/>
      <w:bookmarkEnd w:id="67"/>
      <w:r>
        <w:t xml:space="preserve">Segal, J., &amp; Newman, R. S. (2015). Infant preferences for structural and prosodic properties of infant-directed speech in the second year of life. </w:t>
      </w:r>
      <w:r>
        <w:rPr>
          <w:i/>
          <w:iCs/>
        </w:rPr>
        <w:t>Infancy</w:t>
      </w:r>
      <w:r>
        <w:t xml:space="preserve">, </w:t>
      </w:r>
      <w:r>
        <w:rPr>
          <w:i/>
          <w:iCs/>
        </w:rPr>
        <w:t>20</w:t>
      </w:r>
      <w:r>
        <w:t xml:space="preserve">(3), 339–351. </w:t>
      </w:r>
      <w:hyperlink r:id="rId60">
        <w:r>
          <w:rPr>
            <w:rStyle w:val="Hyperlink"/>
          </w:rPr>
          <w:t>https://doi.org/10.1111/infa.12077</w:t>
        </w:r>
      </w:hyperlink>
    </w:p>
    <w:p w14:paraId="0B11CC48" w14:textId="77777777" w:rsidR="003F2D62" w:rsidRDefault="00000000">
      <w:pPr>
        <w:pStyle w:val="Bibliography"/>
      </w:pPr>
      <w:bookmarkStart w:id="69" w:name="ref-smith2008infants"/>
      <w:bookmarkEnd w:id="68"/>
      <w:r>
        <w:t xml:space="preserve">Smith, L., &amp; Yu, C. (2008). Infants rapidly learn word-referent mappings via cross-situational statistics. </w:t>
      </w:r>
      <w:r>
        <w:rPr>
          <w:i/>
          <w:iCs/>
        </w:rPr>
        <w:t>Cognition</w:t>
      </w:r>
      <w:r>
        <w:t xml:space="preserve">, </w:t>
      </w:r>
      <w:r>
        <w:rPr>
          <w:i/>
          <w:iCs/>
        </w:rPr>
        <w:t>106</w:t>
      </w:r>
      <w:r>
        <w:t xml:space="preserve">(3), 1558–1568. </w:t>
      </w:r>
      <w:hyperlink r:id="rId61">
        <w:r>
          <w:rPr>
            <w:rStyle w:val="Hyperlink"/>
          </w:rPr>
          <w:t>https://doi.org/10.1016/j.cognition.2007.06.010</w:t>
        </w:r>
      </w:hyperlink>
    </w:p>
    <w:p w14:paraId="44D6AD90" w14:textId="77777777" w:rsidR="003F2D62" w:rsidRDefault="00000000">
      <w:pPr>
        <w:pStyle w:val="Bibliography"/>
      </w:pPr>
      <w:bookmarkStart w:id="70" w:name="ref-soderstrom2007beyond"/>
      <w:bookmarkEnd w:id="69"/>
      <w:r>
        <w:t xml:space="preserve">Soderstrom, M. (2007). Beyond babytalk: Re-evaluating the nature and content of speech input to preverbal infants. </w:t>
      </w:r>
      <w:r>
        <w:rPr>
          <w:i/>
          <w:iCs/>
        </w:rPr>
        <w:t>Developmental Review</w:t>
      </w:r>
      <w:r>
        <w:t xml:space="preserve">, </w:t>
      </w:r>
      <w:r>
        <w:rPr>
          <w:i/>
          <w:iCs/>
        </w:rPr>
        <w:t>27</w:t>
      </w:r>
      <w:r>
        <w:t xml:space="preserve">(4), 501–532. </w:t>
      </w:r>
      <w:hyperlink r:id="rId62">
        <w:r>
          <w:rPr>
            <w:rStyle w:val="Hyperlink"/>
          </w:rPr>
          <w:t>https://doi.org/10.1016/j.dr.2007.06.002</w:t>
        </w:r>
      </w:hyperlink>
    </w:p>
    <w:p w14:paraId="7ACD4B1F" w14:textId="77777777" w:rsidR="003F2D62" w:rsidRDefault="00000000">
      <w:pPr>
        <w:pStyle w:val="Bibliography"/>
      </w:pPr>
      <w:bookmarkStart w:id="71" w:name="ref-stevens2017pursuit"/>
      <w:bookmarkEnd w:id="70"/>
      <w:r>
        <w:t xml:space="preserve">Stevens, J. S., Gleitman, L. R., Trueswell, J. C., &amp; Yang, C. (2017). The pursuit of word meanings. </w:t>
      </w:r>
      <w:r>
        <w:rPr>
          <w:i/>
          <w:iCs/>
        </w:rPr>
        <w:t>Cognitive Science</w:t>
      </w:r>
      <w:r>
        <w:t xml:space="preserve">, </w:t>
      </w:r>
      <w:r>
        <w:rPr>
          <w:i/>
          <w:iCs/>
        </w:rPr>
        <w:t>41</w:t>
      </w:r>
      <w:r>
        <w:t xml:space="preserve">, 638–676. </w:t>
      </w:r>
      <w:hyperlink r:id="rId63">
        <w:r>
          <w:rPr>
            <w:rStyle w:val="Hyperlink"/>
          </w:rPr>
          <w:t>https://doi.org/10.1111/cogs.12416</w:t>
        </w:r>
      </w:hyperlink>
    </w:p>
    <w:p w14:paraId="30C7CDFD" w14:textId="77777777" w:rsidR="003F2D62" w:rsidRDefault="00000000">
      <w:pPr>
        <w:pStyle w:val="Bibliography"/>
      </w:pPr>
      <w:bookmarkStart w:id="72" w:name="ref-swingley2011looking"/>
      <w:bookmarkEnd w:id="71"/>
      <w:r>
        <w:t xml:space="preserve">Swingley, D. (2011). The looking-while-listening procedure. </w:t>
      </w:r>
      <w:r>
        <w:rPr>
          <w:i/>
          <w:iCs/>
        </w:rPr>
        <w:t>Research Methods in Child Language: A Practical Guide</w:t>
      </w:r>
      <w:r>
        <w:t xml:space="preserve">, 29–42. </w:t>
      </w:r>
      <w:hyperlink r:id="rId64">
        <w:r>
          <w:rPr>
            <w:rStyle w:val="Hyperlink"/>
          </w:rPr>
          <w:t>https://doi.org/10.1002/9781444344035.ch3</w:t>
        </w:r>
      </w:hyperlink>
    </w:p>
    <w:p w14:paraId="7C3621C6" w14:textId="77777777" w:rsidR="003F2D62" w:rsidRDefault="00000000">
      <w:pPr>
        <w:pStyle w:val="Bibliography"/>
      </w:pPr>
      <w:bookmarkStart w:id="73" w:name="ref-swingley2016two"/>
      <w:bookmarkEnd w:id="72"/>
      <w:r>
        <w:t xml:space="preserve">Swingley, D. (2016). Two-year-olds interpret novel phonological neighbors as familiar words. </w:t>
      </w:r>
      <w:r>
        <w:rPr>
          <w:i/>
          <w:iCs/>
        </w:rPr>
        <w:t>Developmental Psychology</w:t>
      </w:r>
      <w:r>
        <w:t xml:space="preserve">, </w:t>
      </w:r>
      <w:r>
        <w:rPr>
          <w:i/>
          <w:iCs/>
        </w:rPr>
        <w:t>52</w:t>
      </w:r>
      <w:r>
        <w:t xml:space="preserve">(7), 1011. </w:t>
      </w:r>
      <w:hyperlink r:id="rId65">
        <w:r>
          <w:rPr>
            <w:rStyle w:val="Hyperlink"/>
          </w:rPr>
          <w:t>https://doi.org/10.1037/dev0000114</w:t>
        </w:r>
      </w:hyperlink>
    </w:p>
    <w:p w14:paraId="43BA91FB" w14:textId="77777777" w:rsidR="003F2D62" w:rsidRDefault="00000000">
      <w:pPr>
        <w:pStyle w:val="Bibliography"/>
      </w:pPr>
      <w:bookmarkStart w:id="74" w:name="ref-swingley2000spoken"/>
      <w:bookmarkEnd w:id="73"/>
      <w:r>
        <w:t xml:space="preserve">Swingley, D., &amp; Aslin, R. N. (2000). Spoken word recognition and lexical representation in very young children. </w:t>
      </w:r>
      <w:r>
        <w:rPr>
          <w:i/>
          <w:iCs/>
        </w:rPr>
        <w:t>Cognition</w:t>
      </w:r>
      <w:r>
        <w:t xml:space="preserve">, </w:t>
      </w:r>
      <w:r>
        <w:rPr>
          <w:i/>
          <w:iCs/>
        </w:rPr>
        <w:t>76</w:t>
      </w:r>
      <w:r>
        <w:t xml:space="preserve">(2), 147–166. </w:t>
      </w:r>
      <w:hyperlink r:id="rId66">
        <w:r>
          <w:rPr>
            <w:rStyle w:val="Hyperlink"/>
          </w:rPr>
          <w:t>https://doi.org/10.1016/s0010-0277(00)00081-0</w:t>
        </w:r>
      </w:hyperlink>
    </w:p>
    <w:p w14:paraId="677F16FC" w14:textId="77777777" w:rsidR="003F2D62" w:rsidRDefault="00000000">
      <w:pPr>
        <w:pStyle w:val="Bibliography"/>
      </w:pPr>
      <w:bookmarkStart w:id="75" w:name="ref-swingley2007lexical"/>
      <w:bookmarkEnd w:id="74"/>
      <w:r>
        <w:t xml:space="preserve">Swingley, D., &amp; Aslin, R. N. (2007). Lexical competition in young children’s word learning. </w:t>
      </w:r>
      <w:r>
        <w:rPr>
          <w:i/>
          <w:iCs/>
        </w:rPr>
        <w:t>Cognitive Psychology</w:t>
      </w:r>
      <w:r>
        <w:t xml:space="preserve">, </w:t>
      </w:r>
      <w:r>
        <w:rPr>
          <w:i/>
          <w:iCs/>
        </w:rPr>
        <w:t>54</w:t>
      </w:r>
      <w:r>
        <w:t xml:space="preserve">(2), 99–132. </w:t>
      </w:r>
      <w:hyperlink r:id="rId67">
        <w:r>
          <w:rPr>
            <w:rStyle w:val="Hyperlink"/>
          </w:rPr>
          <w:t>https://doi.org/10.1016/j.cogpsych.2006.05.001</w:t>
        </w:r>
      </w:hyperlink>
    </w:p>
    <w:p w14:paraId="11A1A25B" w14:textId="77777777" w:rsidR="003F2D62" w:rsidRDefault="00000000">
      <w:pPr>
        <w:pStyle w:val="Bibliography"/>
      </w:pPr>
      <w:bookmarkStart w:id="76" w:name="ref-tardif2008baby"/>
      <w:bookmarkEnd w:id="75"/>
      <w:r>
        <w:lastRenderedPageBreak/>
        <w:t xml:space="preserve">Tardif, T., Fletcher, P., Liang, W., Zhang, Z., Kaciroti, N., &amp; Marchman, V. A. (2008). Baby’s first 10 words. </w:t>
      </w:r>
      <w:r>
        <w:rPr>
          <w:i/>
          <w:iCs/>
        </w:rPr>
        <w:t>Developmental Psychology</w:t>
      </w:r>
      <w:r>
        <w:t xml:space="preserve">, </w:t>
      </w:r>
      <w:r>
        <w:rPr>
          <w:i/>
          <w:iCs/>
        </w:rPr>
        <w:t>44</w:t>
      </w:r>
      <w:r>
        <w:t xml:space="preserve">(4), 929. </w:t>
      </w:r>
      <w:hyperlink r:id="rId68">
        <w:r>
          <w:rPr>
            <w:rStyle w:val="Hyperlink"/>
          </w:rPr>
          <w:t>https://doi.org/10.1037/0012-1649.44.4.929</w:t>
        </w:r>
      </w:hyperlink>
    </w:p>
    <w:p w14:paraId="00DE4A9D" w14:textId="77777777" w:rsidR="003F2D62" w:rsidRDefault="00000000">
      <w:pPr>
        <w:pStyle w:val="Bibliography"/>
      </w:pPr>
      <w:bookmarkStart w:id="77" w:name="ref-tippenhauerURvariety"/>
      <w:bookmarkEnd w:id="76"/>
      <w:r>
        <w:t xml:space="preserve">Tippenhauer, N. (under review). </w:t>
      </w:r>
      <w:r>
        <w:rPr>
          <w:i/>
          <w:iCs/>
        </w:rPr>
        <w:t>Is variety the spice of life? The role of variability in early word learning</w:t>
      </w:r>
      <w:r>
        <w:t>.</w:t>
      </w:r>
    </w:p>
    <w:p w14:paraId="6AE11C6F" w14:textId="77777777" w:rsidR="003F2D62" w:rsidRDefault="00000000">
      <w:pPr>
        <w:pStyle w:val="Bibliography"/>
      </w:pPr>
      <w:bookmarkStart w:id="78" w:name="ref-tormene2009matching"/>
      <w:bookmarkEnd w:id="77"/>
      <w:r>
        <w:t xml:space="preserve">Tormene, P., Giorgino, T., Quaglini, S., &amp; Stefanelli, M. (2009). Matching incomplete time series with dynamic time warping: An algorithm and an application to post-stroke rehabilitation. </w:t>
      </w:r>
      <w:r>
        <w:rPr>
          <w:i/>
          <w:iCs/>
        </w:rPr>
        <w:t>Artificial Intelligence in Medicine</w:t>
      </w:r>
      <w:r>
        <w:t xml:space="preserve">, </w:t>
      </w:r>
      <w:r>
        <w:rPr>
          <w:i/>
          <w:iCs/>
        </w:rPr>
        <w:t>45</w:t>
      </w:r>
      <w:r>
        <w:t xml:space="preserve">(1), 11–34. </w:t>
      </w:r>
      <w:hyperlink r:id="rId69">
        <w:r>
          <w:rPr>
            <w:rStyle w:val="Hyperlink"/>
          </w:rPr>
          <w:t>https://doi.org/10.1016/j.artmed.2008.11.007</w:t>
        </w:r>
      </w:hyperlink>
    </w:p>
    <w:p w14:paraId="590CBF64" w14:textId="77777777" w:rsidR="003F2D62" w:rsidRDefault="00000000">
      <w:pPr>
        <w:pStyle w:val="Bibliography"/>
      </w:pPr>
      <w:bookmarkStart w:id="79" w:name="ref-vlach2019learning"/>
      <w:bookmarkEnd w:id="78"/>
      <w:r>
        <w:t xml:space="preserve">Vlach, H. A. (2019). Learning to remember words: Memory constraints as double-edged sword mechanisms of language development. </w:t>
      </w:r>
      <w:r>
        <w:rPr>
          <w:i/>
          <w:iCs/>
        </w:rPr>
        <w:t>Child Development Perspectives</w:t>
      </w:r>
      <w:r>
        <w:t xml:space="preserve">, </w:t>
      </w:r>
      <w:r>
        <w:rPr>
          <w:i/>
          <w:iCs/>
        </w:rPr>
        <w:t>13</w:t>
      </w:r>
      <w:r>
        <w:t xml:space="preserve">(3), 159–165. </w:t>
      </w:r>
      <w:hyperlink r:id="rId70">
        <w:r>
          <w:rPr>
            <w:rStyle w:val="Hyperlink"/>
          </w:rPr>
          <w:t>https://doi.org/10.1111/cdep.12337</w:t>
        </w:r>
      </w:hyperlink>
    </w:p>
    <w:p w14:paraId="5917484D" w14:textId="77777777" w:rsidR="003F2D62" w:rsidRDefault="00000000">
      <w:pPr>
        <w:pStyle w:val="Bibliography"/>
      </w:pPr>
      <w:bookmarkStart w:id="80" w:name="ref-wojcik2022map"/>
      <w:bookmarkEnd w:id="79"/>
      <w:r>
        <w:t xml:space="preserve">Wojcik, E. H., Zettersten, M., &amp; Benitez, V. L. (2022). The map trap: Why and how word learning research should move beyond mapping. </w:t>
      </w:r>
      <w:r>
        <w:rPr>
          <w:i/>
          <w:iCs/>
        </w:rPr>
        <w:t>Wiley Interdisciplinary Reviews: Cognitive Science</w:t>
      </w:r>
      <w:r>
        <w:t xml:space="preserve">, </w:t>
      </w:r>
      <w:r>
        <w:rPr>
          <w:i/>
          <w:iCs/>
        </w:rPr>
        <w:t>13</w:t>
      </w:r>
      <w:r>
        <w:t xml:space="preserve">(4), e1596. </w:t>
      </w:r>
      <w:hyperlink r:id="rId71">
        <w:r>
          <w:rPr>
            <w:rStyle w:val="Hyperlink"/>
          </w:rPr>
          <w:t>https://doi.org/10.1002/wcs.1596</w:t>
        </w:r>
      </w:hyperlink>
    </w:p>
    <w:p w14:paraId="6D3D9E2B" w14:textId="77777777" w:rsidR="003F2D62" w:rsidRDefault="00000000">
      <w:pPr>
        <w:pStyle w:val="Bibliography"/>
      </w:pPr>
      <w:bookmarkStart w:id="81" w:name="ref-yurovsky2012statistical"/>
      <w:bookmarkEnd w:id="80"/>
      <w:r>
        <w:t xml:space="preserve">Yurovsky, D., Yu, C., &amp; Smith, L. B. (2012). Statistical speech segmentation and word learning in parallel: Scaffolding from child-directed speech. </w:t>
      </w:r>
      <w:r>
        <w:rPr>
          <w:i/>
          <w:iCs/>
        </w:rPr>
        <w:t>Frontiers in Psychology</w:t>
      </w:r>
      <w:r>
        <w:t xml:space="preserve">, </w:t>
      </w:r>
      <w:r>
        <w:rPr>
          <w:i/>
          <w:iCs/>
        </w:rPr>
        <w:t>3</w:t>
      </w:r>
      <w:r>
        <w:t xml:space="preserve">, 374. </w:t>
      </w:r>
      <w:hyperlink r:id="rId72">
        <w:r>
          <w:rPr>
            <w:rStyle w:val="Hyperlink"/>
          </w:rPr>
          <w:t>https://doi.org/10.3389/fpsyg.2012.00374</w:t>
        </w:r>
      </w:hyperlink>
      <w:bookmarkEnd w:id="20"/>
      <w:bookmarkEnd w:id="22"/>
      <w:bookmarkEnd w:id="81"/>
    </w:p>
    <w:sectPr w:rsidR="003F2D62">
      <w:headerReference w:type="even" r:id="rId73"/>
      <w:headerReference w:type="default" r:id="rId74"/>
      <w:footerReference w:type="even" r:id="rId75"/>
      <w:footerReference w:type="default" r:id="rId76"/>
      <w:headerReference w:type="first" r:id="rId77"/>
      <w:footerReference w:type="first" r:id="rId7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01F64" w14:textId="77777777" w:rsidR="00026E7F" w:rsidRDefault="00026E7F">
      <w:pPr>
        <w:spacing w:line="240" w:lineRule="auto"/>
      </w:pPr>
      <w:r>
        <w:separator/>
      </w:r>
    </w:p>
  </w:endnote>
  <w:endnote w:type="continuationSeparator" w:id="0">
    <w:p w14:paraId="62CEAA53" w14:textId="77777777" w:rsidR="00026E7F" w:rsidRDefault="00026E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4759A"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DA38"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AAA37"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FF42B" w14:textId="77777777" w:rsidR="00026E7F" w:rsidRDefault="00026E7F">
      <w:pPr>
        <w:spacing w:line="240" w:lineRule="auto"/>
      </w:pPr>
      <w:r>
        <w:separator/>
      </w:r>
    </w:p>
  </w:footnote>
  <w:footnote w:type="continuationSeparator" w:id="0">
    <w:p w14:paraId="60A94F66" w14:textId="77777777" w:rsidR="00026E7F" w:rsidRDefault="00026E7F">
      <w:pPr>
        <w:spacing w:line="240" w:lineRule="auto"/>
      </w:pPr>
      <w:r>
        <w:continuationSeparator/>
      </w:r>
    </w:p>
  </w:footnote>
  <w:footnote w:id="1">
    <w:p w14:paraId="700F7D5C" w14:textId="77777777" w:rsidR="003F2D62" w:rsidRDefault="00000000">
      <w:pPr>
        <w:pStyle w:val="FootnoteText"/>
      </w:pPr>
      <w:r>
        <w:rPr>
          <w:rStyle w:val="FootnoteReference"/>
        </w:rPr>
        <w:footnoteRef/>
      </w:r>
      <w:r>
        <w:t xml:space="preserve"> Trials were created in Praat (</w:t>
      </w:r>
      <w:hyperlink w:anchor="ref-praat">
        <w:r>
          <w:rPr>
            <w:rStyle w:val="Hyperlink"/>
          </w:rPr>
          <w:t>Boersma &amp; Weenink, 2025</w:t>
        </w:r>
      </w:hyperlink>
      <w:r>
        <w:t>) by concatenating each target word onto the final position of each sentence frame. To avoid co-articulation artifacts in trials with articles preceding the target word, the target words were spliced along with the article. Minor acoustic edits were made on some sentences to ensure that all trials sounded naturally produced and had comparable loudness and pitch.</w:t>
      </w:r>
    </w:p>
  </w:footnote>
  <w:footnote w:id="2">
    <w:p w14:paraId="1D492909" w14:textId="77777777" w:rsidR="003F2D62" w:rsidRDefault="00000000">
      <w:pPr>
        <w:pStyle w:val="FootnoteText"/>
      </w:pPr>
      <w:r>
        <w:rPr>
          <w:rStyle w:val="FootnoteReference"/>
        </w:rPr>
        <w:footnoteRef/>
      </w:r>
      <w:r>
        <w:t xml:space="preserve"> Following our pre-registered analysis plan, we tested whether including an interaction between condition and age improved model fit—we compared the model with the interaction term to the simpler additive model using a likelihood ratio test. This analysis suggested no reliable difference in predictive accuracy, indicating that the interaction term did not improve model fit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(2)=1.01, </w:t>
      </w:r>
      <w:r>
        <w:rPr>
          <w:i/>
          <w:iCs/>
        </w:rPr>
        <w:t>p</w:t>
      </w:r>
      <w:r>
        <w:t>=0.602).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D5BF0"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32B9"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6704F5">
          <w:t>LEARNING FROM CONSISTENT AND VARIABLE LABELS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3672ADC3"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41EE8"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916CF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8F24CA8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2"/>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793596661">
    <w:abstractNumId w:val="10"/>
  </w:num>
  <w:num w:numId="23" w16cid:durableId="10577058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26E7F"/>
    <w:rsid w:val="00041AF0"/>
    <w:rsid w:val="00060379"/>
    <w:rsid w:val="00064E3B"/>
    <w:rsid w:val="00065938"/>
    <w:rsid w:val="00077AB1"/>
    <w:rsid w:val="00084053"/>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3F2D62"/>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704F5"/>
    <w:rsid w:val="00680DF3"/>
    <w:rsid w:val="006A7CEE"/>
    <w:rsid w:val="006D3C7F"/>
    <w:rsid w:val="00717963"/>
    <w:rsid w:val="00772034"/>
    <w:rsid w:val="007868AB"/>
    <w:rsid w:val="007A1B2A"/>
    <w:rsid w:val="007C38BD"/>
    <w:rsid w:val="007C4E27"/>
    <w:rsid w:val="007E2A5D"/>
    <w:rsid w:val="00801C81"/>
    <w:rsid w:val="0083560B"/>
    <w:rsid w:val="00852D8C"/>
    <w:rsid w:val="0086288E"/>
    <w:rsid w:val="008F27BE"/>
    <w:rsid w:val="00932B9C"/>
    <w:rsid w:val="009638C5"/>
    <w:rsid w:val="009B29FD"/>
    <w:rsid w:val="009B41AF"/>
    <w:rsid w:val="00A072AF"/>
    <w:rsid w:val="00A16B10"/>
    <w:rsid w:val="00A45D6F"/>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B7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2688AA"/>
  <w15:docId w15:val="{4009FDC2-FD58-4145-B752-4282DC095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stor.org/stable/pdf/668164.pdf" TargetMode="External"/><Relationship Id="rId21" Type="http://schemas.openxmlformats.org/officeDocument/2006/relationships/hyperlink" Target="https://doi.org/10.1086/463971" TargetMode="External"/><Relationship Id="rId42" Type="http://schemas.openxmlformats.org/officeDocument/2006/relationships/hyperlink" Target="https://doi.org/10.1097/00006199-199401000-00012" TargetMode="External"/><Relationship Id="rId47" Type="http://schemas.openxmlformats.org/officeDocument/2006/relationships/hyperlink" Target="https://doi.org/10.1111/cogs.12628" TargetMode="External"/><Relationship Id="rId63" Type="http://schemas.openxmlformats.org/officeDocument/2006/relationships/hyperlink" Target="https://doi.org/10.1111/cogs.12416" TargetMode="External"/><Relationship Id="rId68" Type="http://schemas.openxmlformats.org/officeDocument/2006/relationships/hyperlink" Target="https://doi.org/10.1037/0012-1649.44.4.929" TargetMode="External"/><Relationship Id="rId16" Type="http://schemas.openxmlformats.org/officeDocument/2006/relationships/hyperlink" Target="https://doi.org/10.18637/jss.v067.i01" TargetMode="External"/><Relationship Id="rId11" Type="http://schemas.openxmlformats.org/officeDocument/2006/relationships/hyperlink" Target="https://osf.io/uqz6d" TargetMode="External"/><Relationship Id="rId24" Type="http://schemas.openxmlformats.org/officeDocument/2006/relationships/hyperlink" Target="https://doi.org/10.1017/s0305000901004858" TargetMode="External"/><Relationship Id="rId32" Type="http://schemas.openxmlformats.org/officeDocument/2006/relationships/hyperlink" Target="https://doi.org/10.1371/journal.pone.0036399" TargetMode="External"/><Relationship Id="rId37" Type="http://schemas.openxmlformats.org/officeDocument/2006/relationships/hyperlink" Target="https://doi.org/10.1177/2515245919900809" TargetMode="External"/><Relationship Id="rId40" Type="http://schemas.openxmlformats.org/officeDocument/2006/relationships/hyperlink" Target="https://doi.org/10.1007/978-4-431-79102-7_4" TargetMode="External"/><Relationship Id="rId45" Type="http://schemas.openxmlformats.org/officeDocument/2006/relationships/hyperlink" Target="https://doi.org/10.1016/j.cognition.2023.105694" TargetMode="External"/><Relationship Id="rId53" Type="http://schemas.openxmlformats.org/officeDocument/2006/relationships/hyperlink" Target="https://doi.org/10.1080/10489223.2022.2069026" TargetMode="External"/><Relationship Id="rId58" Type="http://schemas.openxmlformats.org/officeDocument/2006/relationships/hyperlink" Target="https://procreate.com/" TargetMode="External"/><Relationship Id="rId66" Type="http://schemas.openxmlformats.org/officeDocument/2006/relationships/hyperlink" Target="https://doi.org/10.1016/s0010-0277(00)00081-0" TargetMode="External"/><Relationship Id="rId74" Type="http://schemas.openxmlformats.org/officeDocument/2006/relationships/header" Target="header2.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i.org/10.1016/j.cognition.2007.06.010" TargetMode="External"/><Relationship Id="rId19" Type="http://schemas.openxmlformats.org/officeDocument/2006/relationships/hyperlink" Target="https://doi.org/10.1111/j.1467-968X.1968.tb01132.x" TargetMode="External"/><Relationship Id="rId14" Type="http://schemas.openxmlformats.org/officeDocument/2006/relationships/image" Target="media/image3.png"/><Relationship Id="rId22" Type="http://schemas.openxmlformats.org/officeDocument/2006/relationships/hyperlink" Target="https://escholarship.org/uc/item/7hb9113g" TargetMode="External"/><Relationship Id="rId27" Type="http://schemas.openxmlformats.org/officeDocument/2006/relationships/hyperlink" Target="https://doi.org/10.1075/lald.44.06fer" TargetMode="External"/><Relationship Id="rId30" Type="http://schemas.openxmlformats.org/officeDocument/2006/relationships/hyperlink" Target="https://rdrr.io/cran/stinepack/" TargetMode="External"/><Relationship Id="rId35" Type="http://schemas.openxmlformats.org/officeDocument/2006/relationships/hyperlink" Target="https://doi.org/10.1017/langcog.2018.23" TargetMode="External"/><Relationship Id="rId43" Type="http://schemas.openxmlformats.org/officeDocument/2006/relationships/hyperlink" Target="https://doi.org/10.2307/1131312" TargetMode="External"/><Relationship Id="rId48" Type="http://schemas.openxmlformats.org/officeDocument/2006/relationships/hyperlink" Target="https://doi.org/10.1080/15475441.2016.1165100" TargetMode="External"/><Relationship Id="rId56" Type="http://schemas.openxmlformats.org/officeDocument/2006/relationships/hyperlink" Target="https://doi.org/10.1037/dev0000754" TargetMode="External"/><Relationship Id="rId64" Type="http://schemas.openxmlformats.org/officeDocument/2006/relationships/hyperlink" Target="https://doi.org/10.1002/9781444344035.ch3" TargetMode="External"/><Relationship Id="rId69" Type="http://schemas.openxmlformats.org/officeDocument/2006/relationships/hyperlink" Target="https://doi.org/10.1016/j.artmed.2008.11.007" TargetMode="External"/><Relationship Id="rId77" Type="http://schemas.openxmlformats.org/officeDocument/2006/relationships/header" Target="header3.xml"/><Relationship Id="rId8" Type="http://schemas.openxmlformats.org/officeDocument/2006/relationships/image" Target="media/image2.svg"/><Relationship Id="rId51" Type="http://schemas.openxmlformats.org/officeDocument/2006/relationships/hyperlink" Target="https://doi.org/10.1017/S0305000923000387" TargetMode="External"/><Relationship Id="rId72" Type="http://schemas.openxmlformats.org/officeDocument/2006/relationships/hyperlink" Target="https://doi.org/10.3389/fpsyg.2012.00374"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mailto:kcasey@princeton.edu" TargetMode="External"/><Relationship Id="rId17" Type="http://schemas.openxmlformats.org/officeDocument/2006/relationships/hyperlink" Target="https://praat.org" TargetMode="External"/><Relationship Id="rId25" Type="http://schemas.openxmlformats.org/officeDocument/2006/relationships/hyperlink" Target="https://doi.org/10.3758/BRM.41.4.1149" TargetMode="External"/><Relationship Id="rId33" Type="http://schemas.openxmlformats.org/officeDocument/2006/relationships/hyperlink" Target="https://doi.org/10.1111/cdev.12263" TargetMode="External"/><Relationship Id="rId38" Type="http://schemas.openxmlformats.org/officeDocument/2006/relationships/hyperlink" Target="https://doi.org/10.1016/0010-0285(88)90017-5" TargetMode="External"/><Relationship Id="rId46" Type="http://schemas.openxmlformats.org/officeDocument/2006/relationships/hyperlink" Target="https://doi.org/10.1111/desc.12997" TargetMode="External"/><Relationship Id="rId59" Type="http://schemas.openxmlformats.org/officeDocument/2006/relationships/hyperlink" Target="https://doi.org/10.1037/dev0000125" TargetMode="External"/><Relationship Id="rId67" Type="http://schemas.openxmlformats.org/officeDocument/2006/relationships/hyperlink" Target="https://doi.org/10.1016/j.cogpsych.2006.05.001" TargetMode="External"/><Relationship Id="rId20" Type="http://schemas.openxmlformats.org/officeDocument/2006/relationships/hyperlink" Target="https://doi.org/10.1037/0012-1649.40.5.746" TargetMode="External"/><Relationship Id="rId41" Type="http://schemas.openxmlformats.org/officeDocument/2006/relationships/hyperlink" Target="https://doi.org/10.2307/1166130" TargetMode="External"/><Relationship Id="rId54" Type="http://schemas.openxmlformats.org/officeDocument/2006/relationships/hyperlink" Target="https://doi.org/10.1016/j.cognition.2018.05.015" TargetMode="External"/><Relationship Id="rId62" Type="http://schemas.openxmlformats.org/officeDocument/2006/relationships/hyperlink" Target="https://doi.org/10.1016/j.dr.2007.06.002" TargetMode="External"/><Relationship Id="rId70" Type="http://schemas.openxmlformats.org/officeDocument/2006/relationships/hyperlink" Target="https://doi.org/10.1111/cdep.12337" TargetMode="External"/><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doi.org/10.1017/S0305000900012393" TargetMode="External"/><Relationship Id="rId28" Type="http://schemas.openxmlformats.org/officeDocument/2006/relationships/hyperlink" Target="https://doi.org/10.7551/mitpress/11577.001.0001" TargetMode="External"/><Relationship Id="rId36" Type="http://schemas.openxmlformats.org/officeDocument/2006/relationships/hyperlink" Target="https://doi.org/10.1177/0962280216650699" TargetMode="External"/><Relationship Id="rId49" Type="http://schemas.openxmlformats.org/officeDocument/2006/relationships/hyperlink" Target="https://doi.org/10.1017/S0305000916000660" TargetMode="External"/><Relationship Id="rId57" Type="http://schemas.openxmlformats.org/officeDocument/2006/relationships/hyperlink" Target="https://doi.org/10.34842/ldr2025-857" TargetMode="External"/><Relationship Id="rId10" Type="http://schemas.openxmlformats.org/officeDocument/2006/relationships/hyperlink" Target="https://orcid.org/0000-0002-8781-4458" TargetMode="External"/><Relationship Id="rId31" Type="http://schemas.openxmlformats.org/officeDocument/2006/relationships/hyperlink" Target="https://doi.org/10.3758/BF03193313" TargetMode="External"/><Relationship Id="rId44" Type="http://schemas.openxmlformats.org/officeDocument/2006/relationships/hyperlink" Target="https://doi.org/10.1016/j.cognition.2017.05.003" TargetMode="External"/><Relationship Id="rId52" Type="http://schemas.openxmlformats.org/officeDocument/2006/relationships/hyperlink" Target="https://doi.org/10.1017/S0305000900000313" TargetMode="External"/><Relationship Id="rId60" Type="http://schemas.openxmlformats.org/officeDocument/2006/relationships/hyperlink" Target="https://doi.org/10.1111/infa.12077" TargetMode="External"/><Relationship Id="rId65" Type="http://schemas.openxmlformats.org/officeDocument/2006/relationships/hyperlink" Target="https://doi.org/10.1037/dev0000114" TargetMode="External"/><Relationship Id="rId73" Type="http://schemas.openxmlformats.org/officeDocument/2006/relationships/header" Target="header1.xml"/><Relationship Id="rId78"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orcid.org/0000-0001-5326-3080" TargetMode="External"/><Relationship Id="rId13" Type="http://schemas.openxmlformats.org/officeDocument/2006/relationships/hyperlink" Target="https://osf.io/uqz6d" TargetMode="External"/><Relationship Id="rId18" Type="http://schemas.openxmlformats.org/officeDocument/2006/relationships/hyperlink" Target="https://doi.org/10.1162/opmi_a_00026" TargetMode="External"/><Relationship Id="rId39" Type="http://schemas.openxmlformats.org/officeDocument/2006/relationships/hyperlink" Target="https://doi.org/10.1016/s0010-0285(03)00034-3" TargetMode="External"/><Relationship Id="rId34" Type="http://schemas.openxmlformats.org/officeDocument/2006/relationships/hyperlink" Target="https://doi.org/10.1016/j.jecp.2017.03.017" TargetMode="External"/><Relationship Id="rId50" Type="http://schemas.openxmlformats.org/officeDocument/2006/relationships/hyperlink" Target="https://doi.org/10.1037/dev0000610" TargetMode="External"/><Relationship Id="rId55" Type="http://schemas.openxmlformats.org/officeDocument/2006/relationships/hyperlink" Target="https://doi.org/10.1207/s15516709cog0000_31" TargetMode="External"/><Relationship Id="rId76"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hyperlink" Target="https://doi.org/10.1002/wcs.1596" TargetMode="External"/><Relationship Id="rId2" Type="http://schemas.openxmlformats.org/officeDocument/2006/relationships/styles" Target="styles.xml"/><Relationship Id="rId29" Type="http://schemas.openxmlformats.org/officeDocument/2006/relationships/hyperlink" Target="https://escholarship.org/uc/item/8ks9p2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201</TotalTime>
  <Pages>27</Pages>
  <Words>7052</Words>
  <Characters>44363</Characters>
  <Application>Microsoft Office Word</Application>
  <DocSecurity>0</DocSecurity>
  <Lines>715</Lines>
  <Paragraphs>223</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51192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word learning, child-directed speech, wordplay, eye-tracking</cp:keywords>
  <dc:description>LEARNING FROM CONSISTENT AND VARIABLE LABELS</dc:description>
  <cp:lastModifiedBy>Kennedy B. Casey</cp:lastModifiedBy>
  <cp:revision>6</cp:revision>
  <dcterms:created xsi:type="dcterms:W3CDTF">2026-01-26T15:16:00Z</dcterms:created>
  <dcterms:modified xsi:type="dcterms:W3CDTF">2026-01-26T15:21:00Z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Early word learning is traditionally characterized as a process of mapping a single label onto a single referent. Yet, across many languages, child-directed speech (CDS) frequently features multiple labels for the same referent, including diminutivized and reduplicated word forms (e.g., doggy or woof-woof for dog). We examined how consistent versus variable labels impact children’s novel word learning. In a within-subjects eye-tracking experiment, we exposed 18- to 36-month-old English-hearing children to novel objects that were labeled either consistently, with typical CDS variants, or with unattested CDS variants that are atypical in English. Using looking-time measures of word-recognition accuracy, we found that children reliably learned words in the consistent and typical variation conditions, with weaker performance in the atypical variation condition. Using pupil size synchrony measures of moment-by-moment attention, we found that engagement was higher in both variation conditions compared to the consistent condition, and was highest in the typical variation condition. Our findings suggest (1) that children can successfully contend with multiple types of label variation when learning new words, and (2) that increased attention is a plausible mechanism by which label variation could support—rather than hinder—children’s early word learning.</vt:lpwstr>
  </property>
  <property fmtid="{D5CDD505-2E9C-101B-9397-08002B2CF9AE}" pid="5" name="apaauthor">
    <vt:lpwstr/>
  </property>
  <property fmtid="{D5CDD505-2E9C-101B-9397-08002B2CF9AE}" pid="6" name="apatitle">
    <vt:lpwstr>English-hearing toddlers learn words from consistent and variable labels</vt:lpwstr>
  </property>
  <property fmtid="{D5CDD505-2E9C-101B-9397-08002B2CF9AE}" pid="7" name="apatitledisplay">
    <vt:lpwstr>English-hearing toddlers learn words from consistent and variable labels</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xecute">
    <vt:lpwstr/>
  </property>
  <property fmtid="{D5CDD505-2E9C-101B-9397-08002B2CF9AE}" pid="18" name="fig-cap-location">
    <vt:lpwstr>top</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sections">
    <vt:lpwstr>True</vt:lpwstr>
  </property>
  <property fmtid="{D5CDD505-2E9C-101B-9397-08002B2CF9AE}" pid="29" name="oneaffiliation">
    <vt:lpwstr>True</vt:lpwstr>
  </property>
  <property fmtid="{D5CDD505-2E9C-101B-9397-08002B2CF9AE}" pid="30" name="oneauthor">
    <vt:lpwstr>False</vt:lpwstr>
  </property>
  <property fmtid="{D5CDD505-2E9C-101B-9397-08002B2CF9AE}" pid="31" name="references">
    <vt:lpwstr/>
  </property>
  <property fmtid="{D5CDD505-2E9C-101B-9397-08002B2CF9AE}" pid="32" name="revealjs-plugins">
    <vt:lpwstr/>
  </property>
  <property fmtid="{D5CDD505-2E9C-101B-9397-08002B2CF9AE}" pid="33" name="shorttitle">
    <vt:lpwstr>LEARNING FROM CONSISTENT AND VARIABLE LABELS</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False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wordn">
    <vt:lpwstr>3731</vt:lpwstr>
  </property>
  <property fmtid="{D5CDD505-2E9C-101B-9397-08002B2CF9AE}" pid="61" name="zerocitations">
    <vt:lpwstr>False</vt:lpwstr>
  </property>
</Properties>
</file>