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48.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attention and novel word learning. In a within-subjects eye-tracking experiment, we exposed 18- to 36-month-old English-hearing children to novel objects that were labeled either consistently, with typical CDS variants, 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6" w:name="introduction"/>
    <w:p>
      <w:pPr>
        <w:pStyle w:val="Heading1"/>
      </w:pPr>
      <w:r>
        <w:t xml:space="preserve">1. Introduction</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such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prior naturalistic corpus studies indicates that, in the first years of life, multiple labels for the same referent are used seemingly interchangeably in children’s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Here, we investigate how such label variation impacts children’s word learning.</w:t>
      </w:r>
    </w:p>
    <w:p>
      <w:pPr>
        <w:pStyle w:val="BodyText"/>
      </w:pPr>
      <w:r>
        <w:t xml:space="preserve">From a traditional one-to-one mapping perspective, label variation could be considered</w:t>
      </w:r>
      <w:r>
        <w:t xml:space="preserve"> </w:t>
      </w:r>
      <w:r>
        <w:t xml:space="preserve">“</w:t>
      </w:r>
      <w:r>
        <w:t xml:space="preserve">noise</w:t>
      </w:r>
      <w:r>
        <w:t xml:space="preserve">”</w:t>
      </w:r>
      <w:r>
        <w:t xml:space="preserve"> </w:t>
      </w:r>
      <w:r>
        <w:t xml:space="preserve">in the learning signal. 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thus, label variation complicates this mapping problem.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Using multiple variants to label the exact same referent also violates the pragmatic assumption that unique word forms must not share the exact same meaning</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 [one of the best predictors of earlier word learning;</w:t>
      </w:r>
      <w:r>
        <w:t xml:space="preserve"> </w:t>
      </w:r>
      <w:r>
        <w:t xml:space="preserve">Braginsky et al. (</w:t>
      </w:r>
      <w:hyperlink w:anchor="ref-braginsky2019consistency">
        <w:r>
          <w:rPr>
            <w:rStyle w:val="Hyperlink"/>
          </w:rPr>
          <w:t xml:space="preserve">2019</w:t>
        </w:r>
      </w:hyperlink>
      <w:r>
        <w:t xml:space="preserve">)</w:t>
      </w:r>
      <w:r>
        <w:t xml:space="preserve">], makes utterances less predictable [and thus potentially harder to learn new words from; e.g.,</w:t>
      </w:r>
      <w:r>
        <w:t xml:space="preserve"> </w:t>
      </w:r>
      <w:r>
        <w:t xml:space="preserve">Reuter et al. (</w:t>
      </w:r>
      <w:hyperlink w:anchor="ref-reuter2019predict">
        <w:r>
          <w:rPr>
            <w:rStyle w:val="Hyperlink"/>
          </w:rPr>
          <w:t xml:space="preserve">2019</w:t>
        </w:r>
      </w:hyperlink>
      <w:r>
        <w:t xml:space="preserve">)</w:t>
      </w:r>
      <w:r>
        <w:t xml:space="preserve">], creates possible lexical competition</w:t>
      </w:r>
      <w:r>
        <w:t xml:space="preserve"> </w:t>
      </w:r>
      <w:r>
        <w:t xml:space="preserve">(</w:t>
      </w:r>
      <w:hyperlink w:anchor="ref-swingley2007competition">
        <w:r>
          <w:rPr>
            <w:rStyle w:val="Hyperlink"/>
            <w:b/>
            <w:bCs/>
          </w:rPr>
          <w:t xml:space="preserve">swingley2007competition?</w:t>
        </w:r>
      </w:hyperlink>
      <w:r>
        <w:t xml:space="preserve">)</w:t>
      </w:r>
      <w:r>
        <w:t xml:space="preserve">, and perhaps increases memory interference</w:t>
      </w:r>
      <w:r>
        <w:t xml:space="preserve"> </w:t>
      </w:r>
      <w:r>
        <w:t xml:space="preserve">(</w:t>
      </w:r>
      <w:hyperlink w:anchor="ref-regier2005emergence">
        <w:r>
          <w:rPr>
            <w:rStyle w:val="Hyperlink"/>
          </w:rPr>
          <w:t xml:space="preserve">Regier, 2005</w:t>
        </w:r>
      </w:hyperlink>
      <w:r>
        <w:t xml:space="preserve">)</w:t>
      </w:r>
      <w:r>
        <w:t xml:space="preserve">, or generally increases memory demands for young learners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p>
      <w:pPr>
        <w:pStyle w:val="BodyText"/>
      </w:pPr>
      <w:r>
        <w:t xml:space="preserve">Yet, (American)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Children’s earliest learned words are associated with the most amount of label variation in their input</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counterintuitive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 [though again with cross-linguistic variation in rates, CITES].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(American)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variation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use of multiple variants in the</w:t>
      </w:r>
      <w:r>
        <w:t xml:space="preserve"> </w:t>
      </w:r>
      <w:r>
        <w:rPr>
          <w:i/>
          <w:iCs/>
        </w:rPr>
        <w:t xml:space="preserve">same</w:t>
      </w:r>
      <w:r>
        <w:t xml:space="preserve"> </w:t>
      </w:r>
      <w:r>
        <w:t xml:space="preserve">interaction could support children’s word learning. We consider attention as a plausible mechanism by which label variation could facilitate—rather than hinder—word learning, even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certain features of CDS variants may heighten children’s engagement across repeated labeling instances.</w:t>
      </w:r>
    </w:p>
    <w:p>
      <w:pPr>
        <w:pStyle w:val="BodyText"/>
      </w:pPr>
      <w:r>
        <w:t xml:space="preserve">Despite competing possibilities for the effect of label variaion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English-hearing toddlers learned novel word-object mappings across three within-subjects conditions. In the</w:t>
      </w:r>
      <w:r>
        <w:t xml:space="preserve"> </w:t>
      </w:r>
      <w:r>
        <w:rPr>
          <w:i/>
          <w:i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i/>
          <w:iCs/>
        </w:rPr>
        <w:t xml:space="preserve">typical variation</w:t>
      </w:r>
      <w:r>
        <w:t xml:space="preserve"> </w:t>
      </w:r>
      <w:r>
        <w:t xml:space="preserve">condition featured label variants common in English CDS, including diminutivized and reduplicated word forms. The</w:t>
      </w:r>
      <w:r>
        <w:t xml:space="preserve"> </w:t>
      </w:r>
      <w:r>
        <w:rPr>
          <w:i/>
          <w:iCs/>
        </w:rPr>
        <w:t xml:space="preserve">atypical variation</w:t>
      </w:r>
      <w:r>
        <w:t xml:space="preserve"> </w:t>
      </w:r>
      <w:r>
        <w:t xml:space="preserve">condition featured phonologically altered word forms unattested in English CDS. Looking 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5" w:name="hypotheses"/>
    <w:p>
      <w:pPr>
        <w:pStyle w:val="Heading2"/>
      </w:pPr>
      <w:r>
        <w:t xml:space="preserve">1.1 Hypotheses</w:t>
      </w:r>
    </w:p>
    <w:p>
      <w:pPr>
        <w:pStyle w:val="FirstParagraph"/>
      </w:pPr>
      <w:r>
        <w:t xml:space="preserve">For the effects of condition and age on children’s novel word-recogntion accuracy, we pre-registered (</w:t>
      </w:r>
      <w:hyperlink r:id="rId30">
        <w:r>
          <w:rPr>
            <w:rStyle w:val="Hyperlink"/>
          </w:rPr>
          <w:t xml:space="preserve">https://osf.io/uqz6d</w:t>
        </w:r>
      </w:hyperlink>
      <w:r>
        <w:t xml:space="preserve">) the following predictions:</w:t>
      </w:r>
    </w:p>
    <w:p>
      <w:pPr>
        <w:pStyle w:val="Compact"/>
        <w:numPr>
          <w:ilvl w:val="0"/>
          <w:numId w:val="1001"/>
        </w:numPr>
      </w:pPr>
      <w:r>
        <w:t xml:space="preserve">In line with the vast majority of prior word learning studies conducted to date, which overwhelmingly test children’s recognition of one-to-one mappings, we hypothesized that children would demonstrate successful learning in the</w:t>
      </w:r>
      <w:r>
        <w:t xml:space="preserve"> </w:t>
      </w:r>
      <w:r>
        <w:rPr>
          <w:i/>
          <w:iCs/>
        </w:rPr>
        <w:t xml:space="preserve">consistent</w:t>
      </w:r>
      <w:r>
        <w:t xml:space="preserve"> </w:t>
      </w:r>
      <w:r>
        <w:t xml:space="preserve">condition.</w:t>
      </w:r>
    </w:p>
    <w:p>
      <w:pPr>
        <w:pStyle w:val="Compact"/>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pStyle w:val="Compact"/>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pStyle w:val="Compact"/>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5"/>
    <w:bookmarkEnd w:id="36"/>
    <w:bookmarkStart w:id="42" w:name="method-1332-words"/>
    <w:p>
      <w:pPr>
        <w:pStyle w:val="Heading1"/>
      </w:pPr>
      <w:r>
        <w:t xml:space="preserve">2. Method (1,332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37"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37"/>
    <w:bookmarkStart w:id="38"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 ms long, on average (range = 14,094–14,150ms), including 2,000 ms silent periods between exposure sentences. Test trials were all exactly 4,966 ms long, with target word durations ranging from 613 to 634 ms (</w:t>
      </w:r>
      <w:r>
        <w:rPr>
          <w:i/>
          <w:iCs/>
        </w:rPr>
        <w:t xml:space="preserve">M</w:t>
      </w:r>
      <w:r>
        <w:t xml:space="preserve"> </w:t>
      </w:r>
      <w:r>
        <w:t xml:space="preserve">= 624 ms), and including 2,000 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38"/>
    <w:bookmarkStart w:id="39"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opague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 ms, range = 250–750 ms) or when the participant looked at the screen. During each exposure trial, a single target object appeared silently on the screen for 1,500 ms or until the participant looked at the screen. Then, the exposure audio played (see stimulus details above). After the offset of the audio, the target object remained on the screen for an additional 1,500 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 ms silent period with both objects on the screen. Then, the target audio played (see stimulus details above). After the offset of the audio, the side-by-side objects remained on the screen for an additional 2,000 ms.</w:t>
      </w:r>
    </w:p>
    <w:bookmarkEnd w:id="39"/>
    <w:bookmarkStart w:id="40"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i/>
          <w:iCs/>
        </w:rPr>
        <w:t xml:space="preserve">consistent</w:t>
      </w:r>
      <w:r>
        <w:t xml:space="preserve"> </w:t>
      </w:r>
      <w:r>
        <w:t xml:space="preserve">condition, participants heard the standard form of the target word repeated 5x per trial (e.g.,</w:t>
      </w:r>
      <w:r>
        <w:t xml:space="preserve"> </w:t>
      </w:r>
      <w:r>
        <w:t xml:space="preserve">“</w:t>
      </w:r>
      <w:r>
        <w:t xml:space="preserve">Look, tanzer! That’s a tanzer…tanzer. Do you see the tanzer? Yes, that’s a tanzer.</w:t>
      </w:r>
      <w:r>
        <w:t xml:space="preserve">”</w:t>
      </w:r>
      <w:r>
        <w:t xml:space="preserve">). In the</w:t>
      </w:r>
      <w:r>
        <w:t xml:space="preserve"> </w:t>
      </w:r>
      <w:r>
        <w:rPr>
          <w:i/>
          <w:i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 tanzer! That’s a tan-tan. Do you see the tanny? Yes, that’s a tanzer.</w:t>
      </w:r>
      <w:r>
        <w:t xml:space="preserve">”</w:t>
      </w:r>
      <w:r>
        <w:t xml:space="preserve">). Critically, the number of exposures to the first syllable of the target word (i.e.,</w:t>
      </w:r>
      <w:r>
        <w:t xml:space="preserve"> </w:t>
      </w:r>
      <w:r>
        <w:t xml:space="preserve">“</w:t>
      </w:r>
      <w:r>
        <w:t xml:space="preserve">tan</w:t>
      </w:r>
      <w:r>
        <w:t xml:space="preserve">”</w:t>
      </w:r>
      <w:r>
        <w:t xml:space="preserve">) was equivalent across these two conditions. In the</w:t>
      </w:r>
      <w:r>
        <w:t xml:space="preserve"> </w:t>
      </w:r>
      <w:r>
        <w:rPr>
          <w:i/>
          <w:i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 tanzer! That’s a zer-zer. Do you see the y-zer? Yes, that’s a tanzer.</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0"/>
    <w:bookmarkStart w:id="41"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 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 We calculated participants’ proportion looking to target objects during test trials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(automatically recorded by the EyeLink eye-tracker)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 ms</w:t>
      </w:r>
      <w:r>
        <w:t xml:space="preserve"> </w:t>
      </w:r>
      <w:r>
        <w:t xml:space="preserve">(</w:t>
      </w:r>
      <w:hyperlink w:anchor="ref-stinepack">
        <w:r>
          <w:rPr>
            <w:rStyle w:val="Hyperlink"/>
          </w:rPr>
          <w:t xml:space="preserve">Johannesson et al., 2009</w:t>
        </w:r>
      </w:hyperlink>
      <w:r>
        <w:t xml:space="preserve">)</w:t>
      </w:r>
      <w:r>
        <w:t xml:space="preserve">. Finally, we excluded participants’ data for exposure sentences where more than 50% of the pupil size data was missing (e.g., due to the child looking away from the screen or technical error).</w:t>
      </w:r>
    </w:p>
    <w:bookmarkEnd w:id="41"/>
    <w:bookmarkEnd w:id="42"/>
    <w:bookmarkStart w:id="54" w:name="results-1028-words"/>
    <w:p>
      <w:pPr>
        <w:pStyle w:val="Heading1"/>
      </w:pPr>
      <w:r>
        <w:t xml:space="preserve">3. Results (1,028 words)</w:t>
      </w:r>
    </w:p>
    <w:bookmarkStart w:id="47"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the novel-word object mappings across the three experimental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a mixed-effects zero-one inflated beta regression model</w:t>
      </w:r>
      <w:r>
        <w:rPr>
          <w:rStyle w:val="FootnoteReference"/>
        </w:rPr>
        <w:footnoteReference w:id="43"/>
      </w:r>
      <w:r>
        <w:t xml:space="preserve"> </w:t>
      </w:r>
      <w:r>
        <w:t xml:space="preserve">to examine the effects of condition and age on children’s accuracy of novel word recognition (i.e., proportion looking to the target object). The model included fixed effects for condition (atypical variation vs. consistent vs. typical variation) and mean-centered age,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only the probability of being 1 (vs. 0), also showed similar trends for the effect of condition. Results showed positive effects of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effects remain uncertain given the credible interval overlap with zero, their alignment with the (</w:t>
      </w:r>
      <m:oMath>
        <m:r>
          <m:t>μ</m:t>
        </m:r>
      </m:oMath>
      <w:r>
        <w:t xml:space="preserve">) 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perform at ceiling (i.e.,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 ms following each target word onset. The μ component models the predicted accuracy (i.e., proportion looking to the target object) for non-boundary values (values between but not including 0 or 1). The zoi (zero-one inflation) component models the likelihood of accuarcy being a boundary value—floor (0) or ceiling (1). The coi (conditional-one inflation) component models the probability of ceiling responses (1s) among boundary values.</w:t>
      </w:r>
    </w:p>
    <w:p>
      <w:pPr>
        <w:pStyle w:val="BodyText"/>
      </w:pPr>
      <w:r>
        <w:t xml:space="preserve"> </w:t>
      </w:r>
    </w:p>
    <w:bookmarkEnd w:id="47"/>
    <w:bookmarkStart w:id="53" w:name="X766ac349de9df7b6c7c4b96c9a4fd67a2087b79"/>
    <w:p>
      <w:pPr>
        <w:pStyle w:val="Heading2"/>
      </w:pPr>
      <w:r>
        <w:t xml:space="preserve">3.2 Moment-by-moment attention measured by pupil size synchrony</w:t>
      </w:r>
    </w:p>
    <w:bookmarkStart w:id="51"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49" name="Picture"/>
            <a:graphic>
              <a:graphicData uri="http://schemas.openxmlformats.org/drawingml/2006/picture">
                <pic:pic>
                  <pic:nvPicPr>
                    <pic:cNvPr descr="Figure2.png" id="50" name="Picture"/>
                    <pic:cNvPicPr>
                      <a:picLocks noChangeArrowheads="1" noChangeAspect="1"/>
                    </pic:cNvPicPr>
                  </pic:nvPicPr>
                  <pic:blipFill>
                    <a:blip r:embed="rId4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1"/>
    <w:bookmarkStart w:id="52"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lexically consistent or variable input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 by 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bookmarkEnd w:id="52"/>
    <w:bookmarkEnd w:id="53"/>
    <w:bookmarkEnd w:id="54"/>
    <w:bookmarkStart w:id="55"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(reduplicated/diminutivized word forms attested in English CDS) versus atypical label variants (word forms unattested in English CDS). This is, to our knowledge, the first study to date to directly manipulate children’s exposure to label variation during a lab-based novel word learning task. Building on prior naturalistic corpus analyses of CDS variant use</w:t>
      </w:r>
      <w:r>
        <w:t xml:space="preserve"> </w:t>
      </w:r>
      <w:r>
        <w:t xml:space="preserve">(</w:t>
      </w:r>
      <w:hyperlink w:anchor="ref-caseyIPcorpus">
        <w:r>
          <w:rPr>
            <w:rStyle w:val="Hyperlink"/>
          </w:rPr>
          <w:t xml:space="preserve">Casey et al., in preparation</w:t>
        </w:r>
      </w:hyperlink>
      <w:r>
        <w:t xml:space="preserve">; 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Overall across conditions, toddlers reliably recognized novel words after a brief exposure phase. Word-recognition accuracy was numerically highest in the typical variation condition and lowest in the atypical variation condition. We provided toddlers with two opportunities demonstrate their recognition of the novel word-object mappings given the difficulty of the task, especially for the youngest participants. Condition effects emerged primarily following the first labeling window, during which children’s performance was at chance in the atypical variation condition and above chance in the typical variation and consistent conditions. These patterns point to possible condition effects, but our mixed-model analyses indicated uncertainty. [more discussion here]</w:t>
      </w:r>
    </w:p>
    <w:p>
      <w:pPr>
        <w:pStyle w:val="BodyText"/>
      </w:pPr>
      <w:r>
        <w:t xml:space="preserve">[explain why different condition trends emerged or did not, exposure to 4 standard forms was potentially enough, still it’s encouraging that children could at least</w:t>
      </w:r>
      <w:r>
        <w:t xml:space="preserve"> </w:t>
      </w:r>
      <w:r>
        <w:t xml:space="preserve">“</w:t>
      </w:r>
      <w:r>
        <w:t xml:space="preserve">filter it out</w:t>
      </w:r>
      <w:r>
        <w:t xml:space="preserve">”</w:t>
      </w:r>
      <w:r>
        <w:t xml:space="preserve">, testing only on the standard form of the target word, future work needed]</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golidlocks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where a moderate amount of variability is desirable. In the context of our experiment, the typical CDS variants… Overall, our pupillometry findings point to attentional engagement as a plausible—but not yet definitively established—mechanism by which label variation (particularly of the type that children encounter naturalistically) could facilitate novel word learning over short timescales.</w:t>
      </w:r>
    </w:p>
    <w:p>
      <w:pPr>
        <w:pStyle w:val="BodyText"/>
      </w:pPr>
      <w:r>
        <w:t xml:space="preserve">Critically, our findings do not tell us</w:t>
      </w:r>
      <w:r>
        <w:t xml:space="preserve"> </w:t>
      </w:r>
      <w:r>
        <w:rPr>
          <w:i/>
          <w:iCs/>
        </w:rPr>
        <w:t xml:space="preserve">why</w:t>
      </w:r>
      <w:r>
        <w:t xml:space="preserve"> </w:t>
      </w:r>
      <w:r>
        <w:t xml:space="preserve">children were able to succeed in learning standard word forms from consistent and variable labels. One possibility is that children</w:t>
      </w:r>
      <w:r>
        <w:t xml:space="preserve"> </w:t>
      </w:r>
      <w:r>
        <w:t xml:space="preserve">“</w:t>
      </w:r>
      <w:r>
        <w:t xml:space="preserve">filtered out</w:t>
      </w:r>
      <w:r>
        <w:t xml:space="preserve">”</w:t>
      </w:r>
      <w:r>
        <w:t xml:space="preserve"> </w:t>
      </w:r>
      <w:r>
        <w:t xml:space="preserve">the variants and focused only on the standard word forms, for which they received at least four exposures during the learning phase. This explanation is plausible in the context of this short in-lab experiment, though does not seem to be the case in naturalistic settings, where CDS variants are common in children’s early productive vocabularies [CITES] and are produced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w:t>
      </w:r>
    </w:p>
    <w:p>
      <w:pPr>
        <w:pStyle w:val="BodyText"/>
      </w:pPr>
      <w:r>
        <w:t xml:space="preserve">In conclusion, this is the first experimental study to provide evidence that English-hearing toddlers can successfully contend with label variants when learning new words. Future work is still needed to better understand</w:t>
      </w:r>
    </w:p>
    <w:bookmarkEnd w:id="55"/>
    <w:bookmarkStart w:id="113" w:name="references"/>
    <w:p>
      <w:pPr>
        <w:pStyle w:val="Heading1"/>
      </w:pPr>
      <w:r>
        <w:t xml:space="preserve">5. References</w:t>
      </w:r>
    </w:p>
    <w:bookmarkStart w:id="112" w:name="refs"/>
    <w:bookmarkStart w:id="57"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6">
        <w:r>
          <w:rPr>
            <w:rStyle w:val="Hyperlink"/>
          </w:rPr>
          <w:t xml:space="preserve">https://doi.org/10.18637/jss.v067.i01</w:t>
        </w:r>
      </w:hyperlink>
    </w:p>
    <w:bookmarkEnd w:id="57"/>
    <w:bookmarkStart w:id="58"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58"/>
    <w:bookmarkStart w:id="59"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59"/>
    <w:bookmarkStart w:id="61"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60">
        <w:r>
          <w:rPr>
            <w:rStyle w:val="Hyperlink"/>
          </w:rPr>
          <w:t xml:space="preserve">https://doi.org/10.32614/RJ-2017-066</w:t>
        </w:r>
      </w:hyperlink>
    </w:p>
    <w:bookmarkEnd w:id="61"/>
    <w:bookmarkStart w:id="62"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2"/>
    <w:bookmarkStart w:id="63"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3"/>
    <w:bookmarkStart w:id="64"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4"/>
    <w:bookmarkStart w:id="65"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5"/>
    <w:bookmarkStart w:id="66"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6"/>
    <w:bookmarkStart w:id="67"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67"/>
    <w:bookmarkStart w:id="68"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8"/>
    <w:bookmarkStart w:id="69"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69"/>
    <w:bookmarkStart w:id="70"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70"/>
    <w:bookmarkStart w:id="71"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1"/>
    <w:bookmarkStart w:id="72"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2"/>
    <w:bookmarkStart w:id="73"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3"/>
    <w:bookmarkStart w:id="74"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4"/>
    <w:bookmarkStart w:id="75"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5"/>
    <w:bookmarkStart w:id="76"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6"/>
    <w:bookmarkStart w:id="77"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77"/>
    <w:bookmarkStart w:id="78"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78"/>
    <w:bookmarkStart w:id="79"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9"/>
    <w:bookmarkStart w:id="80"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0"/>
    <w:bookmarkStart w:id="81"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1"/>
    <w:bookmarkStart w:id="82"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2"/>
    <w:bookmarkStart w:id="83"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3"/>
    <w:bookmarkStart w:id="84"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84"/>
    <w:bookmarkStart w:id="85"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85"/>
    <w:bookmarkStart w:id="86"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6"/>
    <w:bookmarkStart w:id="87"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7"/>
    <w:bookmarkStart w:id="88"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88"/>
    <w:bookmarkStart w:id="89"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89"/>
    <w:bookmarkStart w:id="90"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0"/>
    <w:bookmarkStart w:id="91"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1"/>
    <w:bookmarkStart w:id="92"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2"/>
    <w:bookmarkStart w:id="93"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93"/>
    <w:bookmarkStart w:id="94"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94"/>
    <w:bookmarkStart w:id="95"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95"/>
    <w:bookmarkStart w:id="96"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96"/>
    <w:bookmarkStart w:id="97"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97"/>
    <w:bookmarkStart w:id="99"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98">
        <w:r>
          <w:rPr>
            <w:rStyle w:val="Hyperlink"/>
          </w:rPr>
          <w:t xml:space="preserve">https://procreate.com/</w:t>
        </w:r>
      </w:hyperlink>
    </w:p>
    <w:bookmarkEnd w:id="99"/>
    <w:bookmarkStart w:id="100"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00"/>
    <w:bookmarkStart w:id="101"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01"/>
    <w:bookmarkStart w:id="103"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02">
        <w:r>
          <w:rPr>
            <w:rStyle w:val="Hyperlink"/>
          </w:rPr>
          <w:t xml:space="preserve">https://mc-stan.org/</w:t>
        </w:r>
      </w:hyperlink>
    </w:p>
    <w:bookmarkEnd w:id="103"/>
    <w:bookmarkStart w:id="104"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04"/>
    <w:bookmarkStart w:id="105"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05"/>
    <w:bookmarkStart w:id="106"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06"/>
    <w:bookmarkStart w:id="107"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07"/>
    <w:bookmarkStart w:id="108"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08"/>
    <w:bookmarkStart w:id="110"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09">
        <w:r>
          <w:rPr>
            <w:rStyle w:val="Hyperlink"/>
          </w:rPr>
          <w:t xml:space="preserve">https://doi.org/10.1214/17-BA1091</w:t>
        </w:r>
      </w:hyperlink>
    </w:p>
    <w:bookmarkEnd w:id="110"/>
    <w:bookmarkStart w:id="111"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11"/>
    <w:bookmarkEnd w:id="112"/>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a zero-one-inflated model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(a)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(b) the model fails to converge with the maximal random effects structure, which forced us to remove the random slope for condition and thus reduced our ability to detect within-subject effects of condition.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1" Target="media/rId21.svg" /><Relationship Type="http://schemas.openxmlformats.org/officeDocument/2006/relationships/hyperlink" Id="rId109"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60" Target="https://doi.org/10.32614/RJ-2017-066" TargetMode="External" /><Relationship Type="http://schemas.openxmlformats.org/officeDocument/2006/relationships/hyperlink" Id="rId10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8"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60" Target="https://doi.org/10.32614/RJ-2017-066" TargetMode="External" /><Relationship Type="http://schemas.openxmlformats.org/officeDocument/2006/relationships/hyperlink" Id="rId10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8"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2025-08-15T20:28:52Z</dcterms:created>
  <dcterms:modified xsi:type="dcterms:W3CDTF">2025-08-15T20:28:52Z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attention and novel word learning. In a within-subjects eye-tracking experiment, we exposed 18- to 36-month-old English-hearing children to novel objects that were labeled either consistently, with typical CDS variants, 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3896</vt:lpwstr>
  </property>
  <property fmtid="{D5CDD505-2E9C-101B-9397-08002B2CF9AE}" pid="61" name="zerocitations">
    <vt:lpwstr>False</vt:lpwstr>
  </property>
</Properties>
</file>