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5.png" ContentType="image/png"/>
  <Override PartName="/word/media/rId49.png" ContentType="image/png"/>
  <Override PartName="/word/media/rId53.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are available at LINK. The authors declare no conflicts of interest. This research was supported by a XXX awarded to CLW (XXX) and a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8544, USA,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7" w:name="introduction"/>
    <w:p>
      <w:pPr>
        <w:pStyle w:val="Heading1"/>
      </w:pPr>
      <w:r>
        <w:t xml:space="preserve">1. Introduction</w:t>
      </w:r>
    </w:p>
    <w:p>
      <w:pPr>
        <w:pStyle w:val="FirstParagraph"/>
      </w:pPr>
      <w:r>
        <w:t xml:space="preserve">Across many languages, speech addressed to infants and young children frequently includes</w:t>
      </w:r>
      <w:r>
        <w:t xml:space="preserve"> </w:t>
      </w:r>
      <w:r>
        <w:t xml:space="preserve">“</w:t>
      </w:r>
      <w:r>
        <w:t xml:space="preserve">baby-talk</w:t>
      </w:r>
      <w:r>
        <w:t xml:space="preserve">”</w:t>
      </w:r>
      <w:r>
        <w:t xml:space="preserve"> </w:t>
      </w:r>
      <w:r>
        <w:t xml:space="preserve">words that are unique or highly specific to this infant- or child-directed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These infant- or child-directed words are often variants of existing word forms in adult language but with some phonological and/or morphological change(s)</w:t>
      </w:r>
      <w:r>
        <w:t xml:space="preserve"> </w:t>
      </w:r>
      <w:r>
        <w:t xml:space="preserve">(</w:t>
      </w:r>
      <w:hyperlink w:anchor="ref-moore2024wordform">
        <w:r>
          <w:rPr>
            <w:rStyle w:val="Hyperlink"/>
          </w:rPr>
          <w:t xml:space="preserve">Moore &amp; Bergelson, 2024</w:t>
        </w:r>
      </w:hyperlink>
      <w:r>
        <w:t xml:space="preserve">)</w:t>
      </w:r>
      <w:r>
        <w:t xml:space="preserve"> </w:t>
      </w:r>
      <w:r>
        <w:t xml:space="preserve">or iconic relationships [CITE]. Some child-directed versus adult-directed variants share little to no overlap</w:t>
      </w:r>
      <w:r>
        <w:t xml:space="preserve"> </w:t>
      </w:r>
      <w:r>
        <w:t xml:space="preserve">(e.g.,</w:t>
      </w:r>
      <w:r>
        <w:t xml:space="preserve"> </w:t>
      </w:r>
      <w:r>
        <w:rPr>
          <w:i/>
          <w:iCs/>
        </w:rPr>
        <w:t xml:space="preserve">bunny</w:t>
      </w:r>
      <w:r>
        <w:t xml:space="preserve"> </w:t>
      </w:r>
      <w:r>
        <w:t xml:space="preserve">and</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w:t>
      </w:r>
    </w:p>
    <w:p>
      <w:pPr>
        <w:pStyle w:val="BodyText"/>
      </w:pPr>
      <w:r>
        <w:t xml:space="preserve">While child-directed variants are eventually replaced by adult word forms in children’s and caregivers’ speech</w:t>
      </w:r>
      <w:r>
        <w:t xml:space="preserve"> </w:t>
      </w:r>
      <w:r>
        <w:t xml:space="preserve">(</w:t>
      </w:r>
      <w:hyperlink w:anchor="ref-casey2022doggy">
        <w:r>
          <w:rPr>
            <w:rStyle w:val="Hyperlink"/>
          </w:rPr>
          <w:t xml:space="preserve">Casey &amp; Casillas, 2022</w:t>
        </w:r>
      </w:hyperlink>
      <w:r>
        <w:t xml:space="preserve">)</w:t>
      </w:r>
      <w:r>
        <w:t xml:space="preserve">, multiple lexical variants have been shown to be used seemingly interchangeably in children’s early language environments</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How does exposure to this kind of label variation impact children’s word learning?</w:t>
      </w:r>
    </w:p>
    <w:bookmarkStart w:id="35" w:name="Xac1216cc0096763112dce71ba9adf805551aaac"/>
    <w:p>
      <w:pPr>
        <w:pStyle w:val="Heading2"/>
      </w:pPr>
      <w:r>
        <w:t xml:space="preserve">1.1 Evidence that label variation complicates early word learning</w:t>
      </w:r>
    </w:p>
    <w:p>
      <w:pPr>
        <w:pStyle w:val="FirstParagraph"/>
      </w:pPr>
      <w:r>
        <w:t xml:space="preserve">The process of early word learning is traditionally framed as a one-to-one mapping problem—children learn to associate individual word forms (i.e., labels) with individual referents</w:t>
      </w:r>
      <w:r>
        <w:t xml:space="preserve"> </w:t>
      </w:r>
      <w:r>
        <w:t xml:space="preserve">(</w:t>
      </w:r>
      <w:hyperlink w:anchor="ref-smith2008infant">
        <w:r>
          <w:rPr>
            <w:rStyle w:val="Hyperlink"/>
          </w:rPr>
          <w:t xml:space="preserve">Smith &amp; Trainor, 2008</w:t>
        </w:r>
      </w:hyperlink>
      <w:r>
        <w:t xml:space="preserve">; but see also</w:t>
      </w:r>
      <w:r>
        <w:t xml:space="preserve"> </w:t>
      </w:r>
      <w:hyperlink w:anchor="ref-wojcik2022map">
        <w:r>
          <w:rPr>
            <w:rStyle w:val="Hyperlink"/>
          </w:rPr>
          <w:t xml:space="preserve">Wojcik et al., 2022</w:t>
        </w:r>
      </w:hyperlink>
      <w:r>
        <w:t xml:space="preserve">)</w:t>
      </w:r>
      <w:r>
        <w:t xml:space="preserve">.</w:t>
      </w:r>
      <w:r>
        <w:t xml:space="preserve"> </w:t>
      </w:r>
    </w:p>
    <w:bookmarkEnd w:id="35"/>
    <w:bookmarkStart w:id="36" w:name="Xc5491935d4e678463434417238a90c57f193d2b"/>
    <w:p>
      <w:pPr>
        <w:pStyle w:val="Heading2"/>
      </w:pPr>
      <w:r>
        <w:t xml:space="preserve">1.2 Evidence that label variation may support early word learning</w:t>
      </w:r>
    </w:p>
    <w:p>
      <w:pPr>
        <w:pStyle w:val="FirstParagraph"/>
      </w:pPr>
      <w:r>
        <w:t xml:space="preserve">Conversely, some features of child-directed variants have been linked with early learnability. Reduplicated word forms,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child-directed speech</w:t>
      </w:r>
      <w:r>
        <w:t xml:space="preserve"> </w:t>
      </w:r>
      <w:r>
        <w:t xml:space="preserve">(</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 though estimated rates vary substantially across languages, e.g.,</w:t>
      </w:r>
      <w:r>
        <w:t xml:space="preserve"> </w:t>
      </w:r>
      <w:hyperlink w:anchor="ref-han2023chan">
        <w:r>
          <w:rPr>
            <w:rStyle w:val="Hyperlink"/>
            <w:b/>
            <w:bCs/>
          </w:rPr>
          <w:t xml:space="preserve">han2023chan?</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and cite three possible explanations of this pattern. Reduplicated labels may be more learnable because (1) repeated syllables are more salient in continuous speech and thus more segmentable</w:t>
      </w:r>
      <w:r>
        <w:t xml:space="preserve"> </w:t>
      </w:r>
      <w:r>
        <w:t xml:space="preserve">(</w:t>
      </w:r>
      <w:hyperlink w:anchor="ref-ota2018reduplication">
        <w:r>
          <w:rPr>
            <w:rStyle w:val="Hyperlink"/>
          </w:rPr>
          <w:t xml:space="preserve">Ota &amp; Skarabela, 2018</w:t>
        </w:r>
      </w:hyperlink>
      <w:r>
        <w:t xml:space="preserve">)</w:t>
      </w:r>
      <w:r>
        <w:t xml:space="preserve">, (2) syllable redundancy may facilitate more efficient phonological encoding</w:t>
      </w:r>
      <w:r>
        <w:t xml:space="preserve"> </w:t>
      </w:r>
      <w:r>
        <w:t xml:space="preserve">(consistent with</w:t>
      </w:r>
      <w:r>
        <w:t xml:space="preserve"> </w:t>
      </w:r>
      <w:hyperlink w:anchor="ref-damian2009exploring">
        <w:r>
          <w:rPr>
            <w:rStyle w:val="Hyperlink"/>
          </w:rPr>
          <w:t xml:space="preserve">Damian &amp; Dumay, 2009</w:t>
        </w:r>
      </w:hyperlink>
      <w:r>
        <w:t xml:space="preserve">’s work with English-speaking adults)</w:t>
      </w:r>
      <w:r>
        <w:t xml:space="preserve">, and (3) adjacent repetition may lead to stronger lexical activation, supporting faster online word recognition.</w:t>
      </w:r>
    </w:p>
    <w:p>
      <w:pPr>
        <w:pStyle w:val="BodyText"/>
      </w:pPr>
      <w:r>
        <w:t xml:space="preserve">Multiple lexical variants have been shown to be used seemingly interchangeably in English child-directed speech</w:t>
      </w:r>
      <w:r>
        <w:t xml:space="preserve"> </w:t>
      </w:r>
      <w:r>
        <w:t xml:space="preserve">(</w:t>
      </w:r>
      <w:hyperlink w:anchor="ref-caseyIPcorpus">
        <w:r>
          <w:rPr>
            <w:rStyle w:val="Hyperlink"/>
          </w:rPr>
          <w:t xml:space="preserve">Casey et al., in preparation</w:t>
        </w:r>
      </w:hyperlink>
      <w:r>
        <w:t xml:space="preserve">;</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Earlier-learned words tend to be associated with more variation</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suggesting that learners must contend with a relatively complicated linguistic landscape from early in development. How do multiple labels impact children’s word learning?</w:t>
      </w:r>
    </w:p>
    <w:p>
      <w:pPr>
        <w:pStyle w:val="BodyText"/>
      </w:pPr>
      <w:r>
        <w:t xml:space="preserve">However, existing research leaves open the question of how label variation impacts children’s early word learning.</w:t>
      </w:r>
    </w:p>
    <w:p>
      <w:pPr>
        <w:pStyle w:val="BodyText"/>
      </w:pPr>
      <w:r>
        <w:t xml:space="preserve">In the current study, we</w:t>
      </w:r>
    </w:p>
    <w:p>
      <w:pPr>
        <w:pStyle w:val="BodyText"/>
      </w:pPr>
      <w:r>
        <w:t xml:space="preserve">In line with the vast majority of prior word learning studies conducted to date, which overwhelmingly test children’s recognition of one-to-one mappings, we hypothesized that children would demonstrate successful learning in the</w:t>
      </w:r>
      <w:r>
        <w:t xml:space="preserve"> </w:t>
      </w:r>
      <w:r>
        <w:rPr>
          <w:i/>
          <w:iCs/>
        </w:rPr>
        <w:t xml:space="preserve">consistent</w:t>
      </w:r>
      <w:r>
        <w:t xml:space="preserve"> </w:t>
      </w:r>
      <w:r>
        <w:t xml:space="preserve">condition after receiving multiple repeated exposures to the target label [CITES].</w:t>
      </w:r>
    </w:p>
    <w:p>
      <w:pPr>
        <w:pStyle w:val="BodyText"/>
      </w:pPr>
      <w:r>
        <w:t xml:space="preserve">The key condition of interest is the</w:t>
      </w:r>
      <w:r>
        <w:t xml:space="preserve"> </w:t>
      </w:r>
      <w:r>
        <w:rPr>
          <w:i/>
          <w:iCs/>
        </w:rPr>
        <w:t xml:space="preserve">typical variation</w:t>
      </w:r>
      <w:r>
        <w:t xml:space="preserve"> </w:t>
      </w:r>
      <w:r>
        <w:t xml:space="preserve">condition, where children hear label variants common in English child-directed speech, including diminutivized and reduplicated word forms. We did not pre-register a specific directional hypothesis for this condition given competing theoretical predictions from existing evidence. If children successfully contend with variation attested in English child-directed speech, then we should expect to see above-chance word-recognition accuracy in this condition. If this type of variation impedes novel word learning, then we should expect chance-level performance in this condition.</w:t>
      </w:r>
    </w:p>
    <w:p>
      <w:pPr>
        <w:pStyle w:val="BodyText"/>
      </w:pPr>
      <w:r>
        <w:t xml:space="preserve">We hypothesized that words would be more difficult to learn in the</w:t>
      </w:r>
      <w:r>
        <w:t xml:space="preserve"> </w:t>
      </w:r>
      <w:r>
        <w:rPr>
          <w:i/>
          <w:iCs/>
        </w:rPr>
        <w:t xml:space="preserve">atypical variation</w:t>
      </w:r>
      <w:r>
        <w:t xml:space="preserve"> </w:t>
      </w:r>
      <w:r>
        <w:t xml:space="preserve">condition and that toddlers would show chance-level word-recognition accuracy on average for this condition.</w:t>
      </w:r>
    </w:p>
    <w:p>
      <w:pPr>
        <w:pStyle w:val="BodyText"/>
      </w:pPr>
      <w:r>
        <w:t xml:space="preserve">Finally, we predicted that performance would increase across age in our sample.</w:t>
      </w:r>
    </w:p>
    <w:bookmarkEnd w:id="36"/>
    <w:bookmarkEnd w:id="37"/>
    <w:bookmarkStart w:id="43" w:name="method"/>
    <w:p>
      <w:pPr>
        <w:pStyle w:val="Heading1"/>
      </w:pPr>
      <w:r>
        <w:t xml:space="preserve">2. Method</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38" w:name="participants"/>
    <w:p>
      <w:pPr>
        <w:pStyle w:val="Heading2"/>
      </w:pPr>
      <w:r>
        <w:t xml:space="preserve">2.1 Participants</w:t>
      </w:r>
    </w:p>
    <w:p>
      <w:pPr>
        <w:pStyle w:val="FirstParagraph"/>
      </w:pPr>
      <w:r>
        <w:t xml:space="preserve">Participants (</w:t>
      </w:r>
      <w:r>
        <w:rPr>
          <w:i/>
          <w:iCs/>
        </w:rPr>
        <w:t xml:space="preserve">N</w:t>
      </w:r>
      <w:r>
        <w:t xml:space="preserve"> </w:t>
      </w:r>
      <w:r>
        <w:t xml:space="preserve">= 58 total, 28 female, 30 male), aged 18 to 36 months (</w:t>
      </w:r>
      <w:r>
        <w:rPr>
          <w:i/>
          <w:iCs/>
        </w:rPr>
        <w:t xml:space="preserve">M</w:t>
      </w:r>
      <w:r>
        <w:rPr>
          <w:vertAlign w:val="subscript"/>
        </w:rPr>
        <w:t xml:space="preserve">age</w:t>
      </w:r>
      <w:r>
        <w:t xml:space="preserve"> </w:t>
      </w:r>
      <w:r>
        <w:t xml:space="preserve">= 28.08 months), were full-term, monolingual English-hearing children (&gt;80% reported exposure) with no known hearing, vision, language, and/or developmental delays and were recruited from a volunteer database. Caregivers reported race/ethnicity information for their children in an open-ended format when they initially signed up for the database. Eleven caregivers (18.97% of the final sample) chose not to report this information. Participants were primarily Non-Latinx white (</w:t>
      </w:r>
      <w:r>
        <w:rPr>
          <w:i/>
          <w:iCs/>
        </w:rPr>
        <w:t xml:space="preserve">N</w:t>
      </w:r>
      <w:r>
        <w:t xml:space="preserve"> </w:t>
      </w:r>
      <w:r>
        <w:t xml:space="preserve">= 27, 46.55%) with some representation of other races/ethnicities: Mixed race (</w:t>
      </w:r>
      <w:r>
        <w:rPr>
          <w:i/>
          <w:iCs/>
        </w:rPr>
        <w:t xml:space="preserve">N</w:t>
      </w:r>
      <w:r>
        <w:t xml:space="preserve"> </w:t>
      </w:r>
      <w:r>
        <w:t xml:space="preserve">= 12, 20.69%), Asian (</w:t>
      </w:r>
      <w:r>
        <w:rPr>
          <w:i/>
          <w:iCs/>
        </w:rPr>
        <w:t xml:space="preserve">N</w:t>
      </w:r>
      <w:r>
        <w:t xml:space="preserve"> </w:t>
      </w:r>
      <w:r>
        <w:t xml:space="preserve">= 5, 8.62%), Black (</w:t>
      </w:r>
      <w:r>
        <w:rPr>
          <w:i/>
          <w:iCs/>
        </w:rPr>
        <w:t xml:space="preserve">N</w:t>
      </w:r>
      <w:r>
        <w:t xml:space="preserve"> </w:t>
      </w:r>
      <w:r>
        <w:t xml:space="preserve">= 2, 3.45%), Latinx white (</w:t>
      </w:r>
      <w:r>
        <w:rPr>
          <w:i/>
          <w:iCs/>
        </w:rPr>
        <w:t xml:space="preserve">N</w:t>
      </w:r>
      <w:r>
        <w:t xml:space="preserve"> </w:t>
      </w:r>
      <w:r>
        <w:t xml:space="preserve">= 1, 1.72%).</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 </w:t>
      </w:r>
      <w:r>
        <w:t xml:space="preserve">= 9), significant interruption by a family member (</w:t>
      </w:r>
      <w:r>
        <w:rPr>
          <w:i/>
          <w:iCs/>
        </w:rPr>
        <w:t xml:space="preserve">N</w:t>
      </w:r>
      <w:r>
        <w:t xml:space="preserve"> </w:t>
      </w:r>
      <w:r>
        <w:t xml:space="preserve">= 4), contribution of too few usable trials based on pre-registered criteria due to fussiness or inattention (</w:t>
      </w:r>
      <w:r>
        <w:rPr>
          <w:i/>
          <w:iCs/>
        </w:rPr>
        <w:t xml:space="preserve">N</w:t>
      </w:r>
      <w:r>
        <w:t xml:space="preserve"> </w:t>
      </w:r>
      <w:r>
        <w:t xml:space="preserve">= 18), or failure to meet the language requirement (</w:t>
      </w:r>
      <w:r>
        <w:rPr>
          <w:i/>
          <w:iCs/>
        </w:rPr>
        <w:t xml:space="preserve">N</w:t>
      </w:r>
      <w:r>
        <w:t xml:space="preserve"> </w:t>
      </w:r>
      <w:r>
        <w:t xml:space="preserve">= 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38"/>
    <w:bookmarkStart w:id="39" w:name="stimuli"/>
    <w:p>
      <w:pPr>
        <w:pStyle w:val="Heading2"/>
      </w:pPr>
      <w:r>
        <w:t xml:space="preserve">2.2 Stimuli</w:t>
      </w:r>
    </w:p>
    <w:p>
      <w:pPr>
        <w:pStyle w:val="FirstParagraph"/>
      </w:pPr>
      <w:r>
        <w:t xml:space="preserve">Auditory stimuli were recorded by a female native English speaker using naturalistic child-directed prosody in a sound-attenuated room. Each target word (see</w:t>
      </w:r>
      <w:r>
        <w:t xml:space="preserve"> </w:t>
      </w:r>
      <w:r>
        <w:rPr>
          <w:b/>
          <w:bCs/>
        </w:rPr>
        <w:t xml:space="preserve">Table 1</w:t>
      </w:r>
      <w:r>
        <w:t xml:space="preserve">) appeared in four different sentence frames for exposure trials (</w:t>
      </w:r>
      <w:r>
        <w:t xml:space="preserve">“</w:t>
      </w:r>
      <w:r>
        <w:t xml:space="preserve">Look, _____! That’s a _____. Do you see the ______? Yes, that’s a ______.</w:t>
      </w:r>
      <w:r>
        <w:t xml:space="preserve">”</w:t>
      </w:r>
      <w:r>
        <w:t xml:space="preserve">) and in two different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pulicated">
        <w:r>
          <w:rPr>
            <w:rStyle w:val="Hyperlink"/>
            <w:b/>
            <w:bCs/>
          </w:rPr>
          <w:t xml:space="preserve">ota2016repulicated?</w:t>
        </w:r>
      </w:hyperlink>
      <w:r>
        <w:t xml:space="preserve">)</w:t>
      </w:r>
      <w:r>
        <w:t xml:space="preserve">. 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Exposure trials were 14,131 ms long, on average (range = 14,094–14,150ms), including 2,000 ms silent periods between exposure sentences. Test trials were all exactly 4,966 ms long, with target word durations ranging from 613 to 634 ms (</w:t>
      </w:r>
      <w:r>
        <w:rPr>
          <w:i/>
          <w:iCs/>
        </w:rPr>
        <w:t xml:space="preserve">M</w:t>
      </w:r>
      <w:r>
        <w:t xml:space="preserve"> </w:t>
      </w:r>
      <w:r>
        <w:t xml:space="preserve">= 624 ms), and including 2,000 ms of silence between target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 Minor acoustic edits were made on some sentences to ensure that all trials sounded naturally produced and had comparable loudness and pitch.</w:t>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39"/>
    <w:bookmarkStart w:id="40"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opague sunglasses to prevent them from influencing their children’s behavior. Participants wore a small EyeLink target sticker on their forehead. We used a three-point calibration procedure along the horizontal dimension (x-axis) of the screen.</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 = 500 ms, range = 250–750 ms) or when the participant looked at the screen. During each exposure trial, a single target object appeared silently on the screen for 1,500 ms or until the participant looked at the screen. Then, the exposure audio played (see stimulus details above). After the offset of the audio, the target object remained on the screen for an additional 1,500 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 ms silent period with both objects on the screen. Then, the target audio played (see stimulus details above). After the offset of the audio, the side-by-side objects remained on the screen for an additional 2,000 ms.</w:t>
      </w:r>
    </w:p>
    <w:bookmarkEnd w:id="40"/>
    <w:bookmarkStart w:id="41"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i/>
          <w:iCs/>
        </w:rPr>
        <w:t xml:space="preserve">consistent</w:t>
      </w:r>
      <w:r>
        <w:t xml:space="preserve"> </w:t>
      </w:r>
      <w:r>
        <w:t xml:space="preserve">condition, participants heard the standard form of the target word repeated 5x per trial (e.g.,</w:t>
      </w:r>
      <w:r>
        <w:t xml:space="preserve"> </w:t>
      </w:r>
      <w:r>
        <w:t xml:space="preserve">“</w:t>
      </w:r>
      <w:r>
        <w:t xml:space="preserve">Look, tanzer! That’s a tanzer…tanzer. Do you see the tanzer? Yes, that’s a tanzer.</w:t>
      </w:r>
      <w:r>
        <w:t xml:space="preserve">”</w:t>
      </w:r>
      <w:r>
        <w:t xml:space="preserve">). In the</w:t>
      </w:r>
      <w:r>
        <w:t xml:space="preserve"> </w:t>
      </w:r>
      <w:r>
        <w:rPr>
          <w:i/>
          <w:i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 tanzer! That’s a tan-tan. Do you see the tanny? Yes, that’s a tanzer.</w:t>
      </w:r>
      <w:r>
        <w:t xml:space="preserve">”</w:t>
      </w:r>
      <w:r>
        <w:t xml:space="preserve">). Critically, the number of exposures to the first syllable of the target word (i.e.,</w:t>
      </w:r>
      <w:r>
        <w:t xml:space="preserve"> </w:t>
      </w:r>
      <w:r>
        <w:t xml:space="preserve">“</w:t>
      </w:r>
      <w:r>
        <w:t xml:space="preserve">tan</w:t>
      </w:r>
      <w:r>
        <w:t xml:space="preserve">”</w:t>
      </w:r>
      <w:r>
        <w:t xml:space="preserve">) was equivalent across these two conditions. In the</w:t>
      </w:r>
      <w:r>
        <w:t xml:space="preserve"> </w:t>
      </w:r>
      <w:r>
        <w:rPr>
          <w:i/>
          <w:i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 tanzer! That’s a zer-zer. Do you see the y-zer? Yes, that’s a tanzer.</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1"/>
    <w:bookmarkStart w:id="42"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 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 We calculated participants’ proportion looking to target objects during test trials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 = 10.50, range = 4–12) across 2.81 conditions (median = 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(automatically recorded by the EyeLink eye-tracker)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 ms</w:t>
      </w:r>
      <w:r>
        <w:t xml:space="preserve"> </w:t>
      </w:r>
      <w:r>
        <w:t xml:space="preserve">(</w:t>
      </w:r>
      <w:hyperlink w:anchor="ref-stinepack">
        <w:r>
          <w:rPr>
            <w:rStyle w:val="Hyperlink"/>
          </w:rPr>
          <w:t xml:space="preserve">Johannesson et al., 2009</w:t>
        </w:r>
      </w:hyperlink>
      <w:r>
        <w:t xml:space="preserve">)</w:t>
      </w:r>
      <w:r>
        <w:t xml:space="preserve">. Finally, we excluded participants’ data for exposure sentences where more than 50% of the pupil size data was missing (e.g., due to the child looking away from the screen or technical error).</w:t>
      </w:r>
    </w:p>
    <w:bookmarkEnd w:id="42"/>
    <w:bookmarkEnd w:id="43"/>
    <w:bookmarkStart w:id="58" w:name="results"/>
    <w:p>
      <w:pPr>
        <w:pStyle w:val="Heading1"/>
      </w:pPr>
      <w:r>
        <w:t xml:space="preserve">3. Results</w:t>
      </w:r>
    </w:p>
    <w:bookmarkStart w:id="48" w:name="X81d3246c4b93329a5d0d8f2a794f9a185512a61"/>
    <w:p>
      <w:pPr>
        <w:pStyle w:val="Heading2"/>
      </w:pPr>
      <w:r>
        <w:t xml:space="preserve">3.1 Word recognition measured by gaze behavior</w:t>
      </w:r>
    </w:p>
    <w:p>
      <w:pPr>
        <w:pStyle w:val="FirstParagraph"/>
      </w:pPr>
      <w:r>
        <w:t xml:space="preserve">Our primary analysis examined whether children successfully learned the novel-word object mappings across the three experimental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a mixed-effects zero-one inflated beta regression model</w:t>
      </w:r>
      <w:r>
        <w:rPr>
          <w:rStyle w:val="FootnoteReference"/>
        </w:rPr>
        <w:footnoteReference w:id="44"/>
      </w:r>
      <w:r>
        <w:t xml:space="preserve"> </w:t>
      </w:r>
      <w:r>
        <w:t xml:space="preserve">to examine the effects of condition and age on children’s accuracy of novel word recognition (i.e., proportion looking to the target object). The model included fixed effects for condition (atypical variation vs. consistent vs. typical variation) and mean-centered age, along with the maximal random effects structure (by-participant and by-item random slopes and intercepts).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 = -1.35, ΔSE = 3.53).</w:t>
      </w:r>
    </w:p>
    <w:p>
      <w:pPr>
        <w:pStyle w:val="BodyText"/>
      </w:pPr>
      <w:r>
        <w:t xml:space="preserve">Children’s performance was reliably above chance overall and in both critical windows across all conditions, with one exception: in the first critical window for the atypical variation condition where children’s looking behavior was at chance level (</w:t>
      </w:r>
      <w:r>
        <w:rPr>
          <w:i/>
          <w:iCs/>
        </w:rPr>
        <w:t xml:space="preserve">M</w:t>
      </w:r>
      <w:r>
        <w:t xml:space="preserve"> </w:t>
      </w:r>
      <w:r>
        <w:t xml:space="preserve">= 0.54, 89% CrI [0.48, 0.6]). Across both critical windows, model-predicted accuracy was highest in the typical variation condition (</w:t>
      </w:r>
      <w:r>
        <w:rPr>
          <w:i/>
          <w:iCs/>
        </w:rPr>
        <w:t xml:space="preserve">M</w:t>
      </w:r>
      <w:r>
        <w:t xml:space="preserve"> </w:t>
      </w:r>
      <w:r>
        <w:t xml:space="preserve">= 0.62, 89% CrI [0.57, 0.67]), followed by the consistent condition (</w:t>
      </w:r>
      <w:r>
        <w:rPr>
          <w:i/>
          <w:iCs/>
        </w:rPr>
        <w:t xml:space="preserve">M</w:t>
      </w:r>
      <w:r>
        <w:t xml:space="preserve"> </w:t>
      </w:r>
      <w:r>
        <w:t xml:space="preserve">= 0.57, 89% CrI [0.52, 0.63]), and lowest in the atypical variation condition (</w:t>
      </w:r>
      <w:r>
        <w:rPr>
          <w:i/>
          <w:iCs/>
        </w:rPr>
        <w:t xml:space="preserve">M</w:t>
      </w:r>
      <w:r>
        <w:t xml:space="preserve"> </w:t>
      </w:r>
      <w:r>
        <w:t xml:space="preserve">= 0.56, 89% CrI [0.51, 0.61]).</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46" name="Picture"/>
            <a:graphic>
              <a:graphicData uri="http://schemas.openxmlformats.org/drawingml/2006/picture">
                <pic:pic>
                  <pic:nvPicPr>
                    <pic:cNvPr descr="Figure1.png" id="47" name="Picture"/>
                    <pic:cNvPicPr>
                      <a:picLocks noChangeArrowheads="1" noChangeAspect="1"/>
                    </pic:cNvPicPr>
                  </pic:nvPicPr>
                  <pic:blipFill>
                    <a:blip r:embed="rId45"/>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 </w:t>
      </w:r>
      <w:r>
        <w:t xml:space="preserve">= 0.07, 89% CrI: [-0.19, 0.32]) and the consistent condition (</w:t>
      </w:r>
      <w:r>
        <w:rPr>
          <w:i/>
          <w:iCs/>
        </w:rPr>
        <w:t xml:space="preserve">β</w:t>
      </w:r>
      <w:r>
        <w:t xml:space="preserve"> </w:t>
      </w:r>
      <w:r>
        <w:t xml:space="preserve">= 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 </w:t>
      </w:r>
      <w:r>
        <w:t xml:space="preserve">= 0.08, 89% CrI: [-0.03, 0.19]).</w:t>
      </w:r>
    </w:p>
    <w:p>
      <w:pPr>
        <w:pStyle w:val="BodyText"/>
      </w:pPr>
      <w:r>
        <w:t xml:space="preserve">The conditional one-inflation (coi) component, which estimates among boundary values only the probability of being 1 (vs. 0), also showed similar trends for the effect of condition. Results showed positive effects of both the typical variation condition (</w:t>
      </w:r>
      <w:r>
        <w:rPr>
          <w:i/>
          <w:iCs/>
        </w:rPr>
        <w:t xml:space="preserve">β</w:t>
      </w:r>
      <w:r>
        <w:t xml:space="preserve"> </w:t>
      </w:r>
      <w:r>
        <w:t xml:space="preserve">= 0.06, 89% CrI: [-0.36, 0.48]) and consistent condition (</w:t>
      </w:r>
      <w:r>
        <w:rPr>
          <w:i/>
          <w:iCs/>
        </w:rPr>
        <w:t xml:space="preserve">β</w:t>
      </w:r>
      <w:r>
        <w:t xml:space="preserve"> </w:t>
      </w:r>
      <w:r>
        <w:t xml:space="preserve">= 0.33, 89% CrI: [-0.11, 0.78]), relative to the atypical variation condition. While these effects remain uncertain given the credible interval overlap with zero, their alignment with the (</w:t>
      </w:r>
      <m:oMath>
        <m:r>
          <m:t>μ</m:t>
        </m:r>
      </m:oMath>
      <w:r>
        <w:t xml:space="preserve">) component estimates, suggests additional evidence for an advantage of both typical variation and consistency over atypical variation. The effect of age was clearly positive (</w:t>
      </w:r>
      <w:r>
        <w:rPr>
          <w:i/>
          <w:iCs/>
        </w:rPr>
        <w:t xml:space="preserve">β</w:t>
      </w:r>
      <w:r>
        <w:t xml:space="preserve"> </w:t>
      </w:r>
      <w:r>
        <w:t xml:space="preserve">= 0.34, 89% CrI: [0.15, 0.53]), indicating that older children were more likely to perform at ceiling (i.e.,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 ms following each target word onset. The mu component models the predicted accuracy (i.e., proportion looking to the target object) for non-boundary values (not 0s or 1s). The zoi (zero-one inflation) component models the likelihood of boundary values, and the coi (conditional one inflation) component models the probability of exact 1s among boundary values.</w:t>
      </w:r>
    </w:p>
    <w:p>
      <w:pPr>
        <w:pStyle w:val="BodyText"/>
      </w:pPr>
      <w:r>
        <w:t xml:space="preserve"> </w:t>
      </w:r>
    </w:p>
    <w:bookmarkEnd w:id="48"/>
    <w:bookmarkStart w:id="57" w:name="X766ac349de9df7b6c7c4b96c9a4fd67a2087b79"/>
    <w:p>
      <w:pPr>
        <w:pStyle w:val="Heading2"/>
      </w:pPr>
      <w:r>
        <w:t xml:space="preserve">3.2 Moment-by-moment attention measured by pupil size synchrony</w:t>
      </w:r>
    </w:p>
    <w:bookmarkStart w:id="52" w:name="X29eb9cdab632aadf01b598ee0fac2a0355befc5"/>
    <w:p>
      <w:pPr>
        <w:pStyle w:val="Heading3"/>
      </w:pPr>
      <w:r>
        <w:t xml:space="preserve">3.2.1 Comparing pupil size synchrony across conditions</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(see</w:t>
      </w:r>
      <w:r>
        <w:t xml:space="preserve"> </w:t>
      </w:r>
      <w:r>
        <w:rPr>
          <w:i/>
          <w:iCs/>
        </w:rPr>
        <w:t xml:space="preserve">Method</w:t>
      </w:r>
      <w:r>
        <w:t xml:space="preserve"> </w:t>
      </w:r>
      <w:r>
        <w:t xml:space="preserve">for details).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 = 26.66,</w:t>
      </w:r>
      <w:r>
        <w:t xml:space="preserve"> </w:t>
      </w:r>
      <w:r>
        <w:rPr>
          <w:i/>
          <w:iCs/>
        </w:rPr>
        <w:t xml:space="preserve">p</w:t>
      </w:r>
      <w:r>
        <w:t xml:space="preserve"> </w:t>
      </w:r>
      <w:r>
        <w:t xml:space="preserve">&lt; 0.001]. Follow-up pairwise comparisons using Tukey’s HSD correction indicated that there were statistically significant differences between all condition pairs. Pupil size synchrony was higher in the atypical variation condition (ΔM = 0.20,</w:t>
      </w:r>
      <w:r>
        <w:t xml:space="preserve"> </w:t>
      </w:r>
      <w:r>
        <w:rPr>
          <w:i/>
          <w:iCs/>
        </w:rPr>
        <w:t xml:space="preserve">p</w:t>
      </w:r>
      <w:r>
        <w:t xml:space="preserve"> </w:t>
      </w:r>
      <w:r>
        <w:t xml:space="preserve">= 0.006, Cohen’s</w:t>
      </w:r>
      <w:r>
        <w:t xml:space="preserve"> </w:t>
      </w:r>
      <w:r>
        <w:rPr>
          <w:i/>
          <w:iCs/>
        </w:rPr>
        <w:t xml:space="preserve">d</w:t>
      </w:r>
      <w:r>
        <w:t xml:space="preserve"> </w:t>
      </w:r>
      <w:r>
        <w:t xml:space="preserve">= 0.45) and the typical variation condition (ΔM = 0.47,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1.07), relative to the consistent condition. Pupil size synchrony was higher in the typical variation condition relative to the atypical variation condition (ΔM = 0.27,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50" name="Picture"/>
            <a:graphic>
              <a:graphicData uri="http://schemas.openxmlformats.org/drawingml/2006/picture">
                <pic:pic>
                  <pic:nvPicPr>
                    <pic:cNvPr descr="Figure2.png" id="51" name="Picture"/>
                    <pic:cNvPicPr>
                      <a:picLocks noChangeArrowheads="1" noChangeAspect="1"/>
                    </pic:cNvPicPr>
                  </pic:nvPicPr>
                  <pic:blipFill>
                    <a:blip r:embed="rId49"/>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bookmarkEnd w:id="52"/>
    <w:bookmarkStart w:id="56" w:name="X20e86439322970e0c80fc5aeaf7687084e37566"/>
    <w:p>
      <w:pPr>
        <w:pStyle w:val="Heading3"/>
      </w:pPr>
      <w:r>
        <w:t xml:space="preserve">3.2.2 Relating pupil size synchrony to word-recognition accuracy</w:t>
      </w:r>
    </w:p>
    <w:p>
      <w:pPr>
        <w:pStyle w:val="FirstParagraph"/>
      </w:pPr>
      <w:r>
        <w:t xml:space="preserve">To understand if toddlers’ moment-to-moment engagement with lexically consistent or variable input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 by 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 = -1.91,</w:t>
      </w:r>
      <w:r>
        <w:t xml:space="preserve"> </w:t>
      </w:r>
      <w:r>
        <w:rPr>
          <w:i/>
          <w:iCs/>
        </w:rPr>
        <w:t xml:space="preserve">SE</w:t>
      </w:r>
      <w:r>
        <w:t xml:space="preserve"> </w:t>
      </w:r>
      <w:r>
        <w:t xml:space="preserve">= 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 </w:t>
      </w:r>
      <w:r>
        <w:t xml:space="preserve">= -0.06,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 </w:t>
      </w:r>
      <w:r>
        <w:t xml:space="preserve">= 0.29, 89% CrI [-0.12, 0.74]).</w:t>
      </w:r>
    </w:p>
    <w:p>
      <w:pPr>
        <w:pStyle w:val="CaptionedFigure"/>
      </w:pPr>
      <w:r>
        <w:drawing>
          <wp:inline>
            <wp:extent cx="5504749" cy="3669832"/>
            <wp:effectExtent b="0" l="0" r="0" t="0"/>
            <wp:docPr descr="Raw accuracy (z-scored) predicted by mean pupil size synchrony (z-scored) across conditions. Jittered points represent participant means." title="" id="54" name="Picture"/>
            <a:graphic>
              <a:graphicData uri="http://schemas.openxmlformats.org/drawingml/2006/picture">
                <pic:pic>
                  <pic:nvPicPr>
                    <pic:cNvPr descr="Figure3.png" id="55" name="Picture"/>
                    <pic:cNvPicPr>
                      <a:picLocks noChangeArrowheads="1" noChangeAspect="1"/>
                    </pic:cNvPicPr>
                  </pic:nvPicPr>
                  <pic:blipFill>
                    <a:blip r:embed="rId53"/>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Raw accuracy (z-scored) predicted by mean pupil size synchrony (z-scored) across conditions. Jittered points represent participant means.</w:t>
      </w:r>
    </w:p>
    <w:bookmarkEnd w:id="56"/>
    <w:bookmarkEnd w:id="57"/>
    <w:bookmarkEnd w:id="58"/>
    <w:bookmarkStart w:id="59" w:name="discussion"/>
    <w:p>
      <w:pPr>
        <w:pStyle w:val="Heading1"/>
      </w:pPr>
      <w:r>
        <w:t xml:space="preserve">4. Discussion</w:t>
      </w:r>
    </w:p>
    <w:p>
      <w:pPr>
        <w:pStyle w:val="FirstParagraph"/>
      </w:pPr>
      <w:r>
        <w:t xml:space="preserve">We tested how consistent versus variable labels impact English-hearing toddlers’ learning of novel-word object mappings. Specifically, we examined whether 18- to 36-month-olds showed better novel word recognition accuracy when they were exposed to consistent labels versus typical label variants (reduplicated + diminutivized word forms) versus atypical label variants (word forms unattested in US English).</w:t>
      </w:r>
    </w:p>
    <w:p>
      <w:pPr>
        <w:pStyle w:val="BodyText"/>
      </w:pPr>
      <w:r>
        <w:t xml:space="preserve">This is the first study to date to expose children to multiple label variants.</w:t>
      </w:r>
    </w:p>
    <w:p>
      <w:pPr>
        <w:pStyle w:val="BodyText"/>
      </w:pPr>
      <w:r>
        <w:t xml:space="preserve">By manipulating label variation in the input as a within-subjects factor, we</w:t>
      </w:r>
    </w:p>
    <w:p>
      <w:pPr>
        <w:pStyle w:val="BodyText"/>
      </w:pPr>
      <w:r>
        <w:t xml:space="preserve">Critically, our findings do not tell us whether OR An important question left unanswered is</w:t>
      </w:r>
    </w:p>
    <w:p>
      <w:pPr>
        <w:pStyle w:val="BodyText"/>
      </w:pPr>
      <w:r>
        <w:t xml:space="preserve">In conclusion, this is the first experimental study to provide evidence that English-hearing toddlers can successfully contend with label variants when learning new words.</w:t>
      </w:r>
    </w:p>
    <w:bookmarkEnd w:id="59"/>
    <w:bookmarkStart w:id="100" w:name="references"/>
    <w:p>
      <w:pPr>
        <w:pStyle w:val="Heading1"/>
      </w:pPr>
      <w:r>
        <w:t xml:space="preserve">5. References</w:t>
      </w:r>
    </w:p>
    <w:bookmarkStart w:id="99" w:name="refs"/>
    <w:bookmarkStart w:id="61"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0">
        <w:r>
          <w:rPr>
            <w:rStyle w:val="Hyperlink"/>
          </w:rPr>
          <w:t xml:space="preserve">https://doi.org/10.18637/jss.v067.i01</w:t>
        </w:r>
      </w:hyperlink>
    </w:p>
    <w:bookmarkEnd w:id="61"/>
    <w:bookmarkStart w:id="62"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62"/>
    <w:bookmarkStart w:id="64" w:name="ref-glmmTMB"/>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63">
        <w:r>
          <w:rPr>
            <w:rStyle w:val="Hyperlink"/>
          </w:rPr>
          <w:t xml:space="preserve">https://doi.org/10.32614/RJ-2017-066</w:t>
        </w:r>
      </w:hyperlink>
    </w:p>
    <w:bookmarkEnd w:id="64"/>
    <w:bookmarkStart w:id="65"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65"/>
    <w:bookmarkStart w:id="66"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6"/>
    <w:bookmarkStart w:id="67"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7"/>
    <w:bookmarkStart w:id="68"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8"/>
    <w:bookmarkStart w:id="69" w:name="ref-caseyIPcorpus"/>
    <w:p>
      <w:pPr>
        <w:pStyle w:val="Bibliography"/>
      </w:pPr>
      <w:r>
        <w:t xml:space="preserve">Casey, K., Levitin, A., &amp; Lew-Williams, C. (in preparation).</w:t>
      </w:r>
      <w:r>
        <w:t xml:space="preserve"> </w:t>
      </w:r>
      <w:r>
        <w:rPr>
          <w:i/>
          <w:iCs/>
        </w:rPr>
        <w:t xml:space="preserve">Quantifying the amount and impact of label variation in early word learning environments.</w:t>
      </w:r>
    </w:p>
    <w:bookmarkEnd w:id="69"/>
    <w:bookmarkStart w:id="70"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70"/>
    <w:bookmarkStart w:id="71" w:name="ref-damian2009exploring"/>
    <w:p>
      <w:pPr>
        <w:pStyle w:val="Bibliography"/>
      </w:pPr>
      <w:r>
        <w:t xml:space="preserve">Damian, M. F., &amp; Dumay, N. (2009). Exploring phonological encoding through repeated segments.</w:t>
      </w:r>
      <w:r>
        <w:t xml:space="preserve"> </w:t>
      </w:r>
      <w:r>
        <w:rPr>
          <w:i/>
          <w:iCs/>
        </w:rPr>
        <w:t xml:space="preserve">Language and Cognitive Processes</w:t>
      </w:r>
      <w:r>
        <w:t xml:space="preserve">,</w:t>
      </w:r>
      <w:r>
        <w:t xml:space="preserve"> </w:t>
      </w:r>
      <w:r>
        <w:rPr>
          <w:i/>
          <w:iCs/>
        </w:rPr>
        <w:t xml:space="preserve">24</w:t>
      </w:r>
      <w:r>
        <w:t xml:space="preserve">(5), 685–712.</w:t>
      </w:r>
    </w:p>
    <w:bookmarkEnd w:id="71"/>
    <w:bookmarkStart w:id="72"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72"/>
    <w:bookmarkStart w:id="73"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73"/>
    <w:bookmarkStart w:id="74"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4"/>
    <w:bookmarkStart w:id="75"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5"/>
    <w:bookmarkStart w:id="76"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6"/>
    <w:bookmarkStart w:id="77"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77"/>
    <w:bookmarkStart w:id="78"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78"/>
    <w:bookmarkStart w:id="79"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79"/>
    <w:bookmarkStart w:id="80"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80"/>
    <w:bookmarkStart w:id="81"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81"/>
    <w:bookmarkStart w:id="82"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82"/>
    <w:bookmarkStart w:id="83"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83"/>
    <w:bookmarkStart w:id="84"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84"/>
    <w:bookmarkStart w:id="85"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85"/>
    <w:bookmarkStart w:id="86"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86"/>
    <w:bookmarkStart w:id="87"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87"/>
    <w:bookmarkStart w:id="89"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88">
        <w:r>
          <w:rPr>
            <w:rStyle w:val="Hyperlink"/>
          </w:rPr>
          <w:t xml:space="preserve">https://procreate.com/</w:t>
        </w:r>
      </w:hyperlink>
    </w:p>
    <w:bookmarkEnd w:id="89"/>
    <w:bookmarkStart w:id="90" w:name="ref-smith2008infant"/>
    <w:p>
      <w:pPr>
        <w:pStyle w:val="Bibliography"/>
      </w:pPr>
      <w:r>
        <w:t xml:space="preserve">Smith, N. A., &amp; Trainor, L. J. (2008). Infant-directed speech is modulated by infant feedback.</w:t>
      </w:r>
      <w:r>
        <w:t xml:space="preserve"> </w:t>
      </w:r>
      <w:r>
        <w:rPr>
          <w:i/>
          <w:iCs/>
        </w:rPr>
        <w:t xml:space="preserve">Infancy</w:t>
      </w:r>
      <w:r>
        <w:t xml:space="preserve">,</w:t>
      </w:r>
      <w:r>
        <w:t xml:space="preserve"> </w:t>
      </w:r>
      <w:r>
        <w:rPr>
          <w:i/>
          <w:iCs/>
        </w:rPr>
        <w:t xml:space="preserve">13</w:t>
      </w:r>
      <w:r>
        <w:t xml:space="preserve">(4), 410–420.</w:t>
      </w:r>
    </w:p>
    <w:bookmarkEnd w:id="90"/>
    <w:bookmarkStart w:id="91"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91"/>
    <w:bookmarkStart w:id="93"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92">
        <w:r>
          <w:rPr>
            <w:rStyle w:val="Hyperlink"/>
          </w:rPr>
          <w:t xml:space="preserve">https://mc-stan.org/</w:t>
        </w:r>
      </w:hyperlink>
    </w:p>
    <w:bookmarkEnd w:id="93"/>
    <w:bookmarkStart w:id="94"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94"/>
    <w:bookmarkStart w:id="95"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95"/>
    <w:bookmarkStart w:id="96"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96"/>
    <w:bookmarkStart w:id="98"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97">
        <w:r>
          <w:rPr>
            <w:rStyle w:val="Hyperlink"/>
          </w:rPr>
          <w:t xml:space="preserve">https://doi.org/10.1214/17-BA1091</w:t>
        </w:r>
      </w:hyperlink>
    </w:p>
    <w:bookmarkEnd w:id="98"/>
    <w:bookmarkEnd w:id="99"/>
    <w:bookmarkEnd w:id="10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a zero-one-inflated model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A frequentist beta regression using the</w:t>
      </w:r>
      <w:r>
        <w:t xml:space="preserve"> </w:t>
      </w:r>
      <w:r>
        <w:rPr>
          <w:rStyle w:val="VerbatimChar"/>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roughly approximated the same trend, but this approach is limited in two key ways: (a) this model cannot accurately capture boundary values</w:t>
      </w:r>
      <w:r>
        <w:t xml:space="preserve"> </w:t>
      </w:r>
      <w:r>
        <w:t xml:space="preserve">(see</w:t>
      </w:r>
      <w:r>
        <w:t xml:space="preserve"> </w:t>
      </w:r>
      <w:hyperlink w:anchor="ref-liu2018review">
        <w:r>
          <w:rPr>
            <w:rStyle w:val="Hyperlink"/>
          </w:rPr>
          <w:t xml:space="preserve">Liu &amp; Eugenio, 2018</w:t>
        </w:r>
      </w:hyperlink>
      <w:r>
        <w:t xml:space="preserve"> </w:t>
      </w:r>
      <w:r>
        <w:t xml:space="preserve">for relevant discussion)</w:t>
      </w:r>
      <w:r>
        <w:t xml:space="preserve">, and (b) the model fails to converge with the maximal random effects structure, which forced us to remove the random slope for condition and thus reduced our ability to detect within-subject effects of condition.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21" Target="media/rId21.svg" /><Relationship Type="http://schemas.openxmlformats.org/officeDocument/2006/relationships/hyperlink" Id="rId97" Target="https://doi.org/10.1214/17-BA1091" TargetMode="External" /><Relationship Type="http://schemas.openxmlformats.org/officeDocument/2006/relationships/hyperlink" Id="rId60" Target="https://doi.org/10.18637/jss.v067.i01" TargetMode="External" /><Relationship Type="http://schemas.openxmlformats.org/officeDocument/2006/relationships/hyperlink" Id="rId63" Target="https://doi.org/10.32614/RJ-2017-066" TargetMode="External" /><Relationship Type="http://schemas.openxmlformats.org/officeDocument/2006/relationships/hyperlink" Id="rId92"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88"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214/17-BA1091" TargetMode="External" /><Relationship Type="http://schemas.openxmlformats.org/officeDocument/2006/relationships/hyperlink" Id="rId60" Target="https://doi.org/10.18637/jss.v067.i01" TargetMode="External" /><Relationship Type="http://schemas.openxmlformats.org/officeDocument/2006/relationships/hyperlink" Id="rId63" Target="https://doi.org/10.32614/RJ-2017-066" TargetMode="External" /><Relationship Type="http://schemas.openxmlformats.org/officeDocument/2006/relationships/hyperlink" Id="rId92"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88"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2025-08-12T17:36:08Z</dcterms:created>
  <dcterms:modified xsi:type="dcterms:W3CDTF">2025-08-12T17:36:08Z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3026</vt:lpwstr>
  </property>
  <property fmtid="{D5CDD505-2E9C-101B-9397-08002B2CF9AE}" pid="61" name="zerocitations">
    <vt:lpwstr>False</vt:lpwstr>
  </property>
</Properties>
</file>