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53.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are available at LINK. The authors declare no conflicts of interest. This research was supported by a XXX awarded to CLW (XXX) and a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8544, USA,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 </w:t>
      </w:r>
      <w:r>
        <w:t xml:space="preserve">or</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novel word learning. In a within-subjects eye-tracking experiment, we exposed 18- to 36-month-old English-hearing children to novel objects that were labeled either consistently, with typical CDS variants, or with atypical, unattested CDS variants.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9" w:name="introduction-1262-words"/>
    <w:p>
      <w:pPr>
        <w:pStyle w:val="Heading1"/>
      </w:pPr>
      <w:r>
        <w:t xml:space="preserve">1. Introduction (1,262 words)</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word forms, involving phonological and/or morphological changes</w:t>
      </w:r>
      <w:r>
        <w:t xml:space="preserve"> </w:t>
      </w:r>
      <w:r>
        <w:t xml:space="preserve">(e.g.,</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C. E. 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prior naturalistic corpus studies indicates that, in the first years of life, multiple labels for the same referent are used seemingly interchangeably in children’s input</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Here, we investigate how such label variation impacts children’s word learning.</w:t>
      </w:r>
    </w:p>
    <w:bookmarkStart w:id="35" w:name="label-variation-may-hinder-word-learning"/>
    <w:p>
      <w:pPr>
        <w:pStyle w:val="Heading2"/>
      </w:pPr>
      <w:r>
        <w:t xml:space="preserve">1.1 Label variation may hinder word learning</w:t>
      </w:r>
    </w:p>
    <w:p>
      <w:pPr>
        <w:pStyle w:val="FirstParagraph"/>
      </w:pPr>
      <w:r>
        <w:t xml:space="preserve">From a traditional one-to-one mapping perspective—children learn to associate individual word forms (i.e., labels) with individual referents</w:t>
      </w:r>
      <w:r>
        <w:t xml:space="preserve"> </w:t>
      </w:r>
      <w:r>
        <w:t xml:space="preserve">(e.g.,</w:t>
      </w:r>
      <w:r>
        <w:t xml:space="preserve"> </w:t>
      </w:r>
      <w:hyperlink w:anchor="ref-smith2008infants">
        <w:r>
          <w:rPr>
            <w:rStyle w:val="Hyperlink"/>
          </w:rPr>
          <w:t xml:space="preserve">Smith &amp; Yu,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w:t>
      </w:r>
      <w:r>
        <w:t xml:space="preserve">—label variation could be considered</w:t>
      </w:r>
      <w:r>
        <w:t xml:space="preserve"> </w:t>
      </w:r>
      <w:r>
        <w:t xml:space="preserve">“</w:t>
      </w:r>
      <w:r>
        <w:t xml:space="preserve">noise</w:t>
      </w:r>
      <w:r>
        <w:t xml:space="preserve">”</w:t>
      </w:r>
      <w:r>
        <w:t xml:space="preserve"> </w:t>
      </w:r>
      <w:r>
        <w:t xml:space="preserve">in the learning signal. Indeed,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the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but see also</w:t>
      </w:r>
      <w:r>
        <w:t xml:space="preserve"> </w:t>
      </w:r>
      <w:hyperlink w:anchor="ref-mervis1994two">
        <w:r>
          <w:rPr>
            <w:rStyle w:val="Hyperlink"/>
          </w:rPr>
          <w:t xml:space="preserve">Mervis et al., 1994</w:t>
        </w:r>
      </w:hyperlink>
      <w:r>
        <w:t xml:space="preserve">;</w:t>
      </w:r>
      <w:r>
        <w:t xml:space="preserve"> </w:t>
      </w:r>
      <w:hyperlink w:anchor="ref-swingley2016two">
        <w:r>
          <w:rPr>
            <w:rStyle w:val="Hyperlink"/>
          </w:rPr>
          <w:t xml:space="preserve">Swingley, 2016</w:t>
        </w:r>
      </w:hyperlink>
      <w:r>
        <w:t xml:space="preserve">)</w:t>
      </w:r>
      <w:r>
        <w:t xml:space="preserve">. Using multiple variants to label the exact same referent also violates the pragmatic assumption that unique word forms must have unique meanings</w:t>
      </w:r>
      <w:r>
        <w:t xml:space="preserve"> </w:t>
      </w:r>
      <w:r>
        <w:t xml:space="preserve">(i.e., the principle of contrast:</w:t>
      </w:r>
      <w:r>
        <w:t xml:space="preserve"> </w:t>
      </w:r>
      <w:hyperlink w:anchor="ref-clark1988logic">
        <w:r>
          <w:rPr>
            <w:rStyle w:val="Hyperlink"/>
          </w:rPr>
          <w:t xml:space="preserve">Clark, 1988</w:t>
        </w:r>
      </w:hyperlink>
      <w:r>
        <w:t xml:space="preserve">)</w:t>
      </w:r>
      <w:r>
        <w:t xml:space="preserve">. Introducing multiple interchangeable labels also effectively decreases the frequency of the standard label</w:t>
      </w:r>
      <w:r>
        <w:t xml:space="preserve"> </w:t>
      </w:r>
      <w:r>
        <w:t xml:space="preserve">(one of the best predictors of earlier word learning,</w:t>
      </w:r>
      <w:r>
        <w:t xml:space="preserve"> </w:t>
      </w:r>
      <w:hyperlink w:anchor="ref-braginsky2019consistency">
        <w:r>
          <w:rPr>
            <w:rStyle w:val="Hyperlink"/>
          </w:rPr>
          <w:t xml:space="preserve">Braginsky et al., 2019</w:t>
        </w:r>
      </w:hyperlink>
      <w:r>
        <w:t xml:space="preserve">)</w:t>
      </w:r>
      <w:r>
        <w:t xml:space="preserve">, makes utterances less predictable</w:t>
      </w:r>
      <w:r>
        <w:t xml:space="preserve"> </w:t>
      </w:r>
      <w:r>
        <w:t xml:space="preserve">(and thus potentially harder to learn new words from, e.g.,</w:t>
      </w:r>
      <w:r>
        <w:t xml:space="preserve"> </w:t>
      </w:r>
      <w:hyperlink w:anchor="ref-reuter2019predict">
        <w:r>
          <w:rPr>
            <w:rStyle w:val="Hyperlink"/>
          </w:rPr>
          <w:t xml:space="preserve">Reuter et al., 2019</w:t>
        </w:r>
      </w:hyperlink>
      <w:r>
        <w:t xml:space="preserve">)</w:t>
      </w:r>
      <w:r>
        <w:t xml:space="preserve">. It may also create lexical competition</w:t>
      </w:r>
      <w:r>
        <w:t xml:space="preserve"> </w:t>
      </w:r>
      <w:r>
        <w:t xml:space="preserve">(</w:t>
      </w:r>
      <w:hyperlink w:anchor="ref-swingley2007lexical">
        <w:r>
          <w:rPr>
            <w:rStyle w:val="Hyperlink"/>
          </w:rPr>
          <w:t xml:space="preserve">Swingley &amp; Aslin, 2007</w:t>
        </w:r>
      </w:hyperlink>
      <w:r>
        <w:t xml:space="preserve">)</w:t>
      </w:r>
      <w:r>
        <w:t xml:space="preserve"> </w:t>
      </w:r>
      <w:r>
        <w:t xml:space="preserve">as well as increase memory interference</w:t>
      </w:r>
      <w:r>
        <w:t xml:space="preserve"> </w:t>
      </w:r>
      <w:r>
        <w:t xml:space="preserve">(</w:t>
      </w:r>
      <w:hyperlink w:anchor="ref-regier2005emergence">
        <w:r>
          <w:rPr>
            <w:rStyle w:val="Hyperlink"/>
          </w:rPr>
          <w:t xml:space="preserve">Regier, 2005</w:t>
        </w:r>
      </w:hyperlink>
      <w:r>
        <w:t xml:space="preserve">)</w:t>
      </w:r>
      <w:r>
        <w:t xml:space="preserve"> </w:t>
      </w:r>
      <w:r>
        <w:t xml:space="preserve">or general memory demands</w:t>
      </w:r>
      <w:r>
        <w:t xml:space="preserve"> </w:t>
      </w:r>
      <w:r>
        <w:t xml:space="preserve">(see</w:t>
      </w:r>
      <w:r>
        <w:t xml:space="preserve"> </w:t>
      </w:r>
      <w:hyperlink w:anchor="ref-vlach2019learning">
        <w:r>
          <w:rPr>
            <w:rStyle w:val="Hyperlink"/>
          </w:rPr>
          <w:t xml:space="preserve">Vlach, 2019</w:t>
        </w:r>
      </w:hyperlink>
      <w:r>
        <w:t xml:space="preserve"> </w:t>
      </w:r>
      <w:r>
        <w:t xml:space="preserve">for further discussion of memory constraints)</w:t>
      </w:r>
      <w:r>
        <w:t xml:space="preserve">.</w:t>
      </w:r>
    </w:p>
    <w:bookmarkEnd w:id="35"/>
    <w:bookmarkStart w:id="36" w:name="X7e2b24e0d0bc6ba6ef08d648622d92aca7015b6"/>
    <w:p>
      <w:pPr>
        <w:pStyle w:val="Heading2"/>
      </w:pPr>
      <w:r>
        <w:t xml:space="preserve">1.2 Label variation may support word learning</w:t>
      </w:r>
    </w:p>
    <w:p>
      <w:pPr>
        <w:pStyle w:val="FirstParagraph"/>
      </w:pPr>
      <w:r>
        <w:t xml:space="preserve">Yet, (American) English-hearing children both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use</w:t>
      </w:r>
      <w:r>
        <w:t xml:space="preserve"> </w:t>
      </w:r>
      <w:r>
        <w:t xml:space="preserve">(</w:t>
      </w:r>
      <w:hyperlink w:anchor="ref-casey2022doggy">
        <w:r>
          <w:rPr>
            <w:rStyle w:val="Hyperlink"/>
          </w:rPr>
          <w:t xml:space="preserve">Casey &amp; Casillas, 2022</w:t>
        </w:r>
      </w:hyperlink>
      <w:r>
        <w:t xml:space="preserve">;</w:t>
      </w:r>
      <w:r>
        <w:t xml:space="preserve"> </w:t>
      </w:r>
      <w:hyperlink w:anchor="ref-deak2001any">
        <w:r>
          <w:rPr>
            <w:rStyle w:val="Hyperlink"/>
          </w:rPr>
          <w:t xml:space="preserve">Deak et al., 2001</w:t>
        </w:r>
      </w:hyperlink>
      <w:r>
        <w:t xml:space="preserve">)</w:t>
      </w:r>
      <w:r>
        <w:t xml:space="preserve"> </w:t>
      </w:r>
      <w:r>
        <w:t xml:space="preserve">multiple labels for the same referent. In fact, children’s earliest learned words are associated with the greatest amount of label variation in their input</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w:t>
      </w:r>
      <w:r>
        <w:t xml:space="preserve"> </w:t>
      </w:r>
      <w:r>
        <w:t xml:space="preserve">(though again with cross-linguistic variation in rates, e.g.,</w:t>
      </w:r>
      <w:r>
        <w:t xml:space="preserve"> </w:t>
      </w:r>
      <w:hyperlink w:anchor="ref-kempe2001can">
        <w:r>
          <w:rPr>
            <w:rStyle w:val="Hyperlink"/>
          </w:rPr>
          <w:t xml:space="preserve">Kempe et al., 2001</w:t>
        </w:r>
      </w:hyperlink>
      <w:r>
        <w:t xml:space="preserve">;</w:t>
      </w:r>
      <w:r>
        <w:t xml:space="preserve"> </w:t>
      </w:r>
      <w:hyperlink w:anchor="ref-ota2018choo">
        <w:r>
          <w:rPr>
            <w:rStyle w:val="Hyperlink"/>
          </w:rPr>
          <w:t xml:space="preserve">Ota et al., 2018</w:t>
        </w:r>
      </w:hyperlink>
      <w:r>
        <w:t xml:space="preserve">;</w:t>
      </w:r>
      <w:r>
        <w:t xml:space="preserve"> </w:t>
      </w:r>
      <w:hyperlink w:anchor="ref-savickiene1998acquisition">
        <w:r>
          <w:rPr>
            <w:rStyle w:val="Hyperlink"/>
          </w:rPr>
          <w:t xml:space="preserve">Savickiene, 1998</w:t>
        </w:r>
      </w:hyperlink>
      <w:r>
        <w:t xml:space="preserve">)</w:t>
      </w:r>
      <w:r>
        <w:t xml:space="preserve">.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(American)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variants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w:t>
      </w:r>
      <w:r>
        <w:t xml:space="preserve"> </w:t>
      </w:r>
      <w:r>
        <w:t xml:space="preserve">(e.g.,</w:t>
      </w:r>
      <w:r>
        <w:t xml:space="preserve"> </w:t>
      </w:r>
      <w:hyperlink w:anchor="ref-yurovsky2012statistical">
        <w:r>
          <w:rPr>
            <w:rStyle w:val="Hyperlink"/>
          </w:rPr>
          <w:t xml:space="preserve">Yurovsky et al., 2012</w:t>
        </w:r>
      </w:hyperlink>
      <w:r>
        <w:t xml:space="preserve">)</w:t>
      </w:r>
      <w:r>
        <w:t xml:space="preserve">.</w:t>
      </w:r>
    </w:p>
    <w:p>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w:t>
      </w:r>
      <w:r>
        <w:t xml:space="preserve"> </w:t>
      </w:r>
      <w:r>
        <w:t xml:space="preserve">(ADS,</w:t>
      </w:r>
      <w:r>
        <w:t xml:space="preserve"> </w:t>
      </w:r>
      <w:hyperlink w:anchor="ref-manybabies2020quantifying">
        <w:r>
          <w:rPr>
            <w:rStyle w:val="Hyperlink"/>
          </w:rPr>
          <w:t xml:space="preserve">ManyBabiesConsortium, 2020</w:t>
        </w:r>
      </w:hyperlink>
      <w:r>
        <w:t xml:space="preserve">)</w:t>
      </w:r>
      <w:r>
        <w:t xml:space="preserve">, hearing multiple CDS variants may help capture and sustain children’s attention. Indeed, word repetition does not tend to draw children’s attention</w:t>
      </w:r>
      <w:r>
        <w:t xml:space="preserve"> </w:t>
      </w:r>
      <w:r>
        <w:t xml:space="preserve">(</w:t>
      </w:r>
      <w:hyperlink w:anchor="ref-schwab2016repetition">
        <w:r>
          <w:rPr>
            <w:rStyle w:val="Hyperlink"/>
          </w:rPr>
          <w:t xml:space="preserve">Schwab &amp; Lew-Williams, 2016</w:t>
        </w:r>
      </w:hyperlink>
      <w:r>
        <w:t xml:space="preserve">;</w:t>
      </w:r>
      <w:r>
        <w:t xml:space="preserve"> </w:t>
      </w:r>
      <w:hyperlink w:anchor="ref-segal2015infant">
        <w:r>
          <w:rPr>
            <w:rStyle w:val="Hyperlink"/>
          </w:rPr>
          <w:t xml:space="preserve">Segal &amp; Newman, 2015</w:t>
        </w:r>
      </w:hyperlink>
      <w:r>
        <w:t xml:space="preserve">)</w:t>
      </w:r>
      <w:r>
        <w:t xml:space="preserve">, but label variation may introduce the kind of novelty that promotes engagement</w:t>
      </w:r>
      <w:r>
        <w:t xml:space="preserve"> </w:t>
      </w:r>
      <w:r>
        <w:t xml:space="preserve">(see</w:t>
      </w:r>
      <w:r>
        <w:t xml:space="preserve"> </w:t>
      </w:r>
      <w:hyperlink w:anchor="ref-tippenhauerURvariety">
        <w:r>
          <w:rPr>
            <w:rStyle w:val="Hyperlink"/>
          </w:rPr>
          <w:t xml:space="preserve">Tippenhauer, under review</w:t>
        </w:r>
      </w:hyperlink>
      <w:r>
        <w:t xml:space="preserve"> </w:t>
      </w:r>
      <w:r>
        <w:t xml:space="preserve">for a relevant review)</w:t>
      </w:r>
      <w:r>
        <w:t xml:space="preserve">, while still offering sufficient predictability to be learnable</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This account aligns with evidence that other types of variability within CDS, such as prosodic contours</w:t>
      </w:r>
      <w:r>
        <w:t xml:space="preserve"> </w:t>
      </w:r>
      <w:r>
        <w:t xml:space="preserve">(</w:t>
      </w:r>
      <w:hyperlink w:anchor="ref-nencheva2021moment">
        <w:r>
          <w:rPr>
            <w:rStyle w:val="Hyperlink"/>
          </w:rPr>
          <w:t xml:space="preserve">Nencheva et al., 2021</w:t>
        </w:r>
      </w:hyperlink>
      <w:r>
        <w:t xml:space="preserve">;</w:t>
      </w:r>
      <w:r>
        <w:t xml:space="preserve"> </w:t>
      </w:r>
      <w:hyperlink w:anchor="ref-rasanen2018infant">
        <w:r>
          <w:rPr>
            <w:rStyle w:val="Hyperlink"/>
          </w:rPr>
          <w:t xml:space="preserve">Räsänen et al., 2018</w:t>
        </w:r>
      </w:hyperlink>
      <w:r>
        <w:t xml:space="preserve">)</w:t>
      </w:r>
      <w:r>
        <w:t xml:space="preserve"> </w:t>
      </w:r>
      <w:r>
        <w:t xml:space="preserve">and vowel articulations</w:t>
      </w:r>
      <w:r>
        <w:t xml:space="preserve"> </w:t>
      </w:r>
      <w:r>
        <w:t xml:space="preserve">(</w:t>
      </w:r>
      <w:hyperlink w:anchor="ref-miyazawa2017vowels">
        <w:r>
          <w:rPr>
            <w:rStyle w:val="Hyperlink"/>
          </w:rPr>
          <w:t xml:space="preserve">Miyazawa et al., 2017</w:t>
        </w:r>
      </w:hyperlink>
      <w:r>
        <w:t xml:space="preserve">)</w:t>
      </w:r>
      <w:r>
        <w:t xml:space="preserve">, engage children’s attention and scaffold their word learning.</w:t>
      </w:r>
    </w:p>
    <w:bookmarkEnd w:id="36"/>
    <w:bookmarkStart w:id="38" w:name="the-current-study"/>
    <w:p>
      <w:pPr>
        <w:pStyle w:val="Heading2"/>
      </w:pPr>
      <w:r>
        <w:t xml:space="preserve">1.3 The current study</w:t>
      </w:r>
    </w:p>
    <w:p>
      <w:pPr>
        <w:pStyle w:val="FirstParagraph"/>
      </w:pPr>
      <w:r>
        <w:t xml:space="preserve">Despite competing possibilities for the effect of label variation on children’s word learning, no studies to date have directly tested how</w:t>
      </w:r>
      <w:r>
        <w:t xml:space="preserve"> </w:t>
      </w:r>
      <w:r>
        <w:rPr>
          <w:i/>
          <w:iCs/>
        </w:rPr>
        <w:t xml:space="preserve">consistent versus variable labels</w:t>
      </w:r>
      <w:r>
        <w:t xml:space="preserve"> </w:t>
      </w:r>
      <w:r>
        <w:t xml:space="preserve">impact children’s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English-hearing toddlers learned novel word-object mappings across three within-subjects conditions. In the</w:t>
      </w:r>
      <w:r>
        <w:t xml:space="preserve"> </w:t>
      </w:r>
      <w:r>
        <w:rPr>
          <w:b/>
          <w:b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b/>
          <w:bCs/>
        </w:rPr>
        <w:t xml:space="preserve">typical variation</w:t>
      </w:r>
      <w:r>
        <w:t xml:space="preserve"> </w:t>
      </w:r>
      <w:r>
        <w:t xml:space="preserve">condition featured label variants common in English CDS, including diminutivized and reduplicated word forms. The</w:t>
      </w:r>
      <w:r>
        <w:t xml:space="preserve"> </w:t>
      </w:r>
      <w:r>
        <w:rPr>
          <w:b/>
          <w:bCs/>
        </w:rPr>
        <w:t xml:space="preserve">atypical variation</w:t>
      </w:r>
      <w:r>
        <w:t xml:space="preserve"> </w:t>
      </w:r>
      <w:r>
        <w:t xml:space="preserve">condition featured phonologically altered word forms unattested in English CDS. Looking-time measures were used to assess children’s word-recognition accuracy, and pupil size synchrony measures</w:t>
      </w:r>
      <w:r>
        <w:t xml:space="preserve"> </w:t>
      </w:r>
      <w:r>
        <w:t xml:space="preserve">(</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7" w:name="hypotheses"/>
    <w:p>
      <w:pPr>
        <w:pStyle w:val="Heading3"/>
      </w:pPr>
      <w:r>
        <w:t xml:space="preserve">1.3.1 Hypotheses</w:t>
      </w:r>
    </w:p>
    <w:p>
      <w:pPr>
        <w:pStyle w:val="FirstParagraph"/>
      </w:pPr>
      <w:r>
        <w:t xml:space="preserve">For the effects of condition and age on children’s novel word-recognition accuracy, we pre-registered the following predictions:</w:t>
      </w:r>
    </w:p>
    <w:p>
      <w:pPr>
        <w:numPr>
          <w:ilvl w:val="0"/>
          <w:numId w:val="1001"/>
        </w:numPr>
      </w:pPr>
      <w:r>
        <w:t xml:space="preserve">In line with the vast majority of prior word learning studies conducted to date, which overwhelmingly test children’s recognition of one-to-one mappings, we hypothesized that children would demonstrate above-chance word-recognition accuracy in the</w:t>
      </w:r>
      <w:r>
        <w:t xml:space="preserve"> </w:t>
      </w:r>
      <w:r>
        <w:rPr>
          <w:i/>
          <w:iCs/>
        </w:rPr>
        <w:t xml:space="preserve">consistent</w:t>
      </w:r>
      <w:r>
        <w:t xml:space="preserve"> </w:t>
      </w:r>
      <w:r>
        <w:t xml:space="preserve">condition.</w:t>
      </w:r>
    </w:p>
    <w:p>
      <w:pPr>
        <w:numPr>
          <w:ilvl w:val="0"/>
          <w:numId w:val="1001"/>
        </w:numPr>
      </w:pPr>
      <w:r>
        <w:t xml:space="preserve">The key condition of interest was the</w:t>
      </w:r>
      <w:r>
        <w:t xml:space="preserve"> </w:t>
      </w:r>
      <w:r>
        <w:rPr>
          <w:i/>
          <w:i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numPr>
          <w:ilvl w:val="0"/>
          <w:numId w:val="1001"/>
        </w:numPr>
      </w:pPr>
      <w:r>
        <w:t xml:space="preserve">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w:t>
      </w:r>
    </w:p>
    <w:p>
      <w:pPr>
        <w:numPr>
          <w:ilvl w:val="0"/>
          <w:numId w:val="1001"/>
        </w:numPr>
      </w:pPr>
      <w:r>
        <w:t xml:space="preserve">We also predicted that word-recognition accuracy would increase across age.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7"/>
    <w:bookmarkEnd w:id="38"/>
    <w:bookmarkEnd w:id="39"/>
    <w:bookmarkStart w:id="46" w:name="method-1167-words"/>
    <w:p>
      <w:pPr>
        <w:pStyle w:val="Heading1"/>
      </w:pPr>
      <w:r>
        <w:t xml:space="preserve">2. Method (1,167 words)</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40" w:name="participants"/>
    <w:p>
      <w:pPr>
        <w:pStyle w:val="Heading2"/>
      </w:pPr>
      <w:r>
        <w:t xml:space="preserve">2.1 Participants</w:t>
      </w:r>
    </w:p>
    <w:p>
      <w:pPr>
        <w:pStyle w:val="FirstParagraph"/>
      </w:pPr>
      <w:r>
        <w:t xml:space="preserve">Participants (</w:t>
      </w:r>
      <w:r>
        <w:rPr>
          <w:i/>
          <w:iCs/>
        </w:rPr>
        <w:t xml:space="preserve">N</w:t>
      </w:r>
      <w:r>
        <w:t xml:space="preserve">=58 total, 28 female, 30 male), aged 18 to 36 months (</w:t>
      </w:r>
      <w:r>
        <w:rPr>
          <w:i/>
          <w:iCs/>
        </w:rPr>
        <w:t xml:space="preserve">M</w:t>
      </w:r>
      <w:r>
        <w:rPr>
          <w:vertAlign w:val="subscript"/>
        </w:rPr>
        <w:t xml:space="preserve">age</w:t>
      </w:r>
      <w:r>
        <w:t xml:space="preserve">=28.08 months), were full-term, monolingual English-hearing children (&gt;80% exposure) with no known hearing, vision, language, and/or developmental delays and were recruited from a volunteer database of local families. Caregivers reported race/ethnicity information for their children in an open-ended format. Participants were primarily Non-Latinx white (</w:t>
      </w:r>
      <w:r>
        <w:rPr>
          <w:i/>
          <w:iCs/>
        </w:rPr>
        <w:t xml:space="preserve">N</w:t>
      </w:r>
      <w:r>
        <w:t xml:space="preserve">=27, 46.55%) with some representation of other races/ethnicities: Mixed race (</w:t>
      </w:r>
      <w:r>
        <w:rPr>
          <w:i/>
          <w:iCs/>
        </w:rPr>
        <w:t xml:space="preserve">N</w:t>
      </w:r>
      <w:r>
        <w:t xml:space="preserve">=12, 20.69%), Asian (</w:t>
      </w:r>
      <w:r>
        <w:rPr>
          <w:i/>
          <w:iCs/>
        </w:rPr>
        <w:t xml:space="preserve">N</w:t>
      </w:r>
      <w:r>
        <w:t xml:space="preserve">=5, 8.62%), Black (</w:t>
      </w:r>
      <w:r>
        <w:rPr>
          <w:i/>
          <w:iCs/>
        </w:rPr>
        <w:t xml:space="preserve">N</w:t>
      </w:r>
      <w:r>
        <w:t xml:space="preserve">=2, 3.45%), Latinx white (</w:t>
      </w:r>
      <w:r>
        <w:rPr>
          <w:i/>
          <w:iCs/>
        </w:rPr>
        <w:t xml:space="preserve">N</w:t>
      </w:r>
      <w:r>
        <w:t xml:space="preserve">=1, 1.72%), Not reported (</w:t>
      </w:r>
      <w:r>
        <w:rPr>
          <w:i/>
          <w:iCs/>
        </w:rPr>
        <w:t xml:space="preserve">N</w:t>
      </w:r>
      <w:r>
        <w:t xml:space="preserve">=11, 18.97%).</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=9), significant interruption by a family member (</w:t>
      </w:r>
      <w:r>
        <w:rPr>
          <w:i/>
          <w:iCs/>
        </w:rPr>
        <w:t xml:space="preserve">N</w:t>
      </w:r>
      <w:r>
        <w:t xml:space="preserve">=4), contribution of too few usable trials based on pre-registered criteria due to fussiness or inattention (</w:t>
      </w:r>
      <w:r>
        <w:rPr>
          <w:i/>
          <w:iCs/>
        </w:rPr>
        <w:t xml:space="preserve">N</w:t>
      </w:r>
      <w:r>
        <w:t xml:space="preserve">=18), or failure to meet the language requirement (</w:t>
      </w:r>
      <w:r>
        <w:rPr>
          <w:i/>
          <w:iCs/>
        </w:rPr>
        <w:t xml:space="preserve">N</w:t>
      </w:r>
      <w:r>
        <w:t xml:space="preserve">=1).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40"/>
    <w:bookmarkStart w:id="42" w:name="stimuli"/>
    <w:p>
      <w:pPr>
        <w:pStyle w:val="Heading2"/>
      </w:pPr>
      <w:r>
        <w:t xml:space="preserve">2.2 Stimuli</w:t>
      </w:r>
    </w:p>
    <w:p>
      <w:pPr>
        <w:pStyle w:val="FirstParagraph"/>
      </w:pPr>
      <w:r>
        <w:t xml:space="preserve">Auditory stimuli were recorded by a female native English speaker using naturalistic child-directed prosody. Each target word (see</w:t>
      </w:r>
      <w:r>
        <w:t xml:space="preserve"> </w:t>
      </w:r>
      <w:r>
        <w:rPr>
          <w:b/>
          <w:bCs/>
        </w:rPr>
        <w:t xml:space="preserve">Table 1</w:t>
      </w:r>
      <w:r>
        <w:t xml:space="preserve">) appeared in four sentence frames for exposure trials (</w:t>
      </w:r>
      <w:r>
        <w:t xml:space="preserve">“</w:t>
      </w:r>
      <w:r>
        <w:t xml:space="preserve">Look, _____! That’s a _____. Do you see the ______? Yes, that’s a ______.</w:t>
      </w:r>
      <w:r>
        <w:t xml:space="preserve">”</w:t>
      </w:r>
      <w:r>
        <w:t xml:space="preserve">) and in two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rPr>
          <w:rStyle w:val="FootnoteReference"/>
        </w:rPr>
        <w:footnoteReference w:id="41"/>
      </w:r>
      <w:r>
        <w:t xml:space="preserve">. Exposure trials were 14,131ms long, on average (range=14,094–14,150ms), including 2,000ms silent periods between sentences. Test trials were all 4,966ms long, with target word durations ranging from 613 to 634ms (</w:t>
      </w:r>
      <w:r>
        <w:rPr>
          <w:i/>
          <w:iCs/>
        </w:rPr>
        <w:t xml:space="preserve">M</w:t>
      </w:r>
      <w:r>
        <w:t xml:space="preserve">=624ms), and including 2,000ms of silence between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w:t>
      </w:r>
      <w:r>
        <w:br/>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br/>
      </w:r>
    </w:p>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42"/>
    <w:bookmarkStart w:id="43"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opaque sunglasses to prevent them from influencing their children’s behavior.</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(mean=500ms, range=250–750ms) or when the participant looked at the screen. During each exposure trial, a single target object appeared silently on the screen for 1,500ms or until the participant looked at the screen. Then, the exposure audio played. After the offset of the audio, the target object remained on the screen for an additional 1,500ms.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After the offset of the audio, the side-by-side objects remained on the screen for an additional 2,000ms.</w:t>
      </w:r>
    </w:p>
    <w:bookmarkEnd w:id="43"/>
    <w:bookmarkStart w:id="44"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b/>
          <w:bCs/>
        </w:rPr>
        <w:t xml:space="preserve">consistent</w:t>
      </w:r>
      <w:r>
        <w:t xml:space="preserve"> </w:t>
      </w:r>
      <w:r>
        <w:t xml:space="preserve">condition, participants heard the standard form of the target word repeated 5x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tanzer</w:t>
      </w:r>
      <w:r>
        <w:t xml:space="preserve">…</w:t>
      </w:r>
      <w:r>
        <w:rPr>
          <w:i/>
          <w:iCs/>
        </w:rPr>
        <w:t xml:space="preserve">tanzer</w:t>
      </w:r>
      <w:r>
        <w:t xml:space="preserve">. Do you see the</w:t>
      </w:r>
      <w:r>
        <w:t xml:space="preserve"> </w:t>
      </w:r>
      <w:r>
        <w:rPr>
          <w:i/>
          <w:iCs/>
        </w:rPr>
        <w:t xml:space="preserve">tanzer</w:t>
      </w:r>
      <w:r>
        <w:t xml:space="preserve">? Yes, that’s a</w:t>
      </w:r>
      <w:r>
        <w:t xml:space="preserve"> </w:t>
      </w:r>
      <w:r>
        <w:rPr>
          <w:i/>
          <w:iCs/>
        </w:rPr>
        <w:t xml:space="preserve">tanzer</w:t>
      </w:r>
      <w:r>
        <w:t xml:space="preserve">.</w:t>
      </w:r>
      <w:r>
        <w:t xml:space="preserve">”</w:t>
      </w:r>
      <w:r>
        <w:t xml:space="preserve">). In the</w:t>
      </w:r>
      <w:r>
        <w:t xml:space="preserve"> </w:t>
      </w:r>
      <w:r>
        <w:rPr>
          <w:b/>
          <w:b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tan-tan</w:t>
      </w:r>
      <w:r>
        <w:t xml:space="preserve">. Do you see the</w:t>
      </w:r>
      <w:r>
        <w:t xml:space="preserve"> </w:t>
      </w:r>
      <w:r>
        <w:rPr>
          <w:i/>
          <w:iCs/>
        </w:rPr>
        <w:t xml:space="preserve">tanny</w:t>
      </w:r>
      <w:r>
        <w:t xml:space="preserve">? Yes, that’s a</w:t>
      </w:r>
      <w:r>
        <w:t xml:space="preserve"> </w:t>
      </w:r>
      <w:r>
        <w:rPr>
          <w:i/>
          <w:iCs/>
        </w:rPr>
        <w:t xml:space="preserve">tanzer</w:t>
      </w:r>
      <w:r>
        <w:t xml:space="preserve">.</w:t>
      </w:r>
      <w:r>
        <w:t xml:space="preserve">”</w:t>
      </w:r>
      <w:r>
        <w:t xml:space="preserve">). Critically, the number of exposures to the first syllable of the target word (i.e.,</w:t>
      </w:r>
      <w:r>
        <w:t xml:space="preserve"> </w:t>
      </w:r>
      <w:r>
        <w:rPr>
          <w:i/>
          <w:iCs/>
        </w:rPr>
        <w:t xml:space="preserve">tan</w:t>
      </w:r>
      <w:r>
        <w:t xml:space="preserve">) was equivalent across these two conditions. In the</w:t>
      </w:r>
      <w:r>
        <w:t xml:space="preserve"> </w:t>
      </w:r>
      <w:r>
        <w:rPr>
          <w:b/>
          <w:b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zer-zer</w:t>
      </w:r>
      <w:r>
        <w:t xml:space="preserve">. Do you see the</w:t>
      </w:r>
      <w:r>
        <w:t xml:space="preserve"> </w:t>
      </w:r>
      <w:r>
        <w:rPr>
          <w:i/>
          <w:iCs/>
        </w:rPr>
        <w:t xml:space="preserve">y-zer</w:t>
      </w:r>
      <w:r>
        <w:t xml:space="preserve">? Yes, that’s a</w:t>
      </w:r>
      <w:r>
        <w:t xml:space="preserve"> </w:t>
      </w:r>
      <w:r>
        <w:rPr>
          <w:i/>
          <w:iCs/>
        </w:rPr>
        <w:t xml:space="preserve">tanzer</w:t>
      </w:r>
      <w:r>
        <w:t xml:space="preserve">.</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4"/>
    <w:bookmarkStart w:id="45"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w:t>
      </w:r>
      <w:r>
        <w:t xml:space="preserve"> </w:t>
      </w:r>
      <w:r>
        <w:t xml:space="preserve">(consistent with</w:t>
      </w:r>
      <w:r>
        <w:t xml:space="preserve"> </w:t>
      </w:r>
      <w:hyperlink w:anchor="ref-ota2016reduplicated">
        <w:r>
          <w:rPr>
            <w:rStyle w:val="Hyperlink"/>
          </w:rPr>
          <w:t xml:space="preserve">Ota &amp; Skarabela, 2016</w:t>
        </w:r>
      </w:hyperlink>
      <w:r>
        <w:t xml:space="preserve">)</w:t>
      </w:r>
      <w:r>
        <w:t xml:space="preserve">. We calculated participants’ proportion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100ms</w:t>
      </w:r>
      <w:r>
        <w:t xml:space="preserve"> </w:t>
      </w:r>
      <w:r>
        <w:t xml:space="preserve">(</w:t>
      </w:r>
      <w:hyperlink w:anchor="ref-stinepack">
        <w:r>
          <w:rPr>
            <w:rStyle w:val="Hyperlink"/>
          </w:rPr>
          <w:t xml:space="preserve">Johannesson et al., 2009</w:t>
        </w:r>
      </w:hyperlink>
      <w:r>
        <w:t xml:space="preserve">)</w:t>
      </w:r>
      <w:r>
        <w:t xml:space="preserve">. Finally, we excluded exposure sentences where more than 50% of a participant’s pupil size data was missing (e.g., due to the child looking away from the screen or technical error).</w:t>
      </w:r>
    </w:p>
    <w:bookmarkEnd w:id="45"/>
    <w:bookmarkEnd w:id="46"/>
    <w:bookmarkStart w:id="57" w:name="results-881-words"/>
    <w:p>
      <w:pPr>
        <w:pStyle w:val="Heading1"/>
      </w:pPr>
      <w:r>
        <w:t xml:space="preserve">3. Results (881 words)</w:t>
      </w:r>
    </w:p>
    <w:bookmarkStart w:id="52" w:name="X81d3246c4b93329a5d0d8f2a794f9a185512a61"/>
    <w:p>
      <w:pPr>
        <w:pStyle w:val="Heading2"/>
      </w:pPr>
      <w:r>
        <w:t xml:space="preserve">3.1 Word recognition measured by gaze behavior</w:t>
      </w:r>
    </w:p>
    <w:p>
      <w:pPr>
        <w:pStyle w:val="FirstParagraph"/>
      </w:pPr>
      <w:r>
        <w:t xml:space="preserve">Our primary analysis examined whether children successfully learned novel-word object mappings across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mixed-effects zero-one inflated beta regression models</w:t>
      </w:r>
      <w:r>
        <w:rPr>
          <w:rStyle w:val="FootnoteReference"/>
        </w:rPr>
        <w:footnoteReference w:id="47"/>
      </w:r>
      <w:r>
        <w:t xml:space="preserve"> </w:t>
      </w:r>
      <w:r>
        <w:t xml:space="preserve">to examine the effects of condition and age on children’s novel word-recognition accuracy (i.e., proportion looking to the target object). Models included fixed effects for condition (atypical variation vs. consistent vs. typical variation) and mean-centered age</w:t>
      </w:r>
      <w:r>
        <w:rPr>
          <w:rStyle w:val="FootnoteReference"/>
        </w:rPr>
        <w:footnoteReference w:id="48"/>
      </w:r>
      <w:r>
        <w:t xml:space="preserv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Children’s performance was reliably above chance overall and in both critical windows across all conditions, with one exception: in the first critical window for the atypical variation condition, where children’s looking behavior was at chance level (</w:t>
      </w:r>
      <w:r>
        <w:rPr>
          <w:i/>
          <w:iCs/>
        </w:rPr>
        <w:t xml:space="preserve">M</w:t>
      </w:r>
      <w:r>
        <w:t xml:space="preserve">=0.54, 89% CrI [0.48, 0.60]). Across both critical windows, model-predicted accuracy was highest in the typical variation condition (</w:t>
      </w:r>
      <w:r>
        <w:rPr>
          <w:i/>
          <w:iCs/>
        </w:rPr>
        <w:t xml:space="preserve">M</w:t>
      </w:r>
      <w:r>
        <w:t xml:space="preserve">=0.62, 89% CrI [0.57, 0.67]), followed by the consistent condition (</w:t>
      </w:r>
      <w:r>
        <w:rPr>
          <w:i/>
          <w:iCs/>
        </w:rPr>
        <w:t xml:space="preserve">M</w:t>
      </w:r>
      <w:r>
        <w:t xml:space="preserve">=0.57, 89% CrI [0.52, 0.63]), and lowest in the atypical variation condition (</w:t>
      </w:r>
      <w:r>
        <w:rPr>
          <w:i/>
          <w:iCs/>
        </w:rPr>
        <w:t xml:space="preserve">M</w:t>
      </w:r>
      <w:r>
        <w:t xml:space="preserve">=0.56,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50" name="Picture"/>
            <a:graphic>
              <a:graphicData uri="http://schemas.openxmlformats.org/drawingml/2006/picture">
                <pic:pic>
                  <pic:nvPicPr>
                    <pic:cNvPr descr="Figure1.png" id="51" name="Picture"/>
                    <pic:cNvPicPr>
                      <a:picLocks noChangeArrowheads="1" noChangeAspect="1"/>
                    </pic:cNvPicPr>
                  </pic:nvPicPr>
                  <pic:blipFill>
                    <a:blip r:embed="rId49"/>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=0.07, 89% CrI: [-0.19, 0.32]) and the consistent condition (</w:t>
      </w:r>
      <w:r>
        <w:rPr>
          <w:i/>
          <w:iCs/>
        </w:rPr>
        <w:t xml:space="preserve">β</w:t>
      </w:r>
      <w:r>
        <w:t xml:space="preserve">=0.18,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=0.08, 89% CrI: [-0.03, 0.19]).</w:t>
      </w:r>
    </w:p>
    <w:p>
      <w:pPr>
        <w:pStyle w:val="BodyText"/>
      </w:pPr>
      <w:r>
        <w:t xml:space="preserve">The conditional one-inflation (coi) component, which estimates, among boundary values, the probability of being 1 (vs. 0), also showed similar trends for the effect of condition. Participants were more likely to respond at ceiling for both the typical variation condition (</w:t>
      </w:r>
      <w:r>
        <w:rPr>
          <w:i/>
          <w:iCs/>
        </w:rPr>
        <w:t xml:space="preserve">β</w:t>
      </w:r>
      <w:r>
        <w:t xml:space="preserve">=0.06, 89% CrI: [-0.36, 0.48]) and consistent condition (</w:t>
      </w:r>
      <w:r>
        <w:rPr>
          <w:i/>
          <w:iCs/>
        </w:rPr>
        <w:t xml:space="preserve">β</w:t>
      </w:r>
      <w:r>
        <w:t xml:space="preserve">=0.33, 89% CrI: [-0.11, 0.78]), relative to the atypical variation condition. While these condition effects remain uncertain given the credible interval overlap with zero, their alignment with the</w:t>
      </w:r>
      <w:r>
        <w:t xml:space="preserve"> </w:t>
      </w:r>
      <m:oMath>
        <m:r>
          <m:t>μ</m:t>
        </m:r>
      </m:oMath>
      <w:r>
        <w:t xml:space="preserve"> </w:t>
      </w:r>
      <w:r>
        <w:t xml:space="preserve">component estimates, suggests additional evidence for an advantage of both typical variation and consistency over atypical variation. The effect of age was clearly positive (</w:t>
      </w:r>
      <w:r>
        <w:rPr>
          <w:i/>
          <w:iCs/>
        </w:rPr>
        <w:t xml:space="preserve">β</w:t>
      </w:r>
      <w:r>
        <w:t xml:space="preserve">=0.34, 89% CrI: [0.15, 0.53]), indicating that older children were more likely to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300–2,000ms following each target word onset. The μ component models the predicted accuracy (i.e., proportion looking to the target object) for non-boundary values (values between but not including 0 or 1). The zoi (zero-one inflation) component models the likelihood of accuracy being a boundary value—floor (0) or ceiling (1). The coi (conditional-one inflation) component models the probability of ceiling responses (1s) among boundary values.</w:t>
      </w:r>
    </w:p>
    <w:p>
      <w:pPr>
        <w:pStyle w:val="BodyText"/>
      </w:pPr>
      <w:r>
        <w:t xml:space="preserve"> </w:t>
      </w:r>
    </w:p>
    <w:bookmarkEnd w:id="52"/>
    <w:bookmarkStart w:id="56" w:name="X766ac349de9df7b6c7c4b96c9a4fd67a2087b79"/>
    <w:p>
      <w:pPr>
        <w:pStyle w:val="Heading2"/>
      </w:pPr>
      <w:r>
        <w:t xml:space="preserve">3.2 Moment-by-moment attention measured by pupil size synchrony</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246)=26.66,</w:t>
      </w:r>
      <w:r>
        <w:t xml:space="preserve"> </w:t>
      </w:r>
      <w:r>
        <w:rPr>
          <w:i/>
          <w:iCs/>
        </w:rPr>
        <w:t xml:space="preserve">p</w:t>
      </w:r>
      <w:r>
        <w:t xml:space="preserve">&lt;0.001]. Follow-up pairwise comparisons using Tukey’s HSD correction indicated that there were statistically significant differences between all condition pairs. Pupil size synchrony was higher in the atypical variation condition (ΔM=0.20,</w:t>
      </w:r>
      <w:r>
        <w:t xml:space="preserve"> </w:t>
      </w:r>
      <w:r>
        <w:rPr>
          <w:i/>
          <w:iCs/>
        </w:rPr>
        <w:t xml:space="preserve">p</w:t>
      </w:r>
      <w:r>
        <w:t xml:space="preserve">=0.006, Cohen’s</w:t>
      </w:r>
      <w:r>
        <w:t xml:space="preserve"> </w:t>
      </w:r>
      <w:r>
        <w:rPr>
          <w:i/>
          <w:iCs/>
        </w:rPr>
        <w:t xml:space="preserve">d</w:t>
      </w:r>
      <w:r>
        <w:t xml:space="preserve">=0.45) and the typical variation condition (ΔM=0.47,</w:t>
      </w:r>
      <w:r>
        <w:t xml:space="preserve"> </w:t>
      </w:r>
      <w:r>
        <w:rPr>
          <w:i/>
          <w:iCs/>
        </w:rPr>
        <w:t xml:space="preserve">p</w:t>
      </w:r>
      <w:r>
        <w:t xml:space="preserve">&lt;0.001, Cohen’s</w:t>
      </w:r>
      <w:r>
        <w:t xml:space="preserve"> </w:t>
      </w:r>
      <w:r>
        <w:rPr>
          <w:i/>
          <w:iCs/>
        </w:rPr>
        <w:t xml:space="preserve">d</w:t>
      </w:r>
      <w:r>
        <w:t xml:space="preserve">=1.07), relative to the consistent condition. Pupil size synchrony was higher in the typical variation condition relative to the atypical variation condition (ΔM=0.27,</w:t>
      </w:r>
      <w:r>
        <w:t xml:space="preserve"> </w:t>
      </w:r>
      <w:r>
        <w:rPr>
          <w:i/>
          <w:iCs/>
        </w:rPr>
        <w:t xml:space="preserve">p</w:t>
      </w:r>
      <w:r>
        <w:t xml:space="preserve">&lt;0.001, Cohen’s</w:t>
      </w:r>
      <w:r>
        <w:t xml:space="preserve"> </w:t>
      </w:r>
      <w:r>
        <w:rPr>
          <w:i/>
          <w:iCs/>
        </w:rPr>
        <w:t xml:space="preserve">d</w:t>
      </w:r>
      <w:r>
        <w:t xml:space="preserve">=0.62).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54" name="Picture"/>
            <a:graphic>
              <a:graphicData uri="http://schemas.openxmlformats.org/drawingml/2006/picture">
                <pic:pic>
                  <pic:nvPicPr>
                    <pic:cNvPr descr="Figure2.png" id="55" name="Picture"/>
                    <pic:cNvPicPr>
                      <a:picLocks noChangeArrowheads="1" noChangeAspect="1"/>
                    </pic:cNvPicPr>
                  </pic:nvPicPr>
                  <pic:blipFill>
                    <a:blip r:embed="rId53"/>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p>
      <w:pPr>
        <w:pStyle w:val="BodyText"/>
      </w:pPr>
      <w:r>
        <w:t xml:space="preserve">To understand if toddlers’ moment-to-moment engagement with consistent versus variable labels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condition-by-synchrony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(ΔELPD=-1.91,</w:t>
      </w:r>
      <w:r>
        <w:t xml:space="preserve"> </w:t>
      </w:r>
      <w:r>
        <w:rPr>
          <w:i/>
          <w:iCs/>
        </w:rPr>
        <w:t xml:space="preserve">SE</w:t>
      </w:r>
      <w:r>
        <w:t xml:space="preserve">=1.05),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=0.29, 89% CrI [-0.12, 0.74]).</w:t>
      </w:r>
    </w:p>
    <w:bookmarkEnd w:id="56"/>
    <w:bookmarkEnd w:id="57"/>
    <w:bookmarkStart w:id="58" w:name="discussion-711-words"/>
    <w:p>
      <w:pPr>
        <w:pStyle w:val="Heading1"/>
      </w:pPr>
      <w:r>
        <w:t xml:space="preserve">4. Discussion (711 words)</w:t>
      </w:r>
    </w:p>
    <w:p>
      <w:pPr>
        <w:pStyle w:val="FirstParagraph"/>
      </w:pPr>
      <w:r>
        <w:t xml:space="preserve">We tested how consistent versus variable labels impact English-hearing toddlers’ learning of novel-word object mappings. Specifically, we examined whether 18- to 36-month-olds 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study to date to directly manipulate children’s exposure to label variation during a lab-based novel word learning task. Building on prior naturalistic corpus analyses of CDS variant use</w:t>
      </w:r>
      <w:r>
        <w:t xml:space="preserve"> </w:t>
      </w:r>
      <w:r>
        <w:t xml:space="preserve">(</w:t>
      </w:r>
      <w:hyperlink w:anchor="ref-caseyIPcorpus">
        <w:r>
          <w:rPr>
            <w:rStyle w:val="Hyperlink"/>
          </w:rPr>
          <w:t xml:space="preserve">Casey et al., in preparation</w:t>
        </w:r>
      </w:hyperlink>
      <w:r>
        <w:t xml:space="preserve">; 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w:t>
      </w:r>
      <w:r>
        <w:t xml:space="preserve"> </w:t>
      </w:r>
      <w:r>
        <w:rPr>
          <w:i/>
          <w:iCs/>
        </w:rPr>
        <w:t xml:space="preserve">causal</w:t>
      </w:r>
      <w:r>
        <w:t xml:space="preserve"> </w:t>
      </w:r>
      <w:r>
        <w:t xml:space="preserve">impact of hearing multiple label variants on children’s learning of new words.</w:t>
      </w:r>
    </w:p>
    <w:p>
      <w:pPr>
        <w:pStyle w:val="BodyText"/>
      </w:pPr>
      <w:r>
        <w:t xml:space="preserve">As expected, children performed above chance in the consistent condition, replicating decades of findings that children can learn novel one-to-one mappings from a brief exposure phase. The primary goal of this study was to determine how children contend with two different types of label variation. In the atypical variation condition, word-recognition accuracy was weakest, with chance-level performance in the first critical window as hypothesized, and above-chance performance following the second label. In the typical variation condition, word-recognition accuracy was numerically highest. Although our models indicated some uncertainty around the magnitude of this advantage, this pattern suggests that toddlers were not only able to contend with but may have benefited from hearing familiar types of label variation.</w:t>
      </w:r>
    </w:p>
    <w:p>
      <w:pPr>
        <w:pStyle w:val="BodyText"/>
      </w:pPr>
      <w:r>
        <w:t xml:space="preserve">By the second instance of hearing the target label</w:t>
      </w:r>
      <w:r>
        <w:t xml:space="preserve"> </w:t>
      </w:r>
      <w:r>
        <w:t xml:space="preserve">(cf.</w:t>
      </w:r>
      <w:r>
        <w:t xml:space="preserve"> </w:t>
      </w:r>
      <w:hyperlink w:anchor="ref-ota2016reduplicated">
        <w:r>
          <w:rPr>
            <w:rStyle w:val="Hyperlink"/>
          </w:rPr>
          <w:t xml:space="preserve">Ota &amp; Skarabela, 2016</w:t>
        </w:r>
      </w:hyperlink>
      <w:r>
        <w:t xml:space="preserve">)</w:t>
      </w:r>
      <w:r>
        <w:t xml:space="preserve">, children reliably recognized the novel word-object mappings in all conditions, suggesting that toddlers succeeded in learning words from both consistent and variable labels. It is important to acknowledge, however, that our current findings cannot tell us</w:t>
      </w:r>
      <w:r>
        <w:t xml:space="preserve"> </w:t>
      </w:r>
      <w:r>
        <w:rPr>
          <w:i/>
          <w:iCs/>
        </w:rPr>
        <w:t xml:space="preserve">why</w:t>
      </w:r>
      <w:r>
        <w:t xml:space="preserve"> </w:t>
      </w:r>
      <w:r>
        <w:t xml:space="preserve">children successfully learned from all types of input. One possibility is that exposure to four repetitions of the standard word form was sufficient, regardless of the surrounding variants. Children may have</w:t>
      </w:r>
      <w:r>
        <w:t xml:space="preserve"> </w:t>
      </w:r>
      <w:r>
        <w:t xml:space="preserve">“</w:t>
      </w:r>
      <w:r>
        <w:t xml:space="preserve">filtered out</w:t>
      </w:r>
      <w:r>
        <w:t xml:space="preserve">”</w:t>
      </w:r>
      <w:r>
        <w:t xml:space="preserve"> </w:t>
      </w:r>
      <w:r>
        <w:t xml:space="preserve">(cf.</w:t>
      </w:r>
      <w:r>
        <w:t xml:space="preserve"> </w:t>
      </w:r>
      <w:hyperlink w:anchor="ref-potter2019infants">
        <w:r>
          <w:rPr>
            <w:rStyle w:val="Hyperlink"/>
          </w:rPr>
          <w:t xml:space="preserve">Potter &amp; Lew-Williams, 2019</w:t>
        </w:r>
      </w:hyperlink>
      <w:r>
        <w:t xml:space="preserve">)</w:t>
      </w:r>
      <w:r>
        <w:t xml:space="preserve"> </w:t>
      </w:r>
      <w:r>
        <w:t xml:space="preserve">atypical or unfamiliar forms, focusing on the consistent standard repetitions. This explanation is plausible in the context of this short in-lab experiment but contrasts with naturalistic evidence that CDS variants are common in children’s early productive vocabularies</w:t>
      </w:r>
      <w:r>
        <w:t xml:space="preserve"> </w:t>
      </w:r>
      <w:r>
        <w:t xml:space="preserve">(e.g.,</w:t>
      </w:r>
      <w:r>
        <w:t xml:space="preserve"> </w:t>
      </w:r>
      <w:hyperlink w:anchor="ref-frank2021variability">
        <w:r>
          <w:rPr>
            <w:rStyle w:val="Hyperlink"/>
          </w:rPr>
          <w:t xml:space="preserve">Frank et al., 2021</w:t>
        </w:r>
      </w:hyperlink>
      <w:r>
        <w:t xml:space="preserve">;</w:t>
      </w:r>
      <w:r>
        <w:t xml:space="preserve"> </w:t>
      </w:r>
      <w:hyperlink w:anchor="ref-laing2019role">
        <w:r>
          <w:rPr>
            <w:rStyle w:val="Hyperlink"/>
          </w:rPr>
          <w:t xml:space="preserve">C. Laing, 2019</w:t>
        </w:r>
      </w:hyperlink>
      <w:r>
        <w:t xml:space="preserve">;</w:t>
      </w:r>
      <w:r>
        <w:t xml:space="preserve"> </w:t>
      </w:r>
      <w:hyperlink w:anchor="ref-tardif2008baby">
        <w:r>
          <w:rPr>
            <w:rStyle w:val="Hyperlink"/>
          </w:rPr>
          <w:t xml:space="preserve">Tardif et al., 2008</w:t>
        </w:r>
      </w:hyperlink>
      <w:r>
        <w:t xml:space="preserve">)</w:t>
      </w:r>
      <w:r>
        <w:t xml:space="preserve"> </w:t>
      </w:r>
      <w:r>
        <w:t xml:space="preserve">and are used more often than standard adult word forms in the first years of life</w:t>
      </w:r>
      <w:r>
        <w:t xml:space="preserve"> </w:t>
      </w:r>
      <w:r>
        <w:t xml:space="preserve">(</w:t>
      </w:r>
      <w:hyperlink w:anchor="ref-casey2022doggy">
        <w:r>
          <w:rPr>
            <w:rStyle w:val="Hyperlink"/>
          </w:rPr>
          <w:t xml:space="preserve">Casey &amp; Casillas, 2022</w:t>
        </w:r>
      </w:hyperlink>
      <w:r>
        <w:t xml:space="preserve">)</w:t>
      </w:r>
      <w:r>
        <w:t xml:space="preserve">. Because it was not feasible for us to also evaluate children’s recognition of typical and atypical variants in the test phase given the length of the task, we cannot determine what children encoded about the label variants and how this information affected their word-recognition accuracy. Future work might further examine causal effects of exposure to label variants, such as improved long-term retention of word-object mappings</w:t>
      </w:r>
      <w:r>
        <w:t xml:space="preserve"> </w:t>
      </w:r>
      <w:r>
        <w:t xml:space="preserve">(cf.</w:t>
      </w:r>
      <w:r>
        <w:t xml:space="preserve"> </w:t>
      </w:r>
      <w:hyperlink w:anchor="ref-vlach2019learning">
        <w:r>
          <w:rPr>
            <w:rStyle w:val="Hyperlink"/>
          </w:rPr>
          <w:t xml:space="preserve">Vlach, 2019</w:t>
        </w:r>
      </w:hyperlink>
      <w:r>
        <w:t xml:space="preserve">)</w:t>
      </w:r>
      <w:r>
        <w:t xml:space="preserve"> </w:t>
      </w:r>
      <w:r>
        <w:t xml:space="preserve">or better generalization to new label variants</w:t>
      </w:r>
      <w:r>
        <w:t xml:space="preserve"> </w:t>
      </w:r>
      <w:r>
        <w:t xml:space="preserve">(cf.</w:t>
      </w:r>
      <w:r>
        <w:t xml:space="preserve"> </w:t>
      </w:r>
      <w:hyperlink w:anchor="ref-regier2005emergence">
        <w:r>
          <w:rPr>
            <w:rStyle w:val="Hyperlink"/>
          </w:rPr>
          <w:t xml:space="preserve">Regier, 2005</w:t>
        </w:r>
      </w:hyperlink>
      <w:r>
        <w:t xml:space="preserve">;</w:t>
      </w:r>
      <w:r>
        <w:t xml:space="preserve"> </w:t>
      </w:r>
      <w:hyperlink w:anchor="ref-swingley2016two">
        <w:r>
          <w:rPr>
            <w:rStyle w:val="Hyperlink"/>
          </w:rPr>
          <w:t xml:space="preserve">Swingley, 2016</w:t>
        </w:r>
      </w:hyperlink>
      <w:r>
        <w:t xml:space="preserve">)</w:t>
      </w:r>
      <w:r>
        <w:t xml:space="preserve">.</w:t>
      </w:r>
    </w:p>
    <w:p>
      <w:pPr>
        <w:pStyle w:val="BodyText"/>
      </w:pPr>
      <w:r>
        <w:t xml:space="preserve">Moment-to-moment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the trend toward a positive association in the typical variation condition is consistent with prior findings linking synchrony to learning</w:t>
      </w:r>
      <w:r>
        <w:t xml:space="preserve"> </w:t>
      </w:r>
      <w:r>
        <w:t xml:space="preserve">(</w:t>
      </w:r>
      <w:hyperlink w:anchor="ref-nencheva2021moment">
        <w:r>
          <w:rPr>
            <w:rStyle w:val="Hyperlink"/>
          </w:rPr>
          <w:t xml:space="preserve">Nencheva et al., 2021</w:t>
        </w:r>
      </w:hyperlink>
      <w:r>
        <w:t xml:space="preserve">)</w:t>
      </w:r>
      <w:r>
        <w:t xml:space="preserve">. These findings also fit with prior accounts of a</w:t>
      </w:r>
      <w:r>
        <w:t xml:space="preserve"> </w:t>
      </w:r>
      <w:r>
        <w:t xml:space="preserve">“</w:t>
      </w:r>
      <w:r>
        <w:t xml:space="preserve">goldilocks</w:t>
      </w:r>
      <w:r>
        <w:t xml:space="preserve">”</w:t>
      </w:r>
      <w:r>
        <w:t xml:space="preserve"> </w:t>
      </w:r>
      <w:r>
        <w:t xml:space="preserve">effect in children’s attention</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where a moderate amount of variability—here, variation of the type common in children’s everyday language input—is associated with the highest engagement. Overall, our pupillometry findings point to attentional engagement as a plausible, though not yet definitively established, mechanism by which label variation, particularly of the type that children encounter naturalistically, could facilitate novel word learning over short timescales.</w:t>
      </w:r>
    </w:p>
    <w:p>
      <w:pPr>
        <w:pStyle w:val="BodyText"/>
      </w:pPr>
      <w:r>
        <w:t xml:space="preserve">In sum, this study provides the first experimental evidence that English-hearing toddlers can successfully contend with label variants when learning new words. Typical CDS variants were associated with both greater attentional engagement during learning and numerically higher word-recogniton accuracy, relative to atypical variation and consistent labels. These findings suggest that naturalistic label variation in children’s input is not simply noise and may play a facilitative role in early word learning.</w:t>
      </w:r>
    </w:p>
    <w:bookmarkEnd w:id="58"/>
    <w:bookmarkStart w:id="131" w:name="references"/>
    <w:p>
      <w:pPr>
        <w:pStyle w:val="Heading1"/>
      </w:pPr>
      <w:r>
        <w:t xml:space="preserve">5. References</w:t>
      </w:r>
    </w:p>
    <w:bookmarkStart w:id="130" w:name="refs"/>
    <w:bookmarkStart w:id="60"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9">
        <w:r>
          <w:rPr>
            <w:rStyle w:val="Hyperlink"/>
          </w:rPr>
          <w:t xml:space="preserve">https://doi.org/10.18637/jss.v067.i01</w:t>
        </w:r>
      </w:hyperlink>
    </w:p>
    <w:bookmarkEnd w:id="60"/>
    <w:bookmarkStart w:id="61"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61"/>
    <w:bookmarkStart w:id="62" w:name="ref-braginsky2019consistency"/>
    <w:p>
      <w:pPr>
        <w:pStyle w:val="Bibliography"/>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p>
    <w:bookmarkEnd w:id="62"/>
    <w:bookmarkStart w:id="64"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63">
        <w:r>
          <w:rPr>
            <w:rStyle w:val="Hyperlink"/>
          </w:rPr>
          <w:t xml:space="preserve">https://doi.org/10.32614/RJ-2017-066</w:t>
        </w:r>
      </w:hyperlink>
    </w:p>
    <w:bookmarkEnd w:id="64"/>
    <w:bookmarkStart w:id="65"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5"/>
    <w:bookmarkStart w:id="66"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6"/>
    <w:bookmarkStart w:id="67"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p>
    <w:bookmarkEnd w:id="67"/>
    <w:bookmarkStart w:id="68"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8"/>
    <w:bookmarkStart w:id="69"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9"/>
    <w:bookmarkStart w:id="70" w:name="ref-caseyIPcorpus"/>
    <w:p>
      <w:pPr>
        <w:pStyle w:val="Bibliography"/>
      </w:pPr>
      <w:r>
        <w:t xml:space="preserve">Casey, K., Levitin, A., &amp; Lew-Williams, C. (in preparation).</w:t>
      </w:r>
      <w:r>
        <w:t xml:space="preserve"> </w:t>
      </w:r>
      <w:r>
        <w:rPr>
          <w:i/>
          <w:iCs/>
        </w:rPr>
        <w:t xml:space="preserve">Quantifying the amount and impact of label variation in early word learning environments.</w:t>
      </w:r>
    </w:p>
    <w:bookmarkEnd w:id="70"/>
    <w:bookmarkStart w:id="71"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71"/>
    <w:bookmarkStart w:id="72"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72"/>
    <w:bookmarkStart w:id="73" w:name="ref-deak2001any"/>
    <w:p>
      <w:pPr>
        <w:pStyle w:val="Bibliography"/>
      </w:pPr>
      <w:r>
        <w:t xml:space="preserve">Deak,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p>
    <w:bookmarkEnd w:id="73"/>
    <w:bookmarkStart w:id="74"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74"/>
    <w:bookmarkStart w:id="75"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75"/>
    <w:bookmarkStart w:id="76"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6"/>
    <w:bookmarkStart w:id="77" w:name="ref-frank2021variability"/>
    <w:p>
      <w:pPr>
        <w:pStyle w:val="Bibliography"/>
      </w:pPr>
      <w:r>
        <w:t xml:space="preserve">Frank, M. C., Braginsky, M., Yurovsky, D., &amp; Marchman, V. A. (2021).</w:t>
      </w:r>
      <w:r>
        <w:t xml:space="preserve"> </w:t>
      </w:r>
      <w:r>
        <w:rPr>
          <w:i/>
          <w:iCs/>
        </w:rPr>
        <w:t xml:space="preserve">Variability and consistency in early language learning: The wordbank project</w:t>
      </w:r>
      <w:r>
        <w:t xml:space="preserve">. MIT Press.</w:t>
      </w:r>
    </w:p>
    <w:bookmarkEnd w:id="77"/>
    <w:bookmarkStart w:id="78"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8"/>
    <w:bookmarkStart w:id="79"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9"/>
    <w:bookmarkStart w:id="80"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p>
    <w:bookmarkEnd w:id="80"/>
    <w:bookmarkStart w:id="81" w:name="ref-kempe2001can"/>
    <w:p>
      <w:pPr>
        <w:pStyle w:val="Bibliography"/>
      </w:pPr>
      <w:r>
        <w:t xml:space="preserve">Kempe, V., Brooks, P. J., &amp; Pirott, L. (2001). How can child-directed speech facilitate the acquisition of morphology.</w:t>
      </w:r>
      <w:r>
        <w:t xml:space="preserve"> </w:t>
      </w:r>
      <w:r>
        <w:rPr>
          <w:i/>
          <w:iCs/>
        </w:rPr>
        <w:t xml:space="preserve">Research on Child Language Acquisition: Proceedings of the 8th Conference of the International Association for the Study of Child Language</w:t>
      </w:r>
      <w:r>
        <w:t xml:space="preserve">, 1237–1247.</w:t>
      </w:r>
    </w:p>
    <w:bookmarkEnd w:id="81"/>
    <w:bookmarkStart w:id="82" w:name="ref-kidd2012goldilocks"/>
    <w:p>
      <w:pPr>
        <w:pStyle w:val="Bibliography"/>
      </w:pPr>
      <w:r>
        <w:t xml:space="preserve">Kidd, C., Piantadosi, S. T., &amp; Aslin, R. N. (2012). The goldilocks effect: Human infants allocate attention to visual sequences that are neither too simple nor too complex.</w:t>
      </w:r>
      <w:r>
        <w:t xml:space="preserve"> </w:t>
      </w:r>
      <w:r>
        <w:rPr>
          <w:i/>
          <w:iCs/>
        </w:rPr>
        <w:t xml:space="preserve">PloS One</w:t>
      </w:r>
      <w:r>
        <w:t xml:space="preserve">,</w:t>
      </w:r>
      <w:r>
        <w:t xml:space="preserve"> </w:t>
      </w:r>
      <w:r>
        <w:rPr>
          <w:i/>
          <w:iCs/>
        </w:rPr>
        <w:t xml:space="preserve">7</w:t>
      </w:r>
      <w:r>
        <w:t xml:space="preserve">(5), e36399.</w:t>
      </w:r>
    </w:p>
    <w:bookmarkEnd w:id="82"/>
    <w:bookmarkStart w:id="83" w:name="ref-kidd2014goldilocks"/>
    <w:p>
      <w:pPr>
        <w:pStyle w:val="Bibliography"/>
      </w:pPr>
      <w:r>
        <w:t xml:space="preserve">Kidd, C., Piantadosi, S. T., &amp; Aslin, R. N. (2014). The goldilocks effect in infant auditory attention.</w:t>
      </w:r>
      <w:r>
        <w:t xml:space="preserve"> </w:t>
      </w:r>
      <w:r>
        <w:rPr>
          <w:i/>
          <w:iCs/>
        </w:rPr>
        <w:t xml:space="preserve">Child Development</w:t>
      </w:r>
      <w:r>
        <w:t xml:space="preserve">,</w:t>
      </w:r>
      <w:r>
        <w:t xml:space="preserve"> </w:t>
      </w:r>
      <w:r>
        <w:rPr>
          <w:i/>
          <w:iCs/>
        </w:rPr>
        <w:t xml:space="preserve">85</w:t>
      </w:r>
      <w:r>
        <w:t xml:space="preserve">(5), 1795–1804.</w:t>
      </w:r>
    </w:p>
    <w:bookmarkEnd w:id="83"/>
    <w:bookmarkStart w:id="84" w:name="ref-laing2019role"/>
    <w:p>
      <w:pPr>
        <w:pStyle w:val="Bibliography"/>
      </w:pPr>
      <w:r>
        <w:t xml:space="preserve">Laing, C. (2019). A role for onomatopoeia in early language: Evidence from phonological development.</w:t>
      </w:r>
      <w:r>
        <w:t xml:space="preserve"> </w:t>
      </w:r>
      <w:r>
        <w:rPr>
          <w:i/>
          <w:iCs/>
        </w:rPr>
        <w:t xml:space="preserve">Language and Cognition</w:t>
      </w:r>
      <w:r>
        <w:t xml:space="preserve">,</w:t>
      </w:r>
      <w:r>
        <w:t xml:space="preserve"> </w:t>
      </w:r>
      <w:r>
        <w:rPr>
          <w:i/>
          <w:iCs/>
        </w:rPr>
        <w:t xml:space="preserve">11</w:t>
      </w:r>
      <w:r>
        <w:t xml:space="preserve">(2), 173–187.</w:t>
      </w:r>
    </w:p>
    <w:bookmarkEnd w:id="84"/>
    <w:bookmarkStart w:id="85"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p>
    <w:bookmarkEnd w:id="85"/>
    <w:bookmarkStart w:id="86"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86"/>
    <w:bookmarkStart w:id="87" w:name="ref-manybabies2020quantifying"/>
    <w:p>
      <w:pPr>
        <w:pStyle w:val="Bibliography"/>
      </w:pPr>
      <w:r>
        <w:t xml:space="preserve">ManyBabiesConsortium.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p>
    <w:bookmarkEnd w:id="87"/>
    <w:bookmarkStart w:id="88"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88"/>
    <w:bookmarkStart w:id="89"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89"/>
    <w:bookmarkStart w:id="90"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90"/>
    <w:bookmarkStart w:id="91"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91"/>
    <w:bookmarkStart w:id="92"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92"/>
    <w:bookmarkStart w:id="93"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93"/>
    <w:bookmarkStart w:id="94" w:name="ref-miyazawa2017vowels"/>
    <w:p>
      <w:pPr>
        <w:pStyle w:val="Bibliography"/>
      </w:pPr>
      <w:r>
        <w:t xml:space="preserve">Miyazawa, K., Shinya, T., Martin, A., Kikuchi, H., &amp; Mazuka, R. (2017). Vowels in infant-directed speech: More breathy and more variable, but not clearer.</w:t>
      </w:r>
      <w:r>
        <w:t xml:space="preserve"> </w:t>
      </w:r>
      <w:r>
        <w:rPr>
          <w:i/>
          <w:iCs/>
        </w:rPr>
        <w:t xml:space="preserve">Cognition</w:t>
      </w:r>
      <w:r>
        <w:t xml:space="preserve">,</w:t>
      </w:r>
      <w:r>
        <w:t xml:space="preserve"> </w:t>
      </w:r>
      <w:r>
        <w:rPr>
          <w:i/>
          <w:iCs/>
        </w:rPr>
        <w:t xml:space="preserve">166</w:t>
      </w:r>
      <w:r>
        <w:t xml:space="preserve">, 84–93.</w:t>
      </w:r>
    </w:p>
    <w:bookmarkEnd w:id="94"/>
    <w:bookmarkStart w:id="95"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95"/>
    <w:bookmarkStart w:id="96"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96"/>
    <w:bookmarkStart w:id="97"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97"/>
    <w:bookmarkStart w:id="98"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98"/>
    <w:bookmarkStart w:id="99"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99"/>
    <w:bookmarkStart w:id="100" w:name="ref-potter2019infants"/>
    <w:p>
      <w:pPr>
        <w:pStyle w:val="Bibliography"/>
      </w:pPr>
      <w:r>
        <w:t xml:space="preserve">Potter, C. E., &amp; Lew-Williams, C. (2019). Infants’ selective use of reliable cues in multidimensional language input.</w:t>
      </w:r>
      <w:r>
        <w:t xml:space="preserve"> </w:t>
      </w:r>
      <w:r>
        <w:rPr>
          <w:i/>
          <w:iCs/>
        </w:rPr>
        <w:t xml:space="preserve">Developmental Psychology</w:t>
      </w:r>
      <w:r>
        <w:t xml:space="preserve">,</w:t>
      </w:r>
      <w:r>
        <w:t xml:space="preserve"> </w:t>
      </w:r>
      <w:r>
        <w:rPr>
          <w:i/>
          <w:iCs/>
        </w:rPr>
        <w:t xml:space="preserve">55</w:t>
      </w:r>
      <w:r>
        <w:t xml:space="preserve">(1), 1.</w:t>
      </w:r>
    </w:p>
    <w:bookmarkEnd w:id="100"/>
    <w:bookmarkStart w:id="101"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101"/>
    <w:bookmarkStart w:id="102"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102"/>
    <w:bookmarkStart w:id="103"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103"/>
    <w:bookmarkStart w:id="104" w:name="ref-rasanen2018infant"/>
    <w:p>
      <w:pPr>
        <w:pStyle w:val="Bibliography"/>
      </w:pPr>
      <w:r>
        <w:t xml:space="preserve">Räsänen, O., Kakouros, S., &amp; Soderstrom, M. (2018). Is infant-directed speech interesting because it is surprising?–linking properties of IDS to statistical learning and attention at the prosodic level.</w:t>
      </w:r>
      <w:r>
        <w:t xml:space="preserve"> </w:t>
      </w:r>
      <w:r>
        <w:rPr>
          <w:i/>
          <w:iCs/>
        </w:rPr>
        <w:t xml:space="preserve">Cognition</w:t>
      </w:r>
      <w:r>
        <w:t xml:space="preserve">,</w:t>
      </w:r>
      <w:r>
        <w:t xml:space="preserve"> </w:t>
      </w:r>
      <w:r>
        <w:rPr>
          <w:i/>
          <w:iCs/>
        </w:rPr>
        <w:t xml:space="preserve">178</w:t>
      </w:r>
      <w:r>
        <w:t xml:space="preserve">, 193–206.</w:t>
      </w:r>
    </w:p>
    <w:bookmarkEnd w:id="104"/>
    <w:bookmarkStart w:id="105" w:name="ref-regier2005emergence"/>
    <w:p>
      <w:pPr>
        <w:pStyle w:val="Bibliography"/>
      </w:pPr>
      <w:r>
        <w:t xml:space="preserve">Regier, T. (2005). The emergence of words: Attentional learning in form and meaning.</w:t>
      </w:r>
      <w:r>
        <w:t xml:space="preserve"> </w:t>
      </w:r>
      <w:r>
        <w:rPr>
          <w:i/>
          <w:iCs/>
        </w:rPr>
        <w:t xml:space="preserve">Cognitive Science</w:t>
      </w:r>
      <w:r>
        <w:t xml:space="preserve">,</w:t>
      </w:r>
      <w:r>
        <w:t xml:space="preserve"> </w:t>
      </w:r>
      <w:r>
        <w:rPr>
          <w:i/>
          <w:iCs/>
        </w:rPr>
        <w:t xml:space="preserve">29</w:t>
      </w:r>
      <w:r>
        <w:t xml:space="preserve">(6), 819–865.</w:t>
      </w:r>
    </w:p>
    <w:bookmarkEnd w:id="105"/>
    <w:bookmarkStart w:id="106" w:name="ref-reuter2019predict"/>
    <w:p>
      <w:pPr>
        <w:pStyle w:val="Bibliography"/>
      </w:pPr>
      <w:r>
        <w:t xml:space="preserve">Reuter, T., Borovsky, A., &amp; Lew-Williams, C. (2019). Predict and redirect: Prediction errors support children’s word learning.</w:t>
      </w:r>
      <w:r>
        <w:t xml:space="preserve"> </w:t>
      </w:r>
      <w:r>
        <w:rPr>
          <w:i/>
          <w:iCs/>
        </w:rPr>
        <w:t xml:space="preserve">Developmental Psychology</w:t>
      </w:r>
      <w:r>
        <w:t xml:space="preserve">,</w:t>
      </w:r>
      <w:r>
        <w:t xml:space="preserve"> </w:t>
      </w:r>
      <w:r>
        <w:rPr>
          <w:i/>
          <w:iCs/>
        </w:rPr>
        <w:t xml:space="preserve">55</w:t>
      </w:r>
      <w:r>
        <w:t xml:space="preserve">(8), 1656.</w:t>
      </w:r>
    </w:p>
    <w:bookmarkEnd w:id="106"/>
    <w:bookmarkStart w:id="107"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107"/>
    <w:bookmarkStart w:id="109"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108">
        <w:r>
          <w:rPr>
            <w:rStyle w:val="Hyperlink"/>
          </w:rPr>
          <w:t xml:space="preserve">https://procreate.com/</w:t>
        </w:r>
      </w:hyperlink>
    </w:p>
    <w:bookmarkEnd w:id="109"/>
    <w:bookmarkStart w:id="110" w:name="ref-savickiene1998acquisition"/>
    <w:p>
      <w:pPr>
        <w:pStyle w:val="Bibliography"/>
      </w:pPr>
      <w:r>
        <w:t xml:space="preserve">Savickiene, I. (1998). The acquisition of diminutives in lithuanian.</w:t>
      </w:r>
      <w:r>
        <w:t xml:space="preserve"> </w:t>
      </w:r>
      <w:r>
        <w:rPr>
          <w:i/>
          <w:iCs/>
        </w:rPr>
        <w:t xml:space="preserve">Number AND Diminutive Marking</w:t>
      </w:r>
      <w:r>
        <w:t xml:space="preserve">, 129.</w:t>
      </w:r>
    </w:p>
    <w:bookmarkEnd w:id="110"/>
    <w:bookmarkStart w:id="111" w:name="ref-schwab2016repetition"/>
    <w:p>
      <w:pPr>
        <w:pStyle w:val="Bibliography"/>
      </w:pPr>
      <w:r>
        <w:t xml:space="preserve">Schwab, J. F., &amp; Lew-Williams, C. (2016). Repetition across successive sentences facilitates young children’s word learning.</w:t>
      </w:r>
      <w:r>
        <w:t xml:space="preserve"> </w:t>
      </w:r>
      <w:r>
        <w:rPr>
          <w:i/>
          <w:iCs/>
        </w:rPr>
        <w:t xml:space="preserve">Developmental Psychology</w:t>
      </w:r>
      <w:r>
        <w:t xml:space="preserve">,</w:t>
      </w:r>
      <w:r>
        <w:t xml:space="preserve"> </w:t>
      </w:r>
      <w:r>
        <w:rPr>
          <w:i/>
          <w:iCs/>
        </w:rPr>
        <w:t xml:space="preserve">52</w:t>
      </w:r>
      <w:r>
        <w:t xml:space="preserve">(6), 879.</w:t>
      </w:r>
    </w:p>
    <w:bookmarkEnd w:id="111"/>
    <w:bookmarkStart w:id="112" w:name="ref-segal2015infant"/>
    <w:p>
      <w:pPr>
        <w:pStyle w:val="Bibliography"/>
      </w:pPr>
      <w:r>
        <w:t xml:space="preserve">Segal, J., &amp; Newman, R. S. (2015). Infant preferences for structural and prosodic properties of infant-directed speech in the second year of life.</w:t>
      </w:r>
      <w:r>
        <w:t xml:space="preserve"> </w:t>
      </w:r>
      <w:r>
        <w:rPr>
          <w:i/>
          <w:iCs/>
        </w:rPr>
        <w:t xml:space="preserve">Infancy</w:t>
      </w:r>
      <w:r>
        <w:t xml:space="preserve">,</w:t>
      </w:r>
      <w:r>
        <w:t xml:space="preserve"> </w:t>
      </w:r>
      <w:r>
        <w:rPr>
          <w:i/>
          <w:iCs/>
        </w:rPr>
        <w:t xml:space="preserve">20</w:t>
      </w:r>
      <w:r>
        <w:t xml:space="preserve">(3), 339–351.</w:t>
      </w:r>
    </w:p>
    <w:bookmarkEnd w:id="112"/>
    <w:bookmarkStart w:id="113" w:name="ref-smith2008infants"/>
    <w:p>
      <w:pPr>
        <w:pStyle w:val="Bibliography"/>
      </w:pPr>
      <w:r>
        <w:t xml:space="preserve">Smith, L., &amp; Yu, C. (2008). Infants rapidly learn word-referent mappings via cross-situational statistics.</w:t>
      </w:r>
      <w:r>
        <w:t xml:space="preserve"> </w:t>
      </w:r>
      <w:r>
        <w:rPr>
          <w:i/>
          <w:iCs/>
        </w:rPr>
        <w:t xml:space="preserve">Cognition</w:t>
      </w:r>
      <w:r>
        <w:t xml:space="preserve">,</w:t>
      </w:r>
      <w:r>
        <w:t xml:space="preserve"> </w:t>
      </w:r>
      <w:r>
        <w:rPr>
          <w:i/>
          <w:iCs/>
        </w:rPr>
        <w:t xml:space="preserve">106</w:t>
      </w:r>
      <w:r>
        <w:t xml:space="preserve">(3), 1558–1568.</w:t>
      </w:r>
    </w:p>
    <w:bookmarkEnd w:id="113"/>
    <w:bookmarkStart w:id="114"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114"/>
    <w:bookmarkStart w:id="116"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15">
        <w:r>
          <w:rPr>
            <w:rStyle w:val="Hyperlink"/>
          </w:rPr>
          <w:t xml:space="preserve">https://mc-stan.org/</w:t>
        </w:r>
      </w:hyperlink>
    </w:p>
    <w:bookmarkEnd w:id="116"/>
    <w:bookmarkStart w:id="117"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p>
    <w:bookmarkEnd w:id="117"/>
    <w:bookmarkStart w:id="118" w:name="ref-swingley2011looking"/>
    <w:p>
      <w:pPr>
        <w:pStyle w:val="Bibliography"/>
      </w:pPr>
      <w:r>
        <w:t xml:space="preserve">Swingley, D. (2011). The looking-while-listening procedure.</w:t>
      </w:r>
      <w:r>
        <w:t xml:space="preserve"> </w:t>
      </w:r>
      <w:r>
        <w:rPr>
          <w:i/>
          <w:iCs/>
        </w:rPr>
        <w:t xml:space="preserve">Research Methods in Child Language: A Practical Guide</w:t>
      </w:r>
      <w:r>
        <w:t xml:space="preserve">, 29–42.</w:t>
      </w:r>
    </w:p>
    <w:bookmarkEnd w:id="118"/>
    <w:bookmarkStart w:id="119" w:name="ref-swingley2016two"/>
    <w:p>
      <w:pPr>
        <w:pStyle w:val="Bibliography"/>
      </w:pPr>
      <w:r>
        <w:t xml:space="preserve">Swingley, D. (2016). Two-year-olds interpret novel phonological neighbors as familiar words.</w:t>
      </w:r>
      <w:r>
        <w:t xml:space="preserve"> </w:t>
      </w:r>
      <w:r>
        <w:rPr>
          <w:i/>
          <w:iCs/>
        </w:rPr>
        <w:t xml:space="preserve">Developmental Psychology</w:t>
      </w:r>
      <w:r>
        <w:t xml:space="preserve">,</w:t>
      </w:r>
      <w:r>
        <w:t xml:space="preserve"> </w:t>
      </w:r>
      <w:r>
        <w:rPr>
          <w:i/>
          <w:iCs/>
        </w:rPr>
        <w:t xml:space="preserve">52</w:t>
      </w:r>
      <w:r>
        <w:t xml:space="preserve">(7), 1011.</w:t>
      </w:r>
    </w:p>
    <w:bookmarkEnd w:id="119"/>
    <w:bookmarkStart w:id="120"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120"/>
    <w:bookmarkStart w:id="121" w:name="ref-swingley2007lexical"/>
    <w:p>
      <w:pPr>
        <w:pStyle w:val="Bibliography"/>
      </w:pPr>
      <w:r>
        <w:t xml:space="preserve">Swingley, D., &amp; Aslin, R. N. (2007). Lexical competition in young children’s word learning.</w:t>
      </w:r>
      <w:r>
        <w:t xml:space="preserve"> </w:t>
      </w:r>
      <w:r>
        <w:rPr>
          <w:i/>
          <w:iCs/>
        </w:rPr>
        <w:t xml:space="preserve">Cognitive Psychology</w:t>
      </w:r>
      <w:r>
        <w:t xml:space="preserve">,</w:t>
      </w:r>
      <w:r>
        <w:t xml:space="preserve"> </w:t>
      </w:r>
      <w:r>
        <w:rPr>
          <w:i/>
          <w:iCs/>
        </w:rPr>
        <w:t xml:space="preserve">54</w:t>
      </w:r>
      <w:r>
        <w:t xml:space="preserve">(2), 99–132.</w:t>
      </w:r>
    </w:p>
    <w:bookmarkEnd w:id="121"/>
    <w:bookmarkStart w:id="122" w:name="ref-tardif2008baby"/>
    <w:p>
      <w:pPr>
        <w:pStyle w:val="Bibliography"/>
      </w:pPr>
      <w:r>
        <w:t xml:space="preserve">Tardif, T., Fletcher, P., Liang, W., Zhang, Z., Kaciroti, N., &amp; Marchman, V. A. (2008). Baby’s first 10 words.</w:t>
      </w:r>
      <w:r>
        <w:t xml:space="preserve"> </w:t>
      </w:r>
      <w:r>
        <w:rPr>
          <w:i/>
          <w:iCs/>
        </w:rPr>
        <w:t xml:space="preserve">Developmental Psychology</w:t>
      </w:r>
      <w:r>
        <w:t xml:space="preserve">,</w:t>
      </w:r>
      <w:r>
        <w:t xml:space="preserve"> </w:t>
      </w:r>
      <w:r>
        <w:rPr>
          <w:i/>
          <w:iCs/>
        </w:rPr>
        <w:t xml:space="preserve">44</w:t>
      </w:r>
      <w:r>
        <w:t xml:space="preserve">(4), 929.</w:t>
      </w:r>
    </w:p>
    <w:bookmarkEnd w:id="122"/>
    <w:bookmarkStart w:id="123" w:name="ref-tippenhauerURvariety"/>
    <w:p>
      <w:pPr>
        <w:pStyle w:val="Bibliography"/>
      </w:pPr>
      <w:r>
        <w:t xml:space="preserve">Tippenhauer, N. (under review).</w:t>
      </w:r>
      <w:r>
        <w:t xml:space="preserve"> </w:t>
      </w:r>
      <w:r>
        <w:rPr>
          <w:i/>
          <w:iCs/>
        </w:rPr>
        <w:t xml:space="preserve">Is variety the spice of life? The role of variability in early word learning</w:t>
      </w:r>
      <w:r>
        <w:t xml:space="preserve">.</w:t>
      </w:r>
    </w:p>
    <w:bookmarkEnd w:id="123"/>
    <w:bookmarkStart w:id="124"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124"/>
    <w:bookmarkStart w:id="125" w:name="ref-vlach2019learning"/>
    <w:p>
      <w:pPr>
        <w:pStyle w:val="Bibliography"/>
      </w:pPr>
      <w:r>
        <w:t xml:space="preserve">Vlach, H. A. (2019). Learning to remember words: Memory constraints as double-edged sword mechanisms of language development.</w:t>
      </w:r>
      <w:r>
        <w:t xml:space="preserve"> </w:t>
      </w:r>
      <w:r>
        <w:rPr>
          <w:i/>
          <w:iCs/>
        </w:rPr>
        <w:t xml:space="preserve">Child Development Perspectives</w:t>
      </w:r>
      <w:r>
        <w:t xml:space="preserve">,</w:t>
      </w:r>
      <w:r>
        <w:t xml:space="preserve"> </w:t>
      </w:r>
      <w:r>
        <w:rPr>
          <w:i/>
          <w:iCs/>
        </w:rPr>
        <w:t xml:space="preserve">13</w:t>
      </w:r>
      <w:r>
        <w:t xml:space="preserve">(3), 159–165.</w:t>
      </w:r>
    </w:p>
    <w:bookmarkEnd w:id="125"/>
    <w:bookmarkStart w:id="126"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126"/>
    <w:bookmarkStart w:id="128"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127">
        <w:r>
          <w:rPr>
            <w:rStyle w:val="Hyperlink"/>
          </w:rPr>
          <w:t xml:space="preserve">https://doi.org/10.1214/17-BA1091</w:t>
        </w:r>
      </w:hyperlink>
    </w:p>
    <w:bookmarkEnd w:id="128"/>
    <w:bookmarkStart w:id="129" w:name="ref-yurovsky2012statistical"/>
    <w:p>
      <w:pPr>
        <w:pStyle w:val="Bibliography"/>
      </w:pPr>
      <w:r>
        <w:t xml:space="preserve">Yurovsky, D., Yu, C., &amp; Smith, L. B. (2012). Statistical speech segmentation and word learning in parallel: Scaffolding from child-directed speech.</w:t>
      </w:r>
      <w:r>
        <w:t xml:space="preserve"> </w:t>
      </w:r>
      <w:r>
        <w:rPr>
          <w:i/>
          <w:iCs/>
        </w:rPr>
        <w:t xml:space="preserve">Frontiers in Psychology</w:t>
      </w:r>
      <w:r>
        <w:t xml:space="preserve">,</w:t>
      </w:r>
      <w:r>
        <w:t xml:space="preserve"> </w:t>
      </w:r>
      <w:r>
        <w:rPr>
          <w:i/>
          <w:iCs/>
        </w:rPr>
        <w:t xml:space="preserve">3</w:t>
      </w:r>
      <w:r>
        <w:t xml:space="preserve">, 374.</w:t>
      </w:r>
    </w:p>
    <w:bookmarkEnd w:id="129"/>
    <w:bookmarkEnd w:id="130"/>
    <w:bookmarkEnd w:id="1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47">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zero-one-inflated models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(1)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(2) the model fails to converge with the maximal random effects structure, which forced us to remove the random slope for condition and thus reduced our ability to detect within-subject effects of condition.</w:t>
      </w:r>
    </w:p>
  </w:footnote>
  <w:footnote w:id="48">
    <w:p>
      <w:pPr>
        <w:pStyle w:val="FootnoteText"/>
      </w:pPr>
      <w:r>
        <w:rPr>
          <w:rStyle w:val="FootnoteReference"/>
        </w:rPr>
        <w:footnoteRef/>
      </w:r>
      <w:r>
        <w:t xml:space="preserve"> </w:t>
      </w: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(ΔELPD=-1.35, ΔSE=3.53).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21" Target="media/rId21.svg" /><Relationship Type="http://schemas.openxmlformats.org/officeDocument/2006/relationships/hyperlink" Id="rId127" Target="https://doi.org/10.1214/17-BA1091" TargetMode="External" /><Relationship Type="http://schemas.openxmlformats.org/officeDocument/2006/relationships/hyperlink" Id="rId59" Target="https://doi.org/10.18637/jss.v067.i01" TargetMode="External" /><Relationship Type="http://schemas.openxmlformats.org/officeDocument/2006/relationships/hyperlink" Id="rId63" Target="https://doi.org/10.32614/RJ-2017-066" TargetMode="External" /><Relationship Type="http://schemas.openxmlformats.org/officeDocument/2006/relationships/hyperlink" Id="rId115"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8"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127" Target="https://doi.org/10.1214/17-BA1091" TargetMode="External" /><Relationship Type="http://schemas.openxmlformats.org/officeDocument/2006/relationships/hyperlink" Id="rId59" Target="https://doi.org/10.18637/jss.v067.i01" TargetMode="External" /><Relationship Type="http://schemas.openxmlformats.org/officeDocument/2006/relationships/hyperlink" Id="rId63" Target="https://doi.org/10.32614/RJ-2017-066" TargetMode="External" /><Relationship Type="http://schemas.openxmlformats.org/officeDocument/2006/relationships/hyperlink" Id="rId115"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8"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2025-08-18T07:04:56Z</dcterms:created>
  <dcterms:modified xsi:type="dcterms:W3CDTF">2025-08-18T07:04:56Z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labeled either consistently, with typical CDS variants, or with atypical, unattested CDS variants.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3958</vt:lpwstr>
  </property>
  <property fmtid="{D5CDD505-2E9C-101B-9397-08002B2CF9AE}" pid="61" name="zerocitations">
    <vt:lpwstr>False</vt:lpwstr>
  </property>
</Properties>
</file>