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54.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3"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and fully reproducible manuscript code are available at</w:t>
      </w:r>
      <w:r>
        <w:t xml:space="preserve"> </w:t>
      </w:r>
      <w:hyperlink r:id="rId31">
        <w:r>
          <w:rPr>
            <w:rStyle w:val="Hyperlink"/>
          </w:rPr>
          <w:t xml:space="preserve">https://github.com/kennedycasey/LexVar</w:t>
        </w:r>
      </w:hyperlink>
      <w:r>
        <w:t xml:space="preserve">.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08544, Email:</w:t>
      </w:r>
      <w:r>
        <w:t xml:space="preserve"> </w:t>
      </w:r>
      <w:hyperlink r:id="rId32">
        <w:r>
          <w:rPr>
            <w:rStyle w:val="Hyperlink"/>
          </w:rPr>
          <w:t xml:space="preserve">kcasey@princeton.edu</w:t>
        </w:r>
      </w:hyperlink>
    </w:p>
    <w:p>
      <w:r>
        <w:br w:type="page"/>
      </w:r>
    </w:p>
    <w:bookmarkEnd w:id="33"/>
    <w:bookmarkStart w:id="34"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named with consistent labels, with typical CDS variants, or with atypical CDS variants.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4"/>
    <w:bookmarkStart w:id="35" w:name="firstheader"/>
    <w:p>
      <w:pPr>
        <w:pStyle w:val="Heading1"/>
      </w:pPr>
      <w:r>
        <w:t xml:space="preserve">English-hearing toddlers learn words from consistent and variable labels</w:t>
      </w:r>
    </w:p>
    <w:bookmarkEnd w:id="35"/>
    <w:bookmarkStart w:id="40" w:name="introduction"/>
    <w:p>
      <w:pPr>
        <w:pStyle w:val="Heading1"/>
      </w:pPr>
      <w:r>
        <w:t xml:space="preserve">1. Introduction</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 in English:</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For some words, there are a surprising number of common variants (e.g.,</w:t>
      </w:r>
      <w:r>
        <w:t xml:space="preserve"> </w:t>
      </w:r>
      <w:r>
        <w:rPr>
          <w:i/>
          <w:iCs/>
        </w:rPr>
        <w:t xml:space="preserve">pup</w:t>
      </w:r>
      <w:r>
        <w:t xml:space="preserve">,</w:t>
      </w:r>
      <w:r>
        <w:t xml:space="preserve"> </w:t>
      </w:r>
      <w:r>
        <w:rPr>
          <w:i/>
          <w:iCs/>
        </w:rPr>
        <w:t xml:space="preserve">pooch</w:t>
      </w:r>
      <w:r>
        <w:t xml:space="preserve">, or</w:t>
      </w:r>
      <w:r>
        <w:t xml:space="preserve"> </w:t>
      </w:r>
      <w:r>
        <w:rPr>
          <w:i/>
          <w:iCs/>
        </w:rPr>
        <w:t xml:space="preserve">bow-wow</w:t>
      </w:r>
      <w:r>
        <w:t xml:space="preserve"> </w:t>
      </w:r>
      <w:r>
        <w:t xml:space="preserve">for</w:t>
      </w:r>
      <w:r>
        <w:t xml:space="preserve"> </w:t>
      </w:r>
      <w:r>
        <w:rPr>
          <w:i/>
          <w:iCs/>
        </w:rPr>
        <w:t xml:space="preserve">dog</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a prior naturalistic corpus study indicates that, in the first years of life, multiple labels for the same referent are used seemingly interchangeably in children’s input</w:t>
      </w:r>
      <w:r>
        <w:t xml:space="preserve"> </w:t>
      </w:r>
      <w:r>
        <w:t xml:space="preserve">(</w:t>
      </w:r>
      <w:hyperlink w:anchor="ref-moore2024wordform">
        <w:r>
          <w:rPr>
            <w:rStyle w:val="Hyperlink"/>
          </w:rPr>
          <w:t xml:space="preserve">Moore &amp; Bergelson, 2024</w:t>
        </w:r>
      </w:hyperlink>
      <w:r>
        <w:t xml:space="preserve">)</w:t>
      </w:r>
      <w:r>
        <w:t xml:space="preserve">. Here, we investigate how such label variation impacts children’s word learning.</w:t>
      </w:r>
    </w:p>
    <w:p>
      <w:pPr>
        <w:pStyle w:val="BodyText"/>
      </w:pPr>
      <w:r>
        <w:t xml:space="preserve">We first review competing evidence for the effect of label variation on early word learning. Several theoretical accounts predict that label variation should hinder word learning (Section 1.1). However, emerging evidence suggests that children hear substantial label variation in their input and successfully accommodate some multi-label mappings for the same referent (Section 1.2).</w:t>
      </w:r>
    </w:p>
    <w:bookmarkStart w:id="36" w:name="label-variation-may-hinder-word-learning"/>
    <w:p>
      <w:pPr>
        <w:pStyle w:val="Heading2"/>
      </w:pPr>
      <w:r>
        <w:t xml:space="preserve">1.1 Label variation may hinder word learning</w:t>
      </w:r>
    </w:p>
    <w:p>
      <w:pPr>
        <w:pStyle w:val="FirstParagraph"/>
      </w:pPr>
      <w:r>
        <w:t xml:space="preserve">From a traditional one-to-one mapping perspective, children learn to associate individual word forms (i.e., labels) with individual referents</w:t>
      </w:r>
      <w:r>
        <w:t xml:space="preserve"> </w:t>
      </w:r>
      <w:r>
        <w:t xml:space="preserve">(</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Under this view, multiple labels for the same referent could be considered</w:t>
      </w:r>
      <w:r>
        <w:t xml:space="preserve"> </w:t>
      </w:r>
      <w:r>
        <w:t xml:space="preserve">“</w:t>
      </w:r>
      <w:r>
        <w:t xml:space="preserve">noise</w:t>
      </w:r>
      <w:r>
        <w:t xml:space="preserve">”</w:t>
      </w:r>
      <w:r>
        <w:t xml:space="preserve"> </w:t>
      </w:r>
      <w:r>
        <w:t xml:space="preserve">in the learning signal. Indeed, some evidence from lab-based studies suggests that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&amp; Bowman, 1989</w:t>
        </w:r>
      </w:hyperlink>
      <w:r>
        <w:t xml:space="preserve">;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same referent also violates the pragmatic assumption that unique word forms have unique meanings</w:t>
      </w:r>
      <w:r>
        <w:t xml:space="preserve"> </w:t>
      </w:r>
      <w:r>
        <w:t xml:space="preserve">(i.e., principle of contrast:</w:t>
      </w:r>
      <w:r>
        <w:t xml:space="preserve"> </w:t>
      </w:r>
      <w:hyperlink w:anchor="ref-clark1988logic">
        <w:r>
          <w:rPr>
            <w:rStyle w:val="Hyperlink"/>
          </w:rPr>
          <w:t xml:space="preserve">Clark, 1988</w:t>
        </w:r>
      </w:hyperlink>
      <w:r>
        <w:t xml:space="preserve">)</w:t>
      </w:r>
      <w:r>
        <w:t xml:space="preserve">.</w:t>
      </w:r>
    </w:p>
    <w:p>
      <w:pPr>
        <w:pStyle w:val="BodyText"/>
      </w:pPr>
      <w:r>
        <w:t xml:space="preserve">Another challenge is that label variation may reduce the consistency or predictability of children’s input for word learning. Introducing multiple interchangeable labels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Variable labels may also make utterances less predictable and thus potentially harder to learn new words from</w:t>
      </w:r>
      <w:r>
        <w:t xml:space="preserve"> </w:t>
      </w:r>
      <w:r>
        <w:t xml:space="preserve">(e.g.,</w:t>
      </w:r>
      <w:r>
        <w:t xml:space="preserve"> </w:t>
      </w:r>
      <w:hyperlink w:anchor="ref-reuter2019predict">
        <w:r>
          <w:rPr>
            <w:rStyle w:val="Hyperlink"/>
          </w:rPr>
          <w:t xml:space="preserve">T. Reuter et al., 2019</w:t>
        </w:r>
      </w:hyperlink>
      <w:r>
        <w:t xml:space="preserve">)</w:t>
      </w:r>
      <w:r>
        <w:t xml:space="preserve">. Finally, the presence of multiple interchangeable labels in children’s input can create lexical competition</w:t>
      </w:r>
      <w:r>
        <w:t xml:space="preserve"> </w:t>
      </w:r>
      <w:r>
        <w:t xml:space="preserve">(</w:t>
      </w:r>
      <w:hyperlink w:anchor="ref-swingley2007lexical">
        <w:r>
          <w:rPr>
            <w:rStyle w:val="Hyperlink"/>
          </w:rPr>
          <w:t xml:space="preserve">Swingley &amp; Aslin, 2007</w:t>
        </w:r>
      </w:hyperlink>
      <w:r>
        <w:t xml:space="preserve">)</w:t>
      </w:r>
      <w:r>
        <w:t xml:space="preserve">, increase memory interference</w:t>
      </w:r>
      <w:r>
        <w:t xml:space="preserve"> </w:t>
      </w:r>
      <w:r>
        <w:t xml:space="preserve">(</w:t>
      </w:r>
      <w:hyperlink w:anchor="ref-regier2005emergence">
        <w:r>
          <w:rPr>
            <w:rStyle w:val="Hyperlink"/>
          </w:rPr>
          <w:t xml:space="preserve">Regier, 2005</w:t>
        </w:r>
      </w:hyperlink>
      <w:r>
        <w:t xml:space="preserve">)</w:t>
      </w:r>
      <w:r>
        <w:t xml:space="preserve">, or impose greater general memory demands during learning</w:t>
      </w:r>
      <w:r>
        <w:t xml:space="preserve"> </w:t>
      </w:r>
      <w:r>
        <w:t xml:space="preserve">(see</w:t>
      </w:r>
      <w:r>
        <w:t xml:space="preserve"> </w:t>
      </w:r>
      <w:hyperlink w:anchor="ref-vlach2019learning">
        <w:r>
          <w:rPr>
            <w:rStyle w:val="Hyperlink"/>
          </w:rPr>
          <w:t xml:space="preserve">Vlach, 2019</w:t>
        </w:r>
      </w:hyperlink>
      <w:r>
        <w:t xml:space="preserve">, for further discussion)</w:t>
      </w:r>
      <w:r>
        <w:t xml:space="preserve">.</w:t>
      </w:r>
    </w:p>
    <w:bookmarkEnd w:id="36"/>
    <w:bookmarkStart w:id="37" w:name="X7e2b24e0d0bc6ba6ef08d648622d92aca7015b6"/>
    <w:p>
      <w:pPr>
        <w:pStyle w:val="Heading2"/>
      </w:pPr>
      <w:r>
        <w:t xml:space="preserve">1.2 Label variation may support word learning</w:t>
      </w:r>
    </w:p>
    <w:p>
      <w:pPr>
        <w:pStyle w:val="FirstParagraph"/>
      </w:pPr>
      <w:r>
        <w:t xml:space="preserve">However, despite theoretical reasons to expect that label variation should impede word learning, children’s real-world learning environments contain substantial variation, and young learners seem to accommodate some types of label variation. English-hearing children in North America have been shown to recognize multiple labels for the same referent</w:t>
      </w:r>
      <w:r>
        <w:t xml:space="preserve"> </w:t>
      </w:r>
      <w:r>
        <w:t xml:space="preserve">(e.g.,</w:t>
      </w:r>
      <w:r>
        <w:t xml:space="preserve"> </w:t>
      </w:r>
      <w:r>
        <w:rPr>
          <w:i/>
          <w:iCs/>
        </w:rPr>
        <w:t xml:space="preserve">horse/pony</w:t>
      </w:r>
      <w:r>
        <w:t xml:space="preserve">,</w:t>
      </w:r>
      <w:r>
        <w:t xml:space="preserve"> </w:t>
      </w:r>
      <w:r>
        <w:rPr>
          <w:i/>
          <w:iCs/>
        </w:rPr>
        <w:t xml:space="preserve">sheep/lamb</w:t>
      </w:r>
      <w:r>
        <w:t xml:space="preserve">:</w:t>
      </w:r>
      <w:r>
        <w:t xml:space="preserve"> </w:t>
      </w:r>
      <w:hyperlink w:anchor="ref-potter2024frequent">
        <w:r>
          <w:rPr>
            <w:rStyle w:val="Hyperlink"/>
          </w:rPr>
          <w:t xml:space="preserve">Potter &amp; Lew-Williams, 2024</w:t>
        </w:r>
      </w:hyperlink>
      <w:r>
        <w:t xml:space="preserve">)</w:t>
      </w:r>
      <w:r>
        <w:t xml:space="preserve"> </w:t>
      </w:r>
      <w:r>
        <w:t xml:space="preserve">and produce multiple labels themselves, including child-directed variants</w:t>
      </w:r>
      <w:r>
        <w:t xml:space="preserve"> </w:t>
      </w:r>
      <w:r>
        <w:t xml:space="preserve">(e.g.,</w:t>
      </w:r>
      <w:r>
        <w:t xml:space="preserve"> </w:t>
      </w:r>
      <w:r>
        <w:rPr>
          <w:i/>
          <w:iCs/>
        </w:rPr>
        <w:t xml:space="preserve">doggy/dog</w:t>
      </w:r>
      <w:r>
        <w:t xml:space="preserve">,</w:t>
      </w:r>
      <w:r>
        <w:t xml:space="preserve"> </w:t>
      </w:r>
      <w:r>
        <w:rPr>
          <w:i/>
          <w:iCs/>
        </w:rPr>
        <w:t xml:space="preserve">bunny/rabbit</w:t>
      </w:r>
      <w:r>
        <w:t xml:space="preserve">:</w:t>
      </w:r>
      <w:r>
        <w:t xml:space="preserve"> </w:t>
      </w:r>
      <w:hyperlink w:anchor="ref-casey2022doggy">
        <w:r>
          <w:rPr>
            <w:rStyle w:val="Hyperlink"/>
          </w:rPr>
          <w:t xml:space="preserve">Casey &amp; Casillas, 2022</w:t>
        </w:r>
      </w:hyperlink>
      <w:r>
        <w:t xml:space="preserve">)</w:t>
      </w:r>
      <w:r>
        <w:t xml:space="preserve"> </w:t>
      </w:r>
      <w:r>
        <w:t xml:space="preserve">and variants describing different features of the same referent</w:t>
      </w:r>
      <w:r>
        <w:t xml:space="preserve"> </w:t>
      </w:r>
      <w:r>
        <w:t xml:space="preserve">(e.g.,</w:t>
      </w:r>
      <w:r>
        <w:t xml:space="preserve"> </w:t>
      </w:r>
      <w:r>
        <w:rPr>
          <w:i/>
          <w:iCs/>
        </w:rPr>
        <w:t xml:space="preserve">cracker/magnet</w:t>
      </w:r>
      <w:r>
        <w:t xml:space="preserve"> </w:t>
      </w:r>
      <w:r>
        <w:t xml:space="preserve">for a cracker-shaped magnet:</w:t>
      </w:r>
      <w:r>
        <w:t xml:space="preserve"> </w:t>
      </w:r>
      <w:hyperlink w:anchor="ref-deak2001any">
        <w:r>
          <w:rPr>
            <w:rStyle w:val="Hyperlink"/>
          </w:rPr>
          <w:t xml:space="preserve">Deák et al., 2001</w:t>
        </w:r>
      </w:hyperlink>
      <w:r>
        <w:t xml:space="preserve">)</w:t>
      </w:r>
      <w:r>
        <w:t xml:space="preserve"> </w:t>
      </w:r>
      <w:r>
        <w:t xml:space="preserve">multiple labels for the same referent.</w:t>
      </w:r>
    </w:p>
    <w:p>
      <w:pPr>
        <w:pStyle w:val="BodyText"/>
      </w:pPr>
      <w:r>
        <w:t xml:space="preserve">In fact, children’s earliest learned words are associated with the greatest amount of label variation in their input</w:t>
      </w:r>
      <w:r>
        <w:t xml:space="preserve"> </w:t>
      </w:r>
      <w:r>
        <w:t xml:space="preserve">(</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w:t>
      </w:r>
      <w:hyperlink w:anchor="ref-manybabies2020quantifying">
        <w:r>
          <w:rPr>
            <w:rStyle w:val="Hyperlink"/>
          </w:rPr>
          <w:t xml:space="preserve">ManyBabies Consortium, 2020</w:t>
        </w:r>
      </w:hyperlink>
      <w:r>
        <w:t xml:space="preserve">)</w:t>
      </w:r>
      <w:r>
        <w:t xml:space="preserve">, hearing multiple CDS variants may help capture and sustain children’s attention. Indeed, word repetition does not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2026variety">
        <w:r>
          <w:rPr>
            <w:rStyle w:val="Hyperlink"/>
          </w:rPr>
          <w:t xml:space="preserve">Tippenhauer, 2026</w:t>
        </w:r>
      </w:hyperlink>
      <w:r>
        <w:t xml:space="preserve">, for related discussion)</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7"/>
    <w:bookmarkStart w:id="39" w:name="the-current-study"/>
    <w:p>
      <w:pPr>
        <w:pStyle w:val="Heading2"/>
      </w:pPr>
      <w:r>
        <w:t xml:space="preserve">1.3 The current study</w:t>
      </w:r>
    </w:p>
    <w:p>
      <w:pPr>
        <w:pStyle w:val="FirstParagraph"/>
      </w:pPr>
      <w:r>
        <w:t xml:space="preserve">Despite competing possibilities, no studies to date have directly tested how consistent versus variable labels impact children’s ability to learn new words in a single language</w:t>
      </w:r>
      <w:r>
        <w:t xml:space="preserve"> </w:t>
      </w:r>
      <w:r>
        <w:t xml:space="preserve">(but see also</w:t>
      </w:r>
      <w:r>
        <w:t xml:space="preserve"> </w:t>
      </w:r>
      <w:hyperlink w:anchor="ref-tsui2023patterns">
        <w:r>
          <w:rPr>
            <w:rStyle w:val="Hyperlink"/>
          </w:rPr>
          <w:t xml:space="preserve">Tsui et al., 2023</w:t>
        </w:r>
      </w:hyperlink>
      <w:r>
        <w:t xml:space="preserve">)</w:t>
      </w:r>
      <w:r>
        <w:t xml:space="preserve">.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variants common in English CDS (diminutivized and reduplicated word forms). The</w:t>
      </w:r>
      <w:r>
        <w:t xml:space="preserve"> </w:t>
      </w:r>
      <w:r>
        <w:rPr>
          <w:b/>
          <w:bCs/>
        </w:rPr>
        <w:t xml:space="preserve">atypical variation</w:t>
      </w:r>
      <w:r>
        <w:t xml:space="preserve"> </w:t>
      </w:r>
      <w:r>
        <w:t xml:space="preserve">condition featured phonologically altered word forms that are unattested in English CDS. Looking-time measures were used to assess children’s word-recognition accuracy</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and pupil size synchrony measures</w:t>
      </w:r>
      <w:r>
        <w:t xml:space="preserve"> </w:t>
      </w:r>
      <w:r>
        <w:t xml:space="preserve">(</w:t>
      </w:r>
      <w:hyperlink w:anchor="ref-kang2017pupil">
        <w:r>
          <w:rPr>
            <w:rStyle w:val="Hyperlink"/>
          </w:rPr>
          <w:t xml:space="preserve">Kang &amp; Wheatley, 2017</w:t>
        </w:r>
      </w:hyperlink>
      <w:r>
        <w:t xml:space="preserve">;</w:t>
      </w:r>
      <w:r>
        <w:t xml:space="preserve"> </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8"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experiments conducted to date, which overwhelmingly test children’s recognition of one-to-one mappings, we hypothesized that children would demonstrate above-chance word-recognition accuracy in the</w:t>
      </w:r>
      <w:r>
        <w:t xml:space="preserve"> </w:t>
      </w:r>
      <w:r>
        <w:rPr>
          <w:b/>
          <w:bCs/>
        </w:rPr>
        <w:t xml:space="preserve">consistent</w:t>
      </w:r>
      <w:r>
        <w:t xml:space="preserve"> </w:t>
      </w:r>
      <w:r>
        <w:t xml:space="preserve">condition.</w:t>
      </w:r>
    </w:p>
    <w:p>
      <w:pPr>
        <w:numPr>
          <w:ilvl w:val="0"/>
          <w:numId w:val="1001"/>
        </w:numPr>
      </w:pPr>
      <w:r>
        <w:t xml:space="preserve">The key condition of interest was the</w:t>
      </w:r>
      <w:r>
        <w:t xml:space="preserve"> </w:t>
      </w:r>
      <w:r>
        <w:rPr>
          <w:b/>
          <w:b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b/>
          <w:b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In addition to analyzing looking behavior during test trials, we pre-registered to examine children’s pupillary responses during the learning phase as a complementary index of attentional engagement. Prior studies with adults</w:t>
      </w:r>
      <w:r>
        <w:t xml:space="preserve"> </w:t>
      </w:r>
      <w:r>
        <w:t xml:space="preserve">(</w:t>
      </w:r>
      <w:hyperlink w:anchor="ref-kang2017pupil">
        <w:r>
          <w:rPr>
            <w:rStyle w:val="Hyperlink"/>
          </w:rPr>
          <w:t xml:space="preserve">Kang &amp; Wheatley, 2017</w:t>
        </w:r>
      </w:hyperlink>
      <w:r>
        <w:t xml:space="preserve">)</w:t>
      </w:r>
      <w:r>
        <w:t xml:space="preserve"> </w:t>
      </w:r>
      <w:r>
        <w:t xml:space="preserve">and toddlers</w:t>
      </w:r>
      <w:r>
        <w:t xml:space="preserve"> </w:t>
      </w:r>
      <w:r>
        <w:t xml:space="preserve">(</w:t>
      </w:r>
      <w:hyperlink w:anchor="ref-nencheva2021moment">
        <w:r>
          <w:rPr>
            <w:rStyle w:val="Hyperlink"/>
          </w:rPr>
          <w:t xml:space="preserve">Nencheva et al., 2021</w:t>
        </w:r>
      </w:hyperlink>
      <w:r>
        <w:t xml:space="preserve">)</w:t>
      </w:r>
      <w:r>
        <w:t xml:space="preserve"> </w:t>
      </w:r>
      <w:r>
        <w:t xml:space="preserve">suggest that pupil size synchrony between participants (i.e., the extent to which participants’ pupils dilate and constrict together over time) provides a dynamic trace of shared attention. Here, we asked whether participants attend differently to consistent versus variable labels. Specifically, we tested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8"/>
    <w:bookmarkEnd w:id="39"/>
    <w:bookmarkEnd w:id="40"/>
    <w:bookmarkStart w:id="48" w:name="method"/>
    <w:p>
      <w:pPr>
        <w:pStyle w:val="Heading1"/>
      </w:pPr>
      <w:r>
        <w:t xml:space="preserve">2. Method</w:t>
      </w:r>
    </w:p>
    <w:p>
      <w:pPr>
        <w:pStyle w:val="FirstParagraph"/>
      </w:pPr>
      <w:r>
        <w:t xml:space="preserve">Our study design and analysis plan were pre-registered (</w:t>
      </w:r>
      <w:hyperlink r:id="rId30">
        <w:r>
          <w:rPr>
            <w:rStyle w:val="Hyperlink"/>
          </w:rPr>
          <w:t xml:space="preserve">https://osf.io/uqz6d</w:t>
        </w:r>
      </w:hyperlink>
      <w:r>
        <w:t xml:space="preserve">). All stimuli, anonymized data, and analysis scripts are publicly available at</w:t>
      </w:r>
      <w:r>
        <w:t xml:space="preserve"> </w:t>
      </w:r>
      <w:hyperlink r:id="rId41">
        <w:r>
          <w:rPr>
            <w:rStyle w:val="Hyperlink"/>
          </w:rPr>
          <w:t xml:space="preserve">https://github.com/kennedycasey/LexVar/</w:t>
        </w:r>
      </w:hyperlink>
      <w:r>
        <w:t xml:space="preserve">.</w:t>
      </w:r>
    </w:p>
    <w:bookmarkStart w:id="42"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were full-term, monolingual English-hearing children (&gt;80% exposure) with no known hearing, vision, language, and/or developmental delays and were recruited from a volunteer database of local families in and around central New Jersey. Caregivers reported race/ethnicity information for their children in an open-ended format at the time of database sign-up. Participants were primarily Non-Latine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Latine white (</w:t>
      </w:r>
      <w:r>
        <w:rPr>
          <w:i/>
          <w:iCs/>
        </w:rPr>
        <w:t xml:space="preserve">N</w:t>
      </w:r>
      <w:r>
        <w:t xml:space="preserve">=1, 1.72%), Not reported (</w:t>
      </w:r>
      <w:r>
        <w:rPr>
          <w:i/>
          <w:iCs/>
        </w:rPr>
        <w:t xml:space="preserve">N</w:t>
      </w:r>
      <w:r>
        <w:t xml:space="preserve">=11, 18.97%). Caregivers also reported maternal education, though more sparsely: High school degree (</w:t>
      </w:r>
      <w:r>
        <w:rPr>
          <w:i/>
          <w:iCs/>
        </w:rPr>
        <w:t xml:space="preserve">N</w:t>
      </w:r>
      <w:r>
        <w:t xml:space="preserve">=1, 1.72%), Bachelor’s degree (</w:t>
      </w:r>
      <w:r>
        <w:rPr>
          <w:i/>
          <w:iCs/>
        </w:rPr>
        <w:t xml:space="preserve">N</w:t>
      </w:r>
      <w:r>
        <w:t xml:space="preserve">=12, 20.69%), Master’s degree or higher (</w:t>
      </w:r>
      <w:r>
        <w:rPr>
          <w:i/>
          <w:iCs/>
        </w:rPr>
        <w:t xml:space="preserve">N</w:t>
      </w:r>
      <w:r>
        <w:t xml:space="preserve">=11, 18.97%), Not reported (</w:t>
      </w:r>
      <w:r>
        <w:rPr>
          <w:i/>
          <w:iCs/>
        </w:rPr>
        <w:t xml:space="preserve">N</w:t>
      </w:r>
      <w:r>
        <w:t xml:space="preserve">=34, 58.62%).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=9), significant interruption by a family member (</w:t>
      </w:r>
      <w:r>
        <w:rPr>
          <w:i/>
          <w:iCs/>
        </w:rPr>
        <w:t xml:space="preserve">N</w:t>
      </w:r>
      <w:r>
        <w:t xml:space="preserve"> </w:t>
      </w:r>
      <w:r>
        <w:t xml:space="preserve">=4), contribution of too few usable trials based on pre-registered criteria due to fussiness or inattention (</w:t>
      </w:r>
      <w:r>
        <w:rPr>
          <w:i/>
          <w:iCs/>
        </w:rPr>
        <w:t xml:space="preserve">N</w:t>
      </w:r>
      <w:r>
        <w:t xml:space="preserve"> </w:t>
      </w:r>
      <w:r>
        <w:t xml:space="preserve">=18), or failure to meet the language requirement (</w:t>
      </w:r>
      <w:r>
        <w:rPr>
          <w:i/>
          <w:iCs/>
        </w:rPr>
        <w:t xml:space="preserve">N</w:t>
      </w:r>
      <w:r>
        <w:t xml:space="preserve"> </w:t>
      </w:r>
      <w:r>
        <w:t xml:space="preserve">=1). Although our inclusion criteria were pre-registered, the resulting high attrition rate may limit the generalizability of our findings. However, comparable exclusion rates have been reported in infant eye-tracking studies using a looking-while-listening design</w:t>
      </w:r>
      <w:r>
        <w:t xml:space="preserve"> </w:t>
      </w:r>
      <w:r>
        <w:t xml:space="preserve">(e.g.,</w:t>
      </w:r>
      <w:r>
        <w:t xml:space="preserve"> </w:t>
      </w:r>
      <w:hyperlink w:anchor="ref-reuter2025relative">
        <w:r>
          <w:rPr>
            <w:rStyle w:val="Hyperlink"/>
          </w:rPr>
          <w:t xml:space="preserve">T. E. Reuter &amp; Emberson, 2025</w:t>
        </w:r>
      </w:hyperlink>
      <w:r>
        <w:t xml:space="preserve">)</w:t>
      </w:r>
      <w:r>
        <w:t xml:space="preserve">.</w:t>
      </w:r>
    </w:p>
    <w:p>
      <w:pPr>
        <w:pStyle w:val="BodyText"/>
      </w:pPr>
      <w:r>
        <w:t xml:space="preserve">All experimental protocols, including procedures for obtaining informed consent, were approved by the Princeton University Institutional Review Board (Protocol: 0000007117). Families received a $10 digital gift card and a small gift for participating.</w:t>
      </w:r>
    </w:p>
    <w:bookmarkEnd w:id="42"/>
    <w:bookmarkStart w:id="44" w:name="stimuli"/>
    <w:p>
      <w:pPr>
        <w:pStyle w:val="Heading2"/>
      </w:pPr>
      <w:r>
        <w:t xml:space="preserve">2.2 Stimuli</w:t>
      </w:r>
    </w:p>
    <w:p>
      <w:pPr>
        <w:pStyle w:val="FirstParagraph"/>
      </w:pPr>
      <w:r>
        <w:t xml:space="preserve">Auditory stimuli were recorded by a female native English speaker using naturalistic child-directed prosody. Each target word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3"/>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included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4"/>
    <w:bookmarkStart w:id="45"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interference.</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inter-trial interval (ITI; mean=500ms, range=250–750ms) or when the participant looked at the screen</w:t>
      </w:r>
      <w:r>
        <w:t xml:space="preserve"> </w:t>
      </w:r>
      <w:r>
        <w:t xml:space="preserve">(following</w:t>
      </w:r>
      <w:r>
        <w:t xml:space="preserve"> </w:t>
      </w:r>
      <w:hyperlink w:anchor="ref-nencheva2021moment">
        <w:r>
          <w:rPr>
            <w:rStyle w:val="Hyperlink"/>
          </w:rPr>
          <w:t xml:space="preserve">Nencheva et al., 2021</w:t>
        </w:r>
      </w:hyperlink>
      <w:r>
        <w:t xml:space="preserve">, to minimize anticipatory fluctuations in pupil size before stimulus onset)</w:t>
      </w:r>
      <w:r>
        <w:t xml:space="preserve">. During each exposure trial, a single target object appeared silently on the screen for 1,500ms or until the participant looked at the screen. Then, the exposure audio played. After audio offset,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which included two repetitions of the standard word form. After the offset of the audio, the side-by-side objects remained on the screen for an additional 2,000ms.</w:t>
      </w:r>
    </w:p>
    <w:bookmarkEnd w:id="45"/>
    <w:bookmarkStart w:id="46"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This condition includes phonological variation that is not attested in English CDS but is equated to the typical variation condition in the number of modifications made to the standard label, thereby providing tight experimental control.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6"/>
    <w:bookmarkStart w:id="47" w:name="data-pre-processing"/>
    <w:p>
      <w:pPr>
        <w:pStyle w:val="Heading2"/>
      </w:pPr>
      <w:r>
        <w:t xml:space="preserve">2.5 Data pre-processing</w:t>
      </w:r>
    </w:p>
    <w:p>
      <w:pPr>
        <w:pStyle w:val="FirstParagraph"/>
      </w:pPr>
      <w:r>
        <w:t xml:space="preserve">Gaze behavior was used to determine toddlers’ recognition of novel word–object pairings during two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recognition</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of looking to target objects during test trials (relative to their total time looking at either the target or distractor object) as the measure of word-recognition accuracy. For any given test trial to be included in analyses, we required at least one fixation to either the target or distractor object during the pre-naming baseline period and looking to either object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For pupillometry analyses, 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each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7"/>
    <w:bookmarkEnd w:id="48"/>
    <w:bookmarkStart w:id="58" w:name="results"/>
    <w:p>
      <w:pPr>
        <w:pStyle w:val="Heading1"/>
      </w:pPr>
      <w:r>
        <w:t xml:space="preserve">3. Results</w:t>
      </w:r>
    </w:p>
    <w:bookmarkStart w:id="53" w:name="X81d3246c4b93329a5d0d8f2a794f9a185512a61"/>
    <w:p>
      <w:pPr>
        <w:pStyle w:val="Heading2"/>
      </w:pPr>
      <w:r>
        <w:t xml:space="preserve">3.1 Word recognition measured by gaze behavior</w:t>
      </w:r>
    </w:p>
    <w:p>
      <w:pPr>
        <w:pStyle w:val="FirstParagraph"/>
      </w:pPr>
      <w:r>
        <w:t xml:space="preserve">Our primary pre-registered analysis examined whether toddlers successfully learned novel word–object mappings across conditions. Using the</w:t>
      </w:r>
      <w:r>
        <w:t xml:space="preserve"> </w:t>
      </w:r>
      <w:r>
        <w:rPr>
          <w:rStyle w:val="VerbatimChar"/>
        </w:rPr>
        <w:t xml:space="preserve">lme4</w:t>
      </w:r>
      <w:r>
        <w:t xml:space="preserve"> </w:t>
      </w:r>
      <w:r>
        <w:t xml:space="preserve">package</w:t>
      </w:r>
      <w:r>
        <w:t xml:space="preserve"> </w:t>
      </w:r>
      <w:r>
        <w:t xml:space="preserve">(</w:t>
      </w:r>
      <w:hyperlink w:anchor="ref-lme4">
        <w:r>
          <w:rPr>
            <w:rStyle w:val="Hyperlink"/>
          </w:rPr>
          <w:t xml:space="preserve">Bates et al., 2015</w:t>
        </w:r>
      </w:hyperlink>
      <w:r>
        <w:t xml:space="preserve">)</w:t>
      </w:r>
      <w:r>
        <w:t xml:space="preserve">,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mean-centered age</w:t>
      </w:r>
      <w:r>
        <w:rPr>
          <w:rStyle w:val="FootnoteReference"/>
        </w:rPr>
        <w:footnoteReference w:id="49"/>
      </w:r>
      <w:r>
        <w:t xml:space="preserve">, along with the maximal random effects structure that allowed for model convergence (by-participant and by-item random intercepts). We also replicated this analysis using zero-one-inflated beta regression under a Bayesian framework</w:t>
      </w:r>
      <w:r>
        <w:t xml:space="preserve"> </w:t>
      </w:r>
      <w:r>
        <w:t xml:space="preserve">(</w:t>
      </w:r>
      <w:hyperlink w:anchor="ref-liu2018review">
        <w:r>
          <w:rPr>
            <w:rStyle w:val="Hyperlink"/>
          </w:rPr>
          <w:t xml:space="preserve">Liu &amp; Eugenio, 2018</w:t>
        </w:r>
      </w:hyperlink>
      <w:r>
        <w:t xml:space="preserve">)</w:t>
      </w:r>
      <w:r>
        <w:t xml:space="preserve">, which yielded similar results (see Supplementary Materials).</w:t>
      </w:r>
    </w:p>
    <w:p>
      <w:pPr>
        <w:pStyle w:val="BodyText"/>
      </w:pPr>
      <w:r>
        <w:t xml:space="preserve">To evaluate whether children’s performance differed from chance within each condition, we first used the fitted model to estimate marginal means for each condition and then compared each estimated marginal mean (EMM) to chance performance (0.50). As predicted, toddlers’ performance was reliably above chance in the consistent condition (EMM=0.65,</w:t>
      </w:r>
      <w:r>
        <w:t xml:space="preserve"> </w:t>
      </w:r>
      <w:r>
        <w:rPr>
          <w:i/>
          <w:iCs/>
        </w:rPr>
        <w:t xml:space="preserve">SE</w:t>
      </w:r>
      <w:r>
        <w:t xml:space="preserve">=0.04, 95% CI [0.56, 0.73]). In addition, as predicted, toddlers’ performance was at chance in the atypical variation condition (EMM=0.54,</w:t>
      </w:r>
      <w:r>
        <w:t xml:space="preserve"> </w:t>
      </w:r>
      <w:r>
        <w:rPr>
          <w:i/>
          <w:iCs/>
        </w:rPr>
        <w:t xml:space="preserve">SE</w:t>
      </w:r>
      <w:r>
        <w:t xml:space="preserve">=0.04, 95% CI [0.45, 0.62]). The main condition of theoretical interest was the typical variation condition, in which we found that toddlers performed reliably above chance (EMM=0.60,</w:t>
      </w:r>
      <w:r>
        <w:t xml:space="preserve"> </w:t>
      </w:r>
      <w:r>
        <w:rPr>
          <w:i/>
          <w:iCs/>
        </w:rPr>
        <w:t xml:space="preserve">SE</w:t>
      </w:r>
      <w:r>
        <w:t xml:space="preserve">=0.04, 95% CI [0.51, 0.68]).</w:t>
      </w:r>
    </w:p>
    <w:p>
      <w:pPr>
        <w:pStyle w:val="BodyText"/>
      </w:pPr>
      <w:r>
        <w:t xml:space="preserve">We next examined between-condition differences, comparing performance in the consistent and typical variation conditions to the atypical variation condition (the reference level). Model parameter estimates revealed a significant positive effect of the consistent condition (</w:t>
      </w:r>
      <w:r>
        <w:rPr>
          <w:i/>
          <w:iCs/>
        </w:rPr>
        <w:t xml:space="preserve">β</w:t>
      </w:r>
      <w:r>
        <w:t xml:space="preserve">=0.47,</w:t>
      </w:r>
      <w:r>
        <w:t xml:space="preserve"> </w:t>
      </w:r>
      <w:r>
        <w:rPr>
          <w:i/>
          <w:iCs/>
        </w:rPr>
        <w:t xml:space="preserve">SE</w:t>
      </w:r>
      <w:r>
        <w:t xml:space="preserve">=0.22,</w:t>
      </w:r>
      <w:r>
        <w:t xml:space="preserve"> </w:t>
      </w:r>
      <w:r>
        <w:rPr>
          <w:i/>
          <w:iCs/>
        </w:rPr>
        <w:t xml:space="preserve">p</w:t>
      </w:r>
      <w:r>
        <w:t xml:space="preserve">=0.030), and a positive but non-significant effect of the typical variation condition (</w:t>
      </w:r>
      <w:r>
        <w:rPr>
          <w:i/>
          <w:iCs/>
        </w:rPr>
        <w:t xml:space="preserve">β</w:t>
      </w:r>
      <w:r>
        <w:t xml:space="preserve">=0.26,</w:t>
      </w:r>
      <w:r>
        <w:t xml:space="preserve"> </w:t>
      </w:r>
      <w:r>
        <w:rPr>
          <w:i/>
          <w:iCs/>
        </w:rPr>
        <w:t xml:space="preserve">SE</w:t>
      </w:r>
      <w:r>
        <w:t xml:space="preserve">=0.21,</w:t>
      </w:r>
      <w:r>
        <w:t xml:space="preserve"> </w:t>
      </w:r>
      <w:r>
        <w:rPr>
          <w:i/>
          <w:iCs/>
        </w:rPr>
        <w:t xml:space="preserve">p</w:t>
      </w:r>
      <w:r>
        <w:t xml:space="preserve">=0.231) on overall accuracy. Thus, although toddlers’ predicted performance in the typical variation condition was reliably above chance, it was not significantly higher than performance in the atypical variation condition. Toddlers’ proportion looking to target also increased significantly with age, as hypothesized (</w:t>
      </w:r>
      <w:r>
        <w:rPr>
          <w:i/>
          <w:iCs/>
        </w:rPr>
        <w:t xml:space="preserve">β</w:t>
      </w:r>
      <w:r>
        <w:t xml:space="preserve">=0.26,</w:t>
      </w:r>
      <w:r>
        <w:t xml:space="preserve"> </w:t>
      </w:r>
      <w:r>
        <w:rPr>
          <w:i/>
          <w:iCs/>
        </w:rPr>
        <w:t xml:space="preserve">SE</w:t>
      </w:r>
      <w:r>
        <w:t xml:space="preserve">=0.10,</w:t>
      </w:r>
      <w:r>
        <w:t xml:space="preserve"> </w:t>
      </w:r>
      <w:r>
        <w:rPr>
          <w:i/>
          <w:iCs/>
        </w:rPr>
        <w:t xml:space="preserve">p</w:t>
      </w:r>
      <w:r>
        <w:t xml:space="preserve">=0.010).</w:t>
      </w:r>
    </w:p>
    <w:p>
      <w:pPr>
        <w:pStyle w:val="CaptionedFigure"/>
      </w:pPr>
      <w:r>
        <w:drawing>
          <wp:inline>
            <wp:extent cx="5943600" cy="2476500"/>
            <wp:effectExtent b="0" l="0" r="0" t="0"/>
            <wp:docPr descr="Figure 1. Model-predicted accuracy (i.e., proportion looking to target object) by condition, overall (averaged between windows) and across both post-labeling windows (300–2000ms following label onset). Point ranges reflect estimated marginal means with 95% confidence intervals. Jittered dots show raw means for individual participants. The dashed line at 0.50 indicates chance performance." title="" id="51" name="Picture"/>
            <a:graphic>
              <a:graphicData uri="http://schemas.openxmlformats.org/drawingml/2006/picture">
                <pic:pic>
                  <pic:nvPicPr>
                    <pic:cNvPr descr="Figure1_combined.png" id="52" name="Picture"/>
                    <pic:cNvPicPr>
                      <a:picLocks noChangeArrowheads="1" noChangeAspect="1"/>
                    </pic:cNvPicPr>
                  </pic:nvPicPr>
                  <pic:blipFill>
                    <a:blip r:embed="rId50"/>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1. Model-predicted accuracy (i.e., proportion looking to target object) by condition, overall (averaged between windows) and across both post-labeling windows (300–2000ms following label onset). Point ranges reflect estimated marginal means with 95% confidence intervals. Jittered dots show raw means for individual participants. The dashed line at 0.50 indicates chance performance.</w:t>
      </w:r>
    </w:p>
    <w:p>
      <w:pPr>
        <w:pStyle w:val="BodyText"/>
      </w:pPr>
      <w:r>
        <w:t xml:space="preserve">Exploratory analyses suggested descriptively stronger condition differences in the first post-labeling window, which is the typical window of analysis used in LWL studies to examine word recognition</w:t>
      </w:r>
      <w:r>
        <w:t xml:space="preserve"> </w:t>
      </w:r>
      <w:r>
        <w:t xml:space="preserve">(</w:t>
      </w:r>
      <w:hyperlink w:anchor="ref-fernald2008looking">
        <w:r>
          <w:rPr>
            <w:rStyle w:val="Hyperlink"/>
          </w:rPr>
          <w:t xml:space="preserve">Fernald et al., 2008</w:t>
        </w:r>
      </w:hyperlink>
      <w:r>
        <w:t xml:space="preserve">)</w:t>
      </w:r>
      <w:r>
        <w:t xml:space="preserve">. In the second post-labeling window, which is less frequently implemented in LWL studies, children’s performance was reliably above chance in all conditions (all</w:t>
      </w:r>
      <w:r>
        <w:t xml:space="preserve"> </w:t>
      </w:r>
      <w:r>
        <w:rPr>
          <w:i/>
          <w:iCs/>
        </w:rPr>
        <w:t xml:space="preserve">p</w:t>
      </w:r>
      <w:r>
        <w:t xml:space="preserve">s&lt;0.05), indicating some evidence of learning across all types of exposure (see Supplementary Materials for further details). Adding post-labeling window to the base model revealed no effect of window (</w:t>
      </w:r>
      <w:r>
        <w:rPr>
          <w:i/>
          <w:iCs/>
        </w:rPr>
        <w:t xml:space="preserve">β</w:t>
      </w:r>
      <w:r>
        <w:t xml:space="preserve">=0.10,</w:t>
      </w:r>
      <w:r>
        <w:t xml:space="preserve"> </w:t>
      </w:r>
      <w:r>
        <w:rPr>
          <w:i/>
          <w:iCs/>
        </w:rPr>
        <w:t xml:space="preserve">SE</w:t>
      </w:r>
      <w:r>
        <w:t xml:space="preserve">=0.14,</w:t>
      </w:r>
      <w:r>
        <w:t xml:space="preserve"> </w:t>
      </w:r>
      <w:r>
        <w:rPr>
          <w:i/>
          <w:iCs/>
        </w:rPr>
        <w:t xml:space="preserve">p</w:t>
      </w:r>
      <w:r>
        <w:t xml:space="preserve">=0.482). Adding an interaction between window and condition did not significantly improve the model fit (</w:t>
      </w:r>
      <m:oMath>
        <m:sSup>
          <m:e>
            <m:r>
              <m:t>χ</m:t>
            </m:r>
          </m:e>
          <m:sup>
            <m:r>
              <m:t>2</m:t>
            </m:r>
          </m:sup>
        </m:sSup>
      </m:oMath>
      <w:r>
        <w:t xml:space="preserve">(2)=0.54,</w:t>
      </w:r>
      <w:r>
        <w:t xml:space="preserve"> </w:t>
      </w:r>
      <w:r>
        <w:rPr>
          <w:i/>
          <w:iCs/>
        </w:rPr>
        <w:t xml:space="preserve">p</w:t>
      </w:r>
      <w:r>
        <w:t xml:space="preserve">=0.765).</w:t>
      </w:r>
      <w:r>
        <w:t xml:space="preserve"> </w:t>
      </w:r>
      <w:r>
        <w:rPr>
          <w:b/>
          <w:bCs/>
        </w:rPr>
        <w:t xml:space="preserve">Figure 1</w:t>
      </w:r>
      <w:r>
        <w:t xml:space="preserve"> </w:t>
      </w:r>
      <w:r>
        <w:t xml:space="preserve">shows model-predicted accuracy across conditions, overall and separately for the two post-labeling windows.</w:t>
      </w:r>
    </w:p>
    <w:bookmarkEnd w:id="53"/>
    <w:bookmarkStart w:id="57"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This transformation rescales DTW distances such that higher values reflect greater synchrony (i.e., greater shared engagement between toddlers). To compare synchrony across conditions, we computed pairwise synchrony scores for all possible pairs of participants (for each exposure sentence per condition). Higher synchrony values indicate that participants’ pupils dilated and constricted more similarly over time, suggesting more aligned attentional engagement during learning. Synchrony values were</w:t>
      </w:r>
      <w:r>
        <w:t xml:space="preserve"> </w:t>
      </w:r>
      <w:r>
        <w:rPr>
          <w:i/>
          <w:iCs/>
        </w:rPr>
        <w:t xml:space="preserve">z</w:t>
      </w:r>
      <w:r>
        <w:t xml:space="preserve">-scored prior to analysis, so positive values indicate greater-than-average synchrony in our sample, and negative values indicate lower-than-average synchrony.</w:t>
      </w:r>
    </w:p>
    <w:p>
      <w:pPr>
        <w:pStyle w:val="BodyText"/>
      </w:pPr>
      <w:r>
        <w:t xml:space="preserve">We compared synchrony during exposure sentences with typical variants versus atypical variants versus consistent labels (see also Supplementary Materials for word-level effects and analyses for all exposure sentences).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w:t>
      </w:r>
      <w:r>
        <w:rPr>
          <w:i/>
          <w:iCs/>
        </w:rPr>
        <w:t xml:space="preserve">z</w:t>
      </w:r>
      <w:r>
        <w:t xml:space="preserve">-scored)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also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943600" cy="3714749"/>
            <wp:effectExtent b="0" l="0" r="0" t="0"/>
            <wp:docPr descr="Figure 2. Model-predicted mean pupil size synchrony (z-scored) across conditions with 95% confidence intervals. Pupil size synchrony is a proxy for shared attention between participants, so greater values represent more shared attention. Jittered points represent participant means." title="" id="55" name="Picture"/>
            <a:graphic>
              <a:graphicData uri="http://schemas.openxmlformats.org/drawingml/2006/picture">
                <pic:pic>
                  <pic:nvPicPr>
                    <pic:cNvPr descr="Figure2.png" id="56" name="Picture"/>
                    <pic:cNvPicPr>
                      <a:picLocks noChangeArrowheads="1" noChangeAspect="1"/>
                    </pic:cNvPicPr>
                  </pic:nvPicPr>
                  <pic:blipFill>
                    <a:blip r:embed="rId54"/>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2. Model-predicted mean pupil size synchrony (z-scored) across conditions with 95% confidence intervals. Pupil size synchrony is a proxy for shared attention between participants, so greater values represent more shared attention. Jittered points represent participant means.</w:t>
      </w:r>
    </w:p>
    <w:p>
      <w:pPr>
        <w:pStyle w:val="BodyText"/>
      </w:pPr>
      <w:r>
        <w:t xml:space="preserve">To understand if toddlers’ moment-to-moment engagement with consistent versus variable labels predicted their novel word learning, we tested whether or not a given participant’s proportion looking to a target object during test trials could be reliably predicted from their average pupil size synchrony for that target word during training trials. We added mean pupil size synchrony (</w:t>
      </w:r>
      <w:r>
        <w:rPr>
          <w:i/>
          <w:iCs/>
        </w:rPr>
        <w:t xml:space="preserve">z</w:t>
      </w:r>
      <w:r>
        <w:t xml:space="preserve">-scored) as an additional fixed effect, along with a condition-by-synchrony interaction term, to our main mixed-effects logistic regression model from Section 3.1; however, the addition of these terms did not significantly improve model fit (</w:t>
      </w:r>
      <m:oMath>
        <m:sSup>
          <m:e>
            <m:r>
              <m:t>χ</m:t>
            </m:r>
          </m:e>
          <m:sup>
            <m:r>
              <m:t>2</m:t>
            </m:r>
          </m:sup>
        </m:sSup>
      </m:oMath>
      <w:r>
        <w:t xml:space="preserve">(3)=2.41,</w:t>
      </w:r>
      <w:r>
        <w:t xml:space="preserve"> </w:t>
      </w:r>
      <w:r>
        <w:rPr>
          <w:i/>
          <w:iCs/>
        </w:rPr>
        <w:t xml:space="preserve">p</w:t>
      </w:r>
      <w:r>
        <w:t xml:space="preserve">=0.491).</w:t>
      </w:r>
    </w:p>
    <w:bookmarkEnd w:id="57"/>
    <w:bookmarkEnd w:id="58"/>
    <w:bookmarkStart w:id="59" w:name="discussion"/>
    <w:p>
      <w:pPr>
        <w:pStyle w:val="Heading1"/>
      </w:pPr>
      <w:r>
        <w:t xml:space="preserve">4. Discussion</w:t>
      </w:r>
    </w:p>
    <w:p>
      <w:pPr>
        <w:pStyle w:val="FirstParagraph"/>
      </w:pPr>
      <w:r>
        <w:t xml:space="preserve">We tested how consistent versus variable labels impact English-hearing toddlers’ learning of novel word–object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w:t>
      </w:r>
      <w:r>
        <w:t xml:space="preserve"> </w:t>
      </w:r>
      <w:r>
        <w:t xml:space="preserve">(e.g.,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 causal impact of hearing multiple label variants on children’s learning of new words.</w:t>
      </w:r>
    </w:p>
    <w:p>
      <w:pPr>
        <w:pStyle w:val="BodyText"/>
      </w:pPr>
      <w:r>
        <w:t xml:space="preserve">As hypothesized, children performed above chance in the consistent condition, replicating decades of findings showing that children can learn novel one-to-one mappings from a brief exposure phase. The primary goal of this study was to determine how children contend with two different types of label variation. As predicted, performance was at chance in the atypical variation condition. However, performance was above chance in the typical variation condition, indicating that toddlers can successfully learn from variable input, particularly when variant labels match the type that they might hear at home. Overall, the key finding was evidence of learning in the consistent and typical variation conditions, but not in the atypical variation condition, based on proportion looking to the target object overall and during the first post-labeling window.</w:t>
      </w:r>
    </w:p>
    <w:p>
      <w:pPr>
        <w:pStyle w:val="BodyText"/>
      </w:pPr>
      <w:r>
        <w:t xml:space="preserve">Between-condition effects were generally weak and non-significant, likely driven by the short length of the in-lab task relative to the longer developmental timescales over which children hear multiple interchangeable labels</w:t>
      </w:r>
      <w:r>
        <w:t xml:space="preserve"> </w:t>
      </w:r>
      <w:r>
        <w:t xml:space="preserve">(</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Accordingly, these results warrant caution when interpreting the magnitude of differences between hearing consistent versus variable labels, particularly over short timescales. Additionally, exploratory analyses of the two post-labeling windows suggested that condition differences were most apparent in toddlers’ looking behavior following the first instance of the label, which is the window used most often to index word recognition in looking-while-listening paradigms</w:t>
      </w:r>
      <w:r>
        <w:t xml:space="preserve"> </w:t>
      </w:r>
      <w:r>
        <w:t xml:space="preserve">(</w:t>
      </w:r>
      <w:hyperlink w:anchor="ref-fernald2008looking">
        <w:r>
          <w:rPr>
            <w:rStyle w:val="Hyperlink"/>
          </w:rPr>
          <w:t xml:space="preserve">Fernald et al., 2008</w:t>
        </w:r>
      </w:hyperlink>
      <w:r>
        <w:t xml:space="preserve">)</w:t>
      </w:r>
      <w:r>
        <w:t xml:space="preserve">. 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eventually demonstrated some recognition of words learned during consistent and variable labeling conditions.</w:t>
      </w:r>
    </w:p>
    <w:p>
      <w:pPr>
        <w:pStyle w:val="BodyText"/>
      </w:pPr>
      <w:r>
        <w:t xml:space="preserve">Our current findings cannot fully tease apart different explanations for why children successfully learned from both consistent and (typically) variable labels. That is, we do not know if learning was anchored in toddlers’ exposures to the standard word form, or in forming associations between each variant and its referent. It is possible that exposure to repetitions of the standard label was sufficient for children to learn label–object mappings,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Given the length of the experiment, it was not feasible to also test children’s recognition of typical and atypical variants themselves (in addition to standard word forms), thus we cannot determine exactly what children encoded about the specific label variants. Future work could further test the effects of exposure to label variants, for instance, by probing whether toddlers show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 </w:t>
      </w:r>
      <w:r>
        <w:t xml:space="preserve">after hearing variable rather than consistent input.</w:t>
      </w:r>
    </w:p>
    <w:p>
      <w:pPr>
        <w:pStyle w:val="BodyText"/>
      </w:pPr>
      <w:r>
        <w:t xml:space="preserve">Another open question is why toddlers showed more evidence of learning in the typical variation condition than in the atypical variation condition. One possibility is that English-hearing toddlers come to expect certain types of variants based on their experience with label variation in naturalistic speech. Unattested, atypical variants may have been less predictable, potentially disrupting learning. Another possibility is that the typical variants in our study preserved phonological information that supports early word recognition, including word onsets and stressed syllables. Young children make use of word onsets during real-time processing</w:t>
      </w:r>
      <w:r>
        <w:t xml:space="preserve"> </w:t>
      </w:r>
      <w:r>
        <w:t xml:space="preserve">(e.g.,</w:t>
      </w:r>
      <w:r>
        <w:t xml:space="preserve"> </w:t>
      </w:r>
      <w:hyperlink w:anchor="ref-swingley1999continuous">
        <w:r>
          <w:rPr>
            <w:rStyle w:val="Hyperlink"/>
          </w:rPr>
          <w:t xml:space="preserve">Swingley et al., 1999</w:t>
        </w:r>
      </w:hyperlink>
      <w:r>
        <w:t xml:space="preserve">)</w:t>
      </w:r>
      <w:r>
        <w:t xml:space="preserve"> </w:t>
      </w:r>
      <w:r>
        <w:t xml:space="preserve">and are sensitive to strong-weak disyllabic stress patterns</w:t>
      </w:r>
      <w:r>
        <w:t xml:space="preserve"> </w:t>
      </w:r>
      <w:r>
        <w:t xml:space="preserve">(e.g.,</w:t>
      </w:r>
      <w:r>
        <w:t xml:space="preserve"> </w:t>
      </w:r>
      <w:hyperlink w:anchor="ref-jusczyk1993infants1993">
        <w:r>
          <w:rPr>
            <w:rStyle w:val="Hyperlink"/>
          </w:rPr>
          <w:t xml:space="preserve">Jusczyk et al., 1993</w:t>
        </w:r>
      </w:hyperlink>
      <w:r>
        <w:t xml:space="preserve">)</w:t>
      </w:r>
      <w:r>
        <w:t xml:space="preserve">, so preserving these cues may have supported learning in the typical variation condition. Future work systematically manipulating variant familiarity, phonological overlap, and stress preservation will be important for identifying the mechanisms underlying children’s real-time processing of and learning from label variation. Additional work will also be needed to account for children’s ability to accommodate the full scope label variation found in naturalistic input (e.g.,</w:t>
      </w:r>
      <w:r>
        <w:t xml:space="preserve"> </w:t>
      </w:r>
      <w:r>
        <w:rPr>
          <w:i/>
          <w:iCs/>
        </w:rPr>
        <w:t xml:space="preserve">dog</w:t>
      </w:r>
      <w:r>
        <w:t xml:space="preserve">,</w:t>
      </w:r>
      <w:r>
        <w:t xml:space="preserve"> </w:t>
      </w:r>
      <w:r>
        <w:rPr>
          <w:i/>
          <w:iCs/>
        </w:rPr>
        <w:t xml:space="preserve">bow-wow</w:t>
      </w:r>
      <w:r>
        <w:t xml:space="preserve">,</w:t>
      </w:r>
      <w:r>
        <w:t xml:space="preserve"> </w:t>
      </w:r>
      <w:r>
        <w:rPr>
          <w:i/>
          <w:iCs/>
        </w:rPr>
        <w:t xml:space="preserve">hound</w:t>
      </w:r>
      <w:r>
        <w:t xml:space="preserve">,</w:t>
      </w:r>
      <w:r>
        <w:t xml:space="preserve"> </w:t>
      </w:r>
      <w:r>
        <w:rPr>
          <w:i/>
          <w:iCs/>
        </w:rPr>
        <w:t xml:space="preserve">pup</w:t>
      </w:r>
      <w:r>
        <w:t xml:space="preserve">, etc.).</w:t>
      </w:r>
    </w:p>
    <w:p>
      <w:pPr>
        <w:pStyle w:val="BodyText"/>
      </w:pPr>
      <w:r>
        <w:t xml:space="preserve">In the current study, pupillometry analyses provide complementary insight into children’s moment-to-moment engagement during learning. Attention, indexed by pupil size synchrony across participants</w:t>
      </w:r>
      <w:r>
        <w:t xml:space="preserve"> </w:t>
      </w:r>
      <w:r>
        <w:t xml:space="preserve">(</w:t>
      </w:r>
      <w:hyperlink w:anchor="ref-kang2017pupil">
        <w:r>
          <w:rPr>
            <w:rStyle w:val="Hyperlink"/>
          </w:rPr>
          <w:t xml:space="preserve">Kang &amp; Wheatley, 2017</w:t>
        </w:r>
      </w:hyperlink>
      <w:r>
        <w:t xml:space="preserve">;</w:t>
      </w:r>
      <w:r>
        <w:t xml:space="preserve"> </w:t>
      </w:r>
      <w:hyperlink w:anchor="ref-nencheva2021moment">
        <w:r>
          <w:rPr>
            <w:rStyle w:val="Hyperlink"/>
          </w:rPr>
          <w:t xml:space="preserve">Nencheva et al., 2021</w:t>
        </w:r>
      </w:hyperlink>
      <w:r>
        <w:t xml:space="preserve">)</w:t>
      </w:r>
      <w:r>
        <w:t xml:space="preserve">,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prior findings suggest a link between synchrony and learning</w:t>
      </w:r>
      <w:r>
        <w:t xml:space="preserve"> </w:t>
      </w:r>
      <w:r>
        <w:t xml:space="preserve">(</w:t>
      </w:r>
      <w:hyperlink w:anchor="ref-nencheva2021moment">
        <w:r>
          <w:rPr>
            <w:rStyle w:val="Hyperlink"/>
          </w:rPr>
          <w:t xml:space="preserve">Nencheva et al., 2021</w:t>
        </w:r>
      </w:hyperlink>
      <w:r>
        <w:t xml:space="preserve">)</w:t>
      </w:r>
      <w:r>
        <w:t xml:space="preserve">, which might have been observed if children were also tested on their recognition of variant labels. Our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the current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above-chance word-recognition at test. These findings suggest that naturalistic label variation in children’s input is not merely noise and may play a facilitative role in early word learning. Future work that directly tests children’s learning of label variants, tracks longer-term retention of multiple labels, or examines generalization across novel variants will be critical for understanding how variability may support vocabulary growth across early development.</w:t>
      </w:r>
    </w:p>
    <w:bookmarkEnd w:id="59"/>
    <w:bookmarkStart w:id="189" w:name="references"/>
    <w:p>
      <w:pPr>
        <w:pStyle w:val="Heading1"/>
      </w:pPr>
      <w:r>
        <w:t xml:space="preserve">5. References</w:t>
      </w:r>
    </w:p>
    <w:bookmarkStart w:id="188" w:name="refs"/>
    <w:bookmarkStart w:id="61"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0">
        <w:r>
          <w:rPr>
            <w:rStyle w:val="Hyperlink"/>
          </w:rPr>
          <w:t xml:space="preserve">https://doi.org/10.18637/jss.v067.i01</w:t>
        </w:r>
      </w:hyperlink>
    </w:p>
    <w:bookmarkEnd w:id="61"/>
    <w:bookmarkStart w:id="63" w:name="ref-praat"/>
    <w:p>
      <w:pPr>
        <w:pStyle w:val="Bibliography"/>
      </w:pPr>
      <w:r>
        <w:t xml:space="preserve">Boersma, P., &amp; Weenink, D. (2025).</w:t>
      </w:r>
      <w:r>
        <w:t xml:space="preserve"> </w:t>
      </w:r>
      <w:r>
        <w:rPr>
          <w:i/>
          <w:iCs/>
        </w:rPr>
        <w:t xml:space="preserve">Praat: Doing phonetics by computer</w:t>
      </w:r>
      <w:r>
        <w:t xml:space="preserve"> </w:t>
      </w:r>
      <w:r>
        <w:t xml:space="preserve">[Computer software].</w:t>
      </w:r>
      <w:r>
        <w:t xml:space="preserve"> </w:t>
      </w:r>
      <w:hyperlink r:id="rId62">
        <w:r>
          <w:rPr>
            <w:rStyle w:val="Hyperlink"/>
          </w:rPr>
          <w:t xml:space="preserve">https://praat.org</w:t>
        </w:r>
      </w:hyperlink>
    </w:p>
    <w:bookmarkEnd w:id="63"/>
    <w:bookmarkStart w:id="65"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r>
        <w:t xml:space="preserve"> </w:t>
      </w:r>
      <w:hyperlink r:id="rId64">
        <w:r>
          <w:rPr>
            <w:rStyle w:val="Hyperlink"/>
          </w:rPr>
          <w:t xml:space="preserve">https://doi.org/10.1162/opmi_a_00026</w:t>
        </w:r>
      </w:hyperlink>
    </w:p>
    <w:bookmarkEnd w:id="65"/>
    <w:bookmarkStart w:id="67"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r>
        <w:t xml:space="preserve"> </w:t>
      </w:r>
      <w:hyperlink r:id="rId66">
        <w:r>
          <w:rPr>
            <w:rStyle w:val="Hyperlink"/>
          </w:rPr>
          <w:t xml:space="preserve">https://doi.org/10.1111/j.1467-968X.1968.tb01132.x</w:t>
        </w:r>
      </w:hyperlink>
    </w:p>
    <w:bookmarkEnd w:id="67"/>
    <w:bookmarkStart w:id="69"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r>
        <w:t xml:space="preserve"> </w:t>
      </w:r>
      <w:hyperlink r:id="rId68">
        <w:r>
          <w:rPr>
            <w:rStyle w:val="Hyperlink"/>
          </w:rPr>
          <w:t xml:space="preserve">https://doi.org/10.1037/0012-1649.40.5.746</w:t>
        </w:r>
      </w:hyperlink>
    </w:p>
    <w:bookmarkEnd w:id="69"/>
    <w:bookmarkStart w:id="71"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r>
        <w:t xml:space="preserve"> </w:t>
      </w:r>
      <w:hyperlink r:id="rId70">
        <w:r>
          <w:rPr>
            <w:rStyle w:val="Hyperlink"/>
          </w:rPr>
          <w:t xml:space="preserve">https://doi.org/10.1086/463971</w:t>
        </w:r>
      </w:hyperlink>
    </w:p>
    <w:bookmarkEnd w:id="71"/>
    <w:bookmarkStart w:id="73"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r>
        <w:t xml:space="preserve"> </w:t>
      </w:r>
      <w:hyperlink r:id="rId72">
        <w:r>
          <w:rPr>
            <w:rStyle w:val="Hyperlink"/>
          </w:rPr>
          <w:t xml:space="preserve">https://escholarship.org/uc/item/7hb9113g</w:t>
        </w:r>
      </w:hyperlink>
    </w:p>
    <w:bookmarkEnd w:id="73"/>
    <w:bookmarkStart w:id="75"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r>
        <w:t xml:space="preserve"> </w:t>
      </w:r>
      <w:hyperlink r:id="rId74">
        <w:r>
          <w:rPr>
            <w:rStyle w:val="Hyperlink"/>
          </w:rPr>
          <w:t xml:space="preserve">https://doi.org/10.1017/S0305000900012393</w:t>
        </w:r>
      </w:hyperlink>
    </w:p>
    <w:bookmarkEnd w:id="75"/>
    <w:bookmarkStart w:id="77" w:name="ref-deak2001any"/>
    <w:p>
      <w:pPr>
        <w:pStyle w:val="Bibliography"/>
      </w:pPr>
      <w:r>
        <w:t xml:space="preserve">Deák,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r>
        <w:t xml:space="preserve"> </w:t>
      </w:r>
      <w:hyperlink r:id="rId76">
        <w:r>
          <w:rPr>
            <w:rStyle w:val="Hyperlink"/>
          </w:rPr>
          <w:t xml:space="preserve">https://doi.org/10.1017/s0305000901004858</w:t>
        </w:r>
      </w:hyperlink>
    </w:p>
    <w:bookmarkEnd w:id="77"/>
    <w:bookmarkStart w:id="79" w:name="ref-faul2009statistical"/>
    <w:p>
      <w:pPr>
        <w:pStyle w:val="Bibliography"/>
      </w:pPr>
      <w:r>
        <w:t xml:space="preserve">Faul, F., Erdfelder, E., Buchner, A., &amp; Lang, A.-G. (2009). Statistical power analyses using</w:t>
      </w:r>
      <w:r>
        <w:t xml:space="preserve"> </w:t>
      </w:r>
      <w:r>
        <w:t xml:space="preserve">G</w:t>
      </w:r>
      <w:r>
        <w:t xml:space="preserve">*</w:t>
      </w:r>
      <w:r>
        <w:t xml:space="preserve"> </w:t>
      </w:r>
      <w:r>
        <w:t xml:space="preserve">P</w:t>
      </w:r>
      <w:r>
        <w:t xml:space="preserve">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8">
        <w:r>
          <w:rPr>
            <w:rStyle w:val="Hyperlink"/>
          </w:rPr>
          <w:t xml:space="preserve">https://doi.org/10.3758/BRM.41.4.1149</w:t>
        </w:r>
      </w:hyperlink>
    </w:p>
    <w:bookmarkEnd w:id="79"/>
    <w:bookmarkStart w:id="81"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r>
        <w:t xml:space="preserve"> </w:t>
      </w:r>
      <w:hyperlink r:id="rId80">
        <w:r>
          <w:rPr>
            <w:rStyle w:val="Hyperlink"/>
          </w:rPr>
          <w:t xml:space="preserve">https://www.jstor.org/stable/pdf/668164.pdf</w:t>
        </w:r>
      </w:hyperlink>
    </w:p>
    <w:bookmarkEnd w:id="81"/>
    <w:bookmarkStart w:id="83"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r>
        <w:t xml:space="preserve"> </w:t>
      </w:r>
      <w:hyperlink r:id="rId82">
        <w:r>
          <w:rPr>
            <w:rStyle w:val="Hyperlink"/>
          </w:rPr>
          <w:t xml:space="preserve">https://doi.org/10.1075/lald.44.06fer</w:t>
        </w:r>
      </w:hyperlink>
    </w:p>
    <w:bookmarkEnd w:id="83"/>
    <w:bookmarkStart w:id="85" w:name="ref-frank2021variability"/>
    <w:p>
      <w:pPr>
        <w:pStyle w:val="Bibliography"/>
      </w:pPr>
      <w:r>
        <w:t xml:space="preserve">Frank, M. C., Braginsky, M., Yurovsky, D., &amp; Marchman, V. A. (2021).</w:t>
      </w:r>
      <w:r>
        <w:t xml:space="preserve"> </w:t>
      </w:r>
      <w:r>
        <w:rPr>
          <w:i/>
          <w:iCs/>
        </w:rPr>
        <w:t xml:space="preserve">Variability and consistency in early language learning: The</w:t>
      </w:r>
      <w:r>
        <w:rPr>
          <w:i/>
          <w:iCs/>
        </w:rPr>
        <w:t xml:space="preserve"> </w:t>
      </w:r>
      <w:r>
        <w:rPr>
          <w:i/>
          <w:iCs/>
        </w:rPr>
        <w:t xml:space="preserve">W</w:t>
      </w:r>
      <w:r>
        <w:rPr>
          <w:i/>
          <w:iCs/>
        </w:rPr>
        <w:t xml:space="preserve">ordbank project</w:t>
      </w:r>
      <w:r>
        <w:t xml:space="preserve">. MIT Press.</w:t>
      </w:r>
      <w:r>
        <w:t xml:space="preserve"> </w:t>
      </w:r>
      <w:hyperlink r:id="rId84">
        <w:r>
          <w:rPr>
            <w:rStyle w:val="Hyperlink"/>
          </w:rPr>
          <w:t xml:space="preserve">https://doi.org/10.7551/mitpress/11577.001.0001</w:t>
        </w:r>
      </w:hyperlink>
    </w:p>
    <w:bookmarkEnd w:id="85"/>
    <w:bookmarkStart w:id="87" w:name="ref-han2023che"/>
    <w:p>
      <w:pPr>
        <w:pStyle w:val="Bibliography"/>
      </w:pPr>
      <w:r>
        <w:t xml:space="preserve">Han, M., &amp; Gu, Y. (2023). Che-che (</w:t>
      </w:r>
      <w:r>
        <w:t xml:space="preserve">“car-car”</w:t>
      </w:r>
      <w:r>
        <w:t xml:space="preserve">) and chi-chi (</w:t>
      </w:r>
      <w:r>
        <w:t xml:space="preserve">“eat-eat”</w:t>
      </w:r>
      <w:r>
        <w:t xml:space="preserve">): Reduplication in</w:t>
      </w:r>
      <w:r>
        <w:t xml:space="preserve"> </w:t>
      </w:r>
      <w:r>
        <w:t xml:space="preserve">M</w:t>
      </w:r>
      <w:r>
        <w:t xml:space="preserve">andarin</w:t>
      </w:r>
      <w:r>
        <w:t xml:space="preserve"> </w:t>
      </w:r>
      <w:r>
        <w:t xml:space="preserve">C</w:t>
      </w:r>
      <w:r>
        <w:t xml:space="preserve">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r>
        <w:t xml:space="preserve"> </w:t>
      </w:r>
      <w:hyperlink r:id="rId86">
        <w:r>
          <w:rPr>
            <w:rStyle w:val="Hyperlink"/>
          </w:rPr>
          <w:t xml:space="preserve">https://escholarship.org/uc/item/8ks9p299</w:t>
        </w:r>
      </w:hyperlink>
    </w:p>
    <w:bookmarkEnd w:id="87"/>
    <w:bookmarkStart w:id="89"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r>
        <w:t xml:space="preserve"> </w:t>
      </w:r>
      <w:hyperlink r:id="rId88">
        <w:r>
          <w:rPr>
            <w:rStyle w:val="Hyperlink"/>
          </w:rPr>
          <w:t xml:space="preserve">https://rdrr.io/cran/stinepack/</w:t>
        </w:r>
      </w:hyperlink>
    </w:p>
    <w:bookmarkEnd w:id="89"/>
    <w:bookmarkStart w:id="91" w:name="ref-jusczyk1993infants1993"/>
    <w:p>
      <w:pPr>
        <w:pStyle w:val="Bibliography"/>
      </w:pPr>
      <w:r>
        <w:t xml:space="preserve">Jusczyk, P. W., Cutler, A., &amp; Redanz, N. J. (1993). Infants’</w:t>
      </w:r>
      <w:r>
        <w:t xml:space="preserve"> </w:t>
      </w:r>
      <w:r>
        <w:t xml:space="preserve">preference</w:t>
      </w:r>
      <w:r>
        <w:t xml:space="preserve"> </w:t>
      </w:r>
      <w:r>
        <w:t xml:space="preserve">for the</w:t>
      </w:r>
      <w:r>
        <w:t xml:space="preserve"> </w:t>
      </w:r>
      <w:r>
        <w:t xml:space="preserve">predominant</w:t>
      </w:r>
      <w:r>
        <w:t xml:space="preserve"> </w:t>
      </w:r>
      <w:r>
        <w:t xml:space="preserve">stress</w:t>
      </w:r>
      <w:r>
        <w:t xml:space="preserve"> </w:t>
      </w:r>
      <w:r>
        <w:t xml:space="preserve">patterns</w:t>
      </w:r>
      <w:r>
        <w:t xml:space="preserve"> </w:t>
      </w:r>
      <w:r>
        <w:t xml:space="preserve">of</w:t>
      </w:r>
      <w:r>
        <w:t xml:space="preserve"> </w:t>
      </w:r>
      <w:r>
        <w:t xml:space="preserve">English</w:t>
      </w:r>
      <w:r>
        <w:t xml:space="preserve"> </w:t>
      </w:r>
      <w:r>
        <w:t xml:space="preserve">words</w:t>
      </w:r>
      <w:r>
        <w:t xml:space="preserve">.</w:t>
      </w:r>
      <w:r>
        <w:t xml:space="preserve"> </w:t>
      </w:r>
      <w:r>
        <w:rPr>
          <w:i/>
          <w:iCs/>
        </w:rPr>
        <w:t xml:space="preserve">Child Development</w:t>
      </w:r>
      <w:r>
        <w:t xml:space="preserve">,</w:t>
      </w:r>
      <w:r>
        <w:t xml:space="preserve"> </w:t>
      </w:r>
      <w:r>
        <w:rPr>
          <w:i/>
          <w:iCs/>
        </w:rPr>
        <w:t xml:space="preserve">64</w:t>
      </w:r>
      <w:r>
        <w:t xml:space="preserve">(3), 675–687.</w:t>
      </w:r>
      <w:r>
        <w:t xml:space="preserve"> </w:t>
      </w:r>
      <w:hyperlink r:id="rId90">
        <w:r>
          <w:rPr>
            <w:rStyle w:val="Hyperlink"/>
          </w:rPr>
          <w:t xml:space="preserve">https://doi.org/10.1111/j.1467-8624.1993.tb02935.x</w:t>
        </w:r>
      </w:hyperlink>
    </w:p>
    <w:bookmarkEnd w:id="91"/>
    <w:bookmarkStart w:id="93" w:name="ref-kang2017pupil"/>
    <w:p>
      <w:pPr>
        <w:pStyle w:val="Bibliography"/>
      </w:pPr>
      <w:r>
        <w:t xml:space="preserve">Kang, O., &amp; Wheatley, T. (2017). Pupil dilation patterns spontaneously synchronize across individuals during shared attention.</w:t>
      </w:r>
      <w:r>
        <w:t xml:space="preserve"> </w:t>
      </w:r>
      <w:r>
        <w:rPr>
          <w:i/>
          <w:iCs/>
        </w:rPr>
        <w:t xml:space="preserve">Journal of Experimental Psychology: General</w:t>
      </w:r>
      <w:r>
        <w:t xml:space="preserve">,</w:t>
      </w:r>
      <w:r>
        <w:t xml:space="preserve"> </w:t>
      </w:r>
      <w:r>
        <w:rPr>
          <w:i/>
          <w:iCs/>
        </w:rPr>
        <w:t xml:space="preserve">146</w:t>
      </w:r>
      <w:r>
        <w:t xml:space="preserve">(4), 569.</w:t>
      </w:r>
      <w:r>
        <w:t xml:space="preserve"> </w:t>
      </w:r>
      <w:hyperlink r:id="rId92">
        <w:r>
          <w:rPr>
            <w:rStyle w:val="Hyperlink"/>
          </w:rPr>
          <w:t xml:space="preserve">https://doi.org/10.1037/xge0000271</w:t>
        </w:r>
      </w:hyperlink>
    </w:p>
    <w:bookmarkEnd w:id="93"/>
    <w:bookmarkStart w:id="95"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r>
        <w:t xml:space="preserve"> </w:t>
      </w:r>
      <w:hyperlink r:id="rId94">
        <w:r>
          <w:rPr>
            <w:rStyle w:val="Hyperlink"/>
          </w:rPr>
          <w:t xml:space="preserve">https://doi.org/10.3758/BF03193313</w:t>
        </w:r>
      </w:hyperlink>
    </w:p>
    <w:bookmarkEnd w:id="95"/>
    <w:bookmarkStart w:id="96"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96"/>
    <w:bookmarkStart w:id="98" w:name="ref-kidd2012goldilocks"/>
    <w:p>
      <w:pPr>
        <w:pStyle w:val="Bibliography"/>
      </w:pPr>
      <w:r>
        <w:t xml:space="preserve">Kidd, C., Piantadosi, S. T., &amp; Aslin, R. N. (2012). The</w:t>
      </w:r>
      <w:r>
        <w:t xml:space="preserve"> </w:t>
      </w:r>
      <w:r>
        <w:t xml:space="preserve">G</w:t>
      </w:r>
      <w:r>
        <w:t xml:space="preserve">oldilocks effect: Human infants allocate attention to visual sequences that are neither too simple nor too complex.</w:t>
      </w:r>
      <w:r>
        <w:t xml:space="preserve"> </w:t>
      </w:r>
      <w:r>
        <w:rPr>
          <w:i/>
          <w:iCs/>
        </w:rPr>
        <w:t xml:space="preserve">PLoS</w:t>
      </w:r>
      <w:r>
        <w:rPr>
          <w:i/>
          <w:iCs/>
        </w:rPr>
        <w:t xml:space="preserve"> </w:t>
      </w:r>
      <w:r>
        <w:rPr>
          <w:i/>
          <w:iCs/>
        </w:rPr>
        <w:t xml:space="preserve">One</w:t>
      </w:r>
      <w:r>
        <w:t xml:space="preserve">,</w:t>
      </w:r>
      <w:r>
        <w:t xml:space="preserve"> </w:t>
      </w:r>
      <w:r>
        <w:rPr>
          <w:i/>
          <w:iCs/>
        </w:rPr>
        <w:t xml:space="preserve">7</w:t>
      </w:r>
      <w:r>
        <w:t xml:space="preserve">(5), e36399.</w:t>
      </w:r>
      <w:r>
        <w:t xml:space="preserve"> </w:t>
      </w:r>
      <w:hyperlink r:id="rId97">
        <w:r>
          <w:rPr>
            <w:rStyle w:val="Hyperlink"/>
          </w:rPr>
          <w:t xml:space="preserve">https://doi.org/10.1371/journal.pone.0036399</w:t>
        </w:r>
      </w:hyperlink>
    </w:p>
    <w:bookmarkEnd w:id="98"/>
    <w:bookmarkStart w:id="100" w:name="ref-kidd2014goldilocks"/>
    <w:p>
      <w:pPr>
        <w:pStyle w:val="Bibliography"/>
      </w:pPr>
      <w:r>
        <w:t xml:space="preserve">Kidd, C., Piantadosi, S. T., &amp; Aslin, R. N. (2014). The</w:t>
      </w:r>
      <w:r>
        <w:t xml:space="preserve"> </w:t>
      </w:r>
      <w:r>
        <w:t xml:space="preserve">G</w:t>
      </w:r>
      <w:r>
        <w:t xml:space="preserve">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r>
        <w:t xml:space="preserve"> </w:t>
      </w:r>
      <w:hyperlink r:id="rId99">
        <w:r>
          <w:rPr>
            <w:rStyle w:val="Hyperlink"/>
          </w:rPr>
          <w:t xml:space="preserve">https://doi.org/10.1111/cdev.12263</w:t>
        </w:r>
      </w:hyperlink>
    </w:p>
    <w:bookmarkEnd w:id="100"/>
    <w:bookmarkStart w:id="102"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r>
        <w:t xml:space="preserve"> </w:t>
      </w:r>
      <w:hyperlink r:id="rId101">
        <w:r>
          <w:rPr>
            <w:rStyle w:val="Hyperlink"/>
          </w:rPr>
          <w:t xml:space="preserve">https://doi.org/10.1016/j.jecp.2017.03.017</w:t>
        </w:r>
      </w:hyperlink>
    </w:p>
    <w:bookmarkEnd w:id="102"/>
    <w:bookmarkStart w:id="104" w:name="ref-laing2019role"/>
    <w:p>
      <w:pPr>
        <w:pStyle w:val="Bibliography"/>
      </w:pPr>
      <w:r>
        <w:t xml:space="preserve">Laing, C. E.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r>
        <w:t xml:space="preserve"> </w:t>
      </w:r>
      <w:hyperlink r:id="rId103">
        <w:r>
          <w:rPr>
            <w:rStyle w:val="Hyperlink"/>
          </w:rPr>
          <w:t xml:space="preserve">https://doi.org/10.1017/langcog.2018.23</w:t>
        </w:r>
      </w:hyperlink>
    </w:p>
    <w:bookmarkEnd w:id="104"/>
    <w:bookmarkStart w:id="106" w:name="ref-liu2018review"/>
    <w:p>
      <w:pPr>
        <w:pStyle w:val="Bibliography"/>
      </w:pPr>
      <w:r>
        <w:t xml:space="preserve">Liu, F., &amp; Eugenio, E. C. (2018). A review and comparison of</w:t>
      </w:r>
      <w:r>
        <w:t xml:space="preserve"> </w:t>
      </w:r>
      <w:r>
        <w:t xml:space="preserve">B</w:t>
      </w:r>
      <w:r>
        <w:t xml:space="preserve">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r>
        <w:t xml:space="preserve"> </w:t>
      </w:r>
      <w:hyperlink r:id="rId105">
        <w:r>
          <w:rPr>
            <w:rStyle w:val="Hyperlink"/>
          </w:rPr>
          <w:t xml:space="preserve">https://doi.org/10.1177/0962280216650699</w:t>
        </w:r>
      </w:hyperlink>
    </w:p>
    <w:bookmarkEnd w:id="106"/>
    <w:bookmarkStart w:id="108" w:name="ref-manybabies2020quantifying"/>
    <w:p>
      <w:pPr>
        <w:pStyle w:val="Bibliography"/>
      </w:pPr>
      <w:r>
        <w:t xml:space="preserve">ManyBabies 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r>
        <w:t xml:space="preserve"> </w:t>
      </w:r>
      <w:hyperlink r:id="rId107">
        <w:r>
          <w:rPr>
            <w:rStyle w:val="Hyperlink"/>
          </w:rPr>
          <w:t xml:space="preserve">https://doi.org/10.1177/2515245919900809</w:t>
        </w:r>
      </w:hyperlink>
    </w:p>
    <w:bookmarkEnd w:id="108"/>
    <w:bookmarkStart w:id="110"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r>
        <w:t xml:space="preserve"> </w:t>
      </w:r>
      <w:hyperlink r:id="rId109">
        <w:r>
          <w:rPr>
            <w:rStyle w:val="Hyperlink"/>
          </w:rPr>
          <w:t xml:space="preserve">https://doi.org/10.1016/0010-0285(88)90017-5</w:t>
        </w:r>
      </w:hyperlink>
    </w:p>
    <w:bookmarkEnd w:id="110"/>
    <w:bookmarkStart w:id="112"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r>
        <w:t xml:space="preserve"> </w:t>
      </w:r>
      <w:hyperlink r:id="rId111">
        <w:r>
          <w:rPr>
            <w:rStyle w:val="Hyperlink"/>
          </w:rPr>
          <w:t xml:space="preserve">https://doi.org/10.1016/s0010-0285(03)00034-3</w:t>
        </w:r>
      </w:hyperlink>
    </w:p>
    <w:bookmarkEnd w:id="112"/>
    <w:bookmarkStart w:id="114" w:name="ref-mazuka2008japanese"/>
    <w:p>
      <w:pPr>
        <w:pStyle w:val="Bibliography"/>
      </w:pPr>
      <w:r>
        <w:t xml:space="preserve">Mazuka, R., Kondo, T., &amp; Hayashi, A. (2008). Japanese mothers’ use of specialized vocabulary in infant-directed speech: Infant-directed vocabulary in</w:t>
      </w:r>
      <w:r>
        <w:t xml:space="preserve"> </w:t>
      </w:r>
      <w:r>
        <w:t xml:space="preserve">J</w:t>
      </w:r>
      <w:r>
        <w:t xml:space="preserve">apanese. In</w:t>
      </w:r>
      <w:r>
        <w:t xml:space="preserve"> </w:t>
      </w:r>
      <w:r>
        <w:rPr>
          <w:i/>
          <w:iCs/>
        </w:rPr>
        <w:t xml:space="preserve">The origins of language: Unraveling evolutionary forces</w:t>
      </w:r>
      <w:r>
        <w:t xml:space="preserve"> </w:t>
      </w:r>
      <w:r>
        <w:t xml:space="preserve">(pp. 39–58). Springer.</w:t>
      </w:r>
      <w:r>
        <w:t xml:space="preserve"> </w:t>
      </w:r>
      <w:hyperlink r:id="rId113">
        <w:r>
          <w:rPr>
            <w:rStyle w:val="Hyperlink"/>
          </w:rPr>
          <w:t xml:space="preserve">https://doi.org/10.1007/978-4-431-79102-7_4</w:t>
        </w:r>
      </w:hyperlink>
    </w:p>
    <w:bookmarkEnd w:id="114"/>
    <w:bookmarkStart w:id="116" w:name="ref-merriman1989mutual"/>
    <w:p>
      <w:pPr>
        <w:pStyle w:val="Bibliography"/>
      </w:pPr>
      <w:r>
        <w:t xml:space="preserve">Merriman, W. E., &amp; Bowman, L. L. (1989). The mutual exclusivity bias in children’s word learning.</w:t>
      </w:r>
      <w:r>
        <w:t xml:space="preserve"> </w:t>
      </w:r>
      <w:r>
        <w:rPr>
          <w:i/>
          <w:iCs/>
        </w:rPr>
        <w:t xml:space="preserve">Monographs of the Society for Research in Child Development</w:t>
      </w:r>
      <w:r>
        <w:t xml:space="preserve">,</w:t>
      </w:r>
      <w:r>
        <w:t xml:space="preserve"> </w:t>
      </w:r>
      <w:r>
        <w:rPr>
          <w:i/>
          <w:iCs/>
        </w:rPr>
        <w:t xml:space="preserve">54</w:t>
      </w:r>
      <w:r>
        <w:t xml:space="preserve">.</w:t>
      </w:r>
      <w:r>
        <w:t xml:space="preserve"> </w:t>
      </w:r>
      <w:hyperlink r:id="rId115">
        <w:r>
          <w:rPr>
            <w:rStyle w:val="Hyperlink"/>
          </w:rPr>
          <w:t xml:space="preserve">https://doi.org/10.2307/1166130</w:t>
        </w:r>
      </w:hyperlink>
    </w:p>
    <w:bookmarkEnd w:id="116"/>
    <w:bookmarkStart w:id="118"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r>
        <w:t xml:space="preserve"> </w:t>
      </w:r>
      <w:hyperlink r:id="rId117">
        <w:r>
          <w:rPr>
            <w:rStyle w:val="Hyperlink"/>
          </w:rPr>
          <w:t xml:space="preserve">https://doi.org/10.1097/00006199-199401000-00012</w:t>
        </w:r>
      </w:hyperlink>
    </w:p>
    <w:bookmarkEnd w:id="118"/>
    <w:bookmarkStart w:id="120"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r>
        <w:t xml:space="preserve"> </w:t>
      </w:r>
      <w:hyperlink r:id="rId119">
        <w:r>
          <w:rPr>
            <w:rStyle w:val="Hyperlink"/>
          </w:rPr>
          <w:t xml:space="preserve">https://doi.org/10.2307/1131312</w:t>
        </w:r>
      </w:hyperlink>
    </w:p>
    <w:bookmarkEnd w:id="120"/>
    <w:bookmarkStart w:id="122"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r>
        <w:t xml:space="preserve"> </w:t>
      </w:r>
      <w:hyperlink r:id="rId121">
        <w:r>
          <w:rPr>
            <w:rStyle w:val="Hyperlink"/>
          </w:rPr>
          <w:t xml:space="preserve">https://doi.org/10.1016/j.cognition.2017.05.003</w:t>
        </w:r>
      </w:hyperlink>
    </w:p>
    <w:bookmarkEnd w:id="122"/>
    <w:bookmarkStart w:id="124"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r>
        <w:t xml:space="preserve"> </w:t>
      </w:r>
      <w:hyperlink r:id="rId123">
        <w:r>
          <w:rPr>
            <w:rStyle w:val="Hyperlink"/>
          </w:rPr>
          <w:t xml:space="preserve">https://doi.org/10.1016/j.cognition.2023.105694</w:t>
        </w:r>
      </w:hyperlink>
    </w:p>
    <w:bookmarkEnd w:id="124"/>
    <w:bookmarkStart w:id="126"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r>
        <w:t xml:space="preserve"> </w:t>
      </w:r>
      <w:hyperlink r:id="rId125">
        <w:r>
          <w:rPr>
            <w:rStyle w:val="Hyperlink"/>
          </w:rPr>
          <w:t xml:space="preserve">https://doi.org/10.1111/desc.12997</w:t>
        </w:r>
      </w:hyperlink>
    </w:p>
    <w:bookmarkEnd w:id="126"/>
    <w:bookmarkStart w:id="128"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r>
        <w:t xml:space="preserve"> </w:t>
      </w:r>
      <w:hyperlink r:id="rId127">
        <w:r>
          <w:rPr>
            <w:rStyle w:val="Hyperlink"/>
          </w:rPr>
          <w:t xml:space="preserve">https://doi.org/10.1111/cogs.12628</w:t>
        </w:r>
      </w:hyperlink>
    </w:p>
    <w:bookmarkEnd w:id="128"/>
    <w:bookmarkStart w:id="130"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r>
        <w:t xml:space="preserve"> </w:t>
      </w:r>
      <w:hyperlink r:id="rId129">
        <w:r>
          <w:rPr>
            <w:rStyle w:val="Hyperlink"/>
          </w:rPr>
          <w:t xml:space="preserve">https://doi.org/10.1080/15475441.2016.1165100</w:t>
        </w:r>
      </w:hyperlink>
    </w:p>
    <w:bookmarkEnd w:id="130"/>
    <w:bookmarkStart w:id="132"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r>
        <w:t xml:space="preserve"> </w:t>
      </w:r>
      <w:hyperlink r:id="rId131">
        <w:r>
          <w:rPr>
            <w:rStyle w:val="Hyperlink"/>
          </w:rPr>
          <w:t xml:space="preserve">https://doi.org/10.1017/S0305000916000660</w:t>
        </w:r>
      </w:hyperlink>
    </w:p>
    <w:bookmarkEnd w:id="132"/>
    <w:bookmarkStart w:id="134"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r>
        <w:t xml:space="preserve"> </w:t>
      </w:r>
      <w:hyperlink r:id="rId133">
        <w:r>
          <w:rPr>
            <w:rStyle w:val="Hyperlink"/>
          </w:rPr>
          <w:t xml:space="preserve">https://doi.org/10.1037/dev0000610</w:t>
        </w:r>
      </w:hyperlink>
    </w:p>
    <w:bookmarkEnd w:id="134"/>
    <w:bookmarkStart w:id="136" w:name="ref-potter2024frequent"/>
    <w:p>
      <w:pPr>
        <w:pStyle w:val="Bibliography"/>
      </w:pPr>
      <w:r>
        <w:t xml:space="preserve">Potter, C. E., &amp; Lew-Williams, C. (2024). Frequent vs.</w:t>
      </w:r>
      <w:r>
        <w:t xml:space="preserve"> </w:t>
      </w:r>
      <w:r>
        <w:t xml:space="preserve">i</w:t>
      </w:r>
      <w:r>
        <w:t xml:space="preserve">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r>
        <w:t xml:space="preserve"> </w:t>
      </w:r>
      <w:hyperlink r:id="rId135">
        <w:r>
          <w:rPr>
            <w:rStyle w:val="Hyperlink"/>
          </w:rPr>
          <w:t xml:space="preserve">https://doi.org/10.1017/S0305000923000387</w:t>
        </w:r>
      </w:hyperlink>
    </w:p>
    <w:bookmarkEnd w:id="136"/>
    <w:bookmarkStart w:id="138" w:name="ref-pye1986quiche"/>
    <w:p>
      <w:pPr>
        <w:pStyle w:val="Bibliography"/>
      </w:pPr>
      <w:r>
        <w:t xml:space="preserve">Pye, C. (1986). Quich</w:t>
      </w:r>
      <w:r>
        <w:t xml:space="preserve">é</w:t>
      </w:r>
      <w:r>
        <w:t xml:space="preserve"> </w:t>
      </w:r>
      <w:r>
        <w:t xml:space="preserve">M</w:t>
      </w:r>
      <w:r>
        <w:t xml:space="preserve">ayan speech to children.</w:t>
      </w:r>
      <w:r>
        <w:t xml:space="preserve"> </w:t>
      </w:r>
      <w:r>
        <w:rPr>
          <w:i/>
          <w:iCs/>
        </w:rPr>
        <w:t xml:space="preserve">Journal of Child Language</w:t>
      </w:r>
      <w:r>
        <w:t xml:space="preserve">,</w:t>
      </w:r>
      <w:r>
        <w:t xml:space="preserve"> </w:t>
      </w:r>
      <w:r>
        <w:rPr>
          <w:i/>
          <w:iCs/>
        </w:rPr>
        <w:t xml:space="preserve">13</w:t>
      </w:r>
      <w:r>
        <w:t xml:space="preserve">(1), 85–100.</w:t>
      </w:r>
      <w:r>
        <w:t xml:space="preserve"> </w:t>
      </w:r>
      <w:hyperlink r:id="rId137">
        <w:r>
          <w:rPr>
            <w:rStyle w:val="Hyperlink"/>
          </w:rPr>
          <w:t xml:space="preserve">https://doi.org/10.1017/S0305000900000313</w:t>
        </w:r>
      </w:hyperlink>
    </w:p>
    <w:bookmarkEnd w:id="138"/>
    <w:bookmarkStart w:id="140" w:name="ref-quam2023protracted"/>
    <w:p>
      <w:pPr>
        <w:pStyle w:val="Bibliography"/>
      </w:pPr>
      <w:r>
        <w:t xml:space="preserve">Quam, C., &amp; Swingley, D. (2023). A protracted developmental trajectory for</w:t>
      </w:r>
      <w:r>
        <w:t xml:space="preserve"> </w:t>
      </w:r>
      <w:r>
        <w:t xml:space="preserve">E</w:t>
      </w:r>
      <w:r>
        <w:t xml:space="preserv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r>
        <w:t xml:space="preserve"> </w:t>
      </w:r>
      <w:hyperlink r:id="rId139">
        <w:r>
          <w:rPr>
            <w:rStyle w:val="Hyperlink"/>
          </w:rPr>
          <w:t xml:space="preserve">https://doi.org/10.1080/10489223.2022.2069026</w:t>
        </w:r>
      </w:hyperlink>
    </w:p>
    <w:bookmarkEnd w:id="140"/>
    <w:bookmarkStart w:id="142" w:name="ref-rasanen2018infant"/>
    <w:p>
      <w:pPr>
        <w:pStyle w:val="Bibliography"/>
      </w:pPr>
      <w:r>
        <w:t xml:space="preserve">Räsänen, O., Kakouros, S., &amp; Soderstrom, M. (2018). Is infant-directed speech interesting because it is surprising?–</w:t>
      </w:r>
      <w:r>
        <w:t xml:space="preserve">L</w:t>
      </w:r>
      <w:r>
        <w:t xml:space="preserve">inking properties of</w:t>
      </w:r>
      <w:r>
        <w:t xml:space="preserve"> </w:t>
      </w:r>
      <w:r>
        <w:t xml:space="preserve">IDS</w:t>
      </w:r>
      <w:r>
        <w:t xml:space="preserve"> </w:t>
      </w:r>
      <w:r>
        <w:t xml:space="preserve">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r>
        <w:t xml:space="preserve"> </w:t>
      </w:r>
      <w:hyperlink r:id="rId141">
        <w:r>
          <w:rPr>
            <w:rStyle w:val="Hyperlink"/>
          </w:rPr>
          <w:t xml:space="preserve">https://doi.org/10.1016/j.cognition.2018.05.015</w:t>
        </w:r>
      </w:hyperlink>
    </w:p>
    <w:bookmarkEnd w:id="142"/>
    <w:bookmarkStart w:id="144"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r>
        <w:t xml:space="preserve"> </w:t>
      </w:r>
      <w:hyperlink r:id="rId143">
        <w:r>
          <w:rPr>
            <w:rStyle w:val="Hyperlink"/>
          </w:rPr>
          <w:t xml:space="preserve">https://doi.org/10.1207/s15516709cog0000_31</w:t>
        </w:r>
      </w:hyperlink>
    </w:p>
    <w:bookmarkEnd w:id="144"/>
    <w:bookmarkStart w:id="146" w:name="ref-reuter2025relative"/>
    <w:p>
      <w:pPr>
        <w:pStyle w:val="Bibliography"/>
      </w:pPr>
      <w:r>
        <w:t xml:space="preserve">Reuter, T. E., &amp; Emberson, L. L. (2025). Relative contributions of predictive vs. Associative processes to infant looking behavior during language comprehension.</w:t>
      </w:r>
      <w:r>
        <w:t xml:space="preserve"> </w:t>
      </w:r>
      <w:r>
        <w:rPr>
          <w:i/>
          <w:iCs/>
        </w:rPr>
        <w:t xml:space="preserve">Journal of Child Language</w:t>
      </w:r>
      <w:r>
        <w:t xml:space="preserve">,</w:t>
      </w:r>
      <w:r>
        <w:t xml:space="preserve"> </w:t>
      </w:r>
      <w:r>
        <w:rPr>
          <w:i/>
          <w:iCs/>
        </w:rPr>
        <w:t xml:space="preserve">52</w:t>
      </w:r>
      <w:r>
        <w:t xml:space="preserve">(6), 1225–1248.</w:t>
      </w:r>
      <w:r>
        <w:t xml:space="preserve"> </w:t>
      </w:r>
      <w:hyperlink r:id="rId145">
        <w:r>
          <w:rPr>
            <w:rStyle w:val="Hyperlink"/>
          </w:rPr>
          <w:t xml:space="preserve">https://doi.org/10.1017/S0305000924000102</w:t>
        </w:r>
      </w:hyperlink>
    </w:p>
    <w:bookmarkEnd w:id="146"/>
    <w:bookmarkStart w:id="148"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r>
        <w:t xml:space="preserve"> </w:t>
      </w:r>
      <w:hyperlink r:id="rId147">
        <w:r>
          <w:rPr>
            <w:rStyle w:val="Hyperlink"/>
          </w:rPr>
          <w:t xml:space="preserve">https://doi.org/10.1037/dev0000754</w:t>
        </w:r>
      </w:hyperlink>
    </w:p>
    <w:bookmarkEnd w:id="148"/>
    <w:bookmarkStart w:id="150" w:name="ref-sarvasy2025child"/>
    <w:p>
      <w:pPr>
        <w:pStyle w:val="Bibliography"/>
      </w:pPr>
      <w:r>
        <w:t xml:space="preserve">Sarvasy, H., Rumsey, A., Dahmen, J., Onga, J., &amp; Yam, S. (2025). Child-directed speech in</w:t>
      </w:r>
      <w:r>
        <w:t xml:space="preserve"> </w:t>
      </w:r>
      <w:r>
        <w:t xml:space="preserve">K</w:t>
      </w:r>
      <w:r>
        <w:t xml:space="preserve">u</w:t>
      </w:r>
      <w:r>
        <w:t xml:space="preserve"> </w:t>
      </w:r>
      <w:r>
        <w:t xml:space="preserve">W</w:t>
      </w:r>
      <w:r>
        <w:t xml:space="preserve">aru and</w:t>
      </w:r>
      <w:r>
        <w:t xml:space="preserve"> </w:t>
      </w:r>
      <w:r>
        <w:t xml:space="preserve">N</w:t>
      </w:r>
      <w:r>
        <w:t xml:space="preserve">ungon (</w:t>
      </w:r>
      <w:r>
        <w:t xml:space="preserve">P</w:t>
      </w:r>
      <w:r>
        <w:t xml:space="preserve">apua</w:t>
      </w:r>
      <w:r>
        <w:t xml:space="preserve"> </w:t>
      </w:r>
      <w:r>
        <w:t xml:space="preserve">N</w:t>
      </w:r>
      <w:r>
        <w:t xml:space="preserve">ew</w:t>
      </w:r>
      <w:r>
        <w:t xml:space="preserve"> </w:t>
      </w:r>
      <w:r>
        <w:t xml:space="preserve">G</w:t>
      </w:r>
      <w:r>
        <w:t xml:space="preserve">uinea).</w:t>
      </w:r>
      <w:r>
        <w:t xml:space="preserve"> </w:t>
      </w:r>
      <w:r>
        <w:rPr>
          <w:i/>
          <w:iCs/>
        </w:rPr>
        <w:t xml:space="preserve">Language Development Research</w:t>
      </w:r>
      <w:r>
        <w:t xml:space="preserve">,</w:t>
      </w:r>
      <w:r>
        <w:t xml:space="preserve"> </w:t>
      </w:r>
      <w:r>
        <w:rPr>
          <w:i/>
          <w:iCs/>
        </w:rPr>
        <w:t xml:space="preserve">5</w:t>
      </w:r>
      <w:r>
        <w:t xml:space="preserve">(3), 191–244.</w:t>
      </w:r>
      <w:r>
        <w:t xml:space="preserve"> </w:t>
      </w:r>
      <w:hyperlink r:id="rId149">
        <w:r>
          <w:rPr>
            <w:rStyle w:val="Hyperlink"/>
          </w:rPr>
          <w:t xml:space="preserve">https://doi.org/10.34842/ldr2025-857</w:t>
        </w:r>
      </w:hyperlink>
    </w:p>
    <w:bookmarkEnd w:id="150"/>
    <w:bookmarkStart w:id="152"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51">
        <w:r>
          <w:rPr>
            <w:rStyle w:val="Hyperlink"/>
          </w:rPr>
          <w:t xml:space="preserve">https://procreate.com/</w:t>
        </w:r>
      </w:hyperlink>
    </w:p>
    <w:bookmarkEnd w:id="152"/>
    <w:bookmarkStart w:id="153" w:name="ref-savickiene1998acquisition"/>
    <w:p>
      <w:pPr>
        <w:pStyle w:val="Bibliography"/>
      </w:pPr>
      <w:r>
        <w:t xml:space="preserve">Savickiene, I. (1998). The acquisition of diminutives in</w:t>
      </w:r>
      <w:r>
        <w:t xml:space="preserve"> </w:t>
      </w:r>
      <w:r>
        <w:t xml:space="preserve">L</w:t>
      </w:r>
      <w:r>
        <w:t xml:space="preserve">ithuanian. In</w:t>
      </w:r>
      <w:r>
        <w:t xml:space="preserve"> </w:t>
      </w:r>
      <w:r>
        <w:rPr>
          <w:i/>
          <w:iCs/>
        </w:rPr>
        <w:t xml:space="preserve">Antwerp papers in linguistics: Studies in the acquisition of number and diminutive marking</w:t>
      </w:r>
      <w:r>
        <w:t xml:space="preserve"> </w:t>
      </w:r>
      <w:r>
        <w:t xml:space="preserve">(Vol. 95, pp. 129–153). Antwerpen: Universiteit Antwerpen.</w:t>
      </w:r>
    </w:p>
    <w:bookmarkEnd w:id="153"/>
    <w:bookmarkStart w:id="155"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r>
        <w:t xml:space="preserve"> </w:t>
      </w:r>
      <w:hyperlink r:id="rId154">
        <w:r>
          <w:rPr>
            <w:rStyle w:val="Hyperlink"/>
          </w:rPr>
          <w:t xml:space="preserve">https://doi.org/10.1037/dev0000125</w:t>
        </w:r>
      </w:hyperlink>
    </w:p>
    <w:bookmarkEnd w:id="155"/>
    <w:bookmarkStart w:id="157"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r>
        <w:t xml:space="preserve"> </w:t>
      </w:r>
      <w:hyperlink r:id="rId156">
        <w:r>
          <w:rPr>
            <w:rStyle w:val="Hyperlink"/>
          </w:rPr>
          <w:t xml:space="preserve">https://doi.org/10.1111/infa.12077</w:t>
        </w:r>
      </w:hyperlink>
    </w:p>
    <w:bookmarkEnd w:id="157"/>
    <w:bookmarkStart w:id="159"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r>
        <w:t xml:space="preserve"> </w:t>
      </w:r>
      <w:hyperlink r:id="rId158">
        <w:r>
          <w:rPr>
            <w:rStyle w:val="Hyperlink"/>
          </w:rPr>
          <w:t xml:space="preserve">https://doi.org/10.1016/j.cognition.2007.06.010</w:t>
        </w:r>
      </w:hyperlink>
    </w:p>
    <w:bookmarkEnd w:id="159"/>
    <w:bookmarkStart w:id="161"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r>
        <w:t xml:space="preserve"> </w:t>
      </w:r>
      <w:hyperlink r:id="rId160">
        <w:r>
          <w:rPr>
            <w:rStyle w:val="Hyperlink"/>
          </w:rPr>
          <w:t xml:space="preserve">https://doi.org/10.1016/j.dr.2007.06.002</w:t>
        </w:r>
      </w:hyperlink>
    </w:p>
    <w:bookmarkEnd w:id="161"/>
    <w:bookmarkStart w:id="163"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r>
        <w:t xml:space="preserve"> </w:t>
      </w:r>
      <w:hyperlink r:id="rId162">
        <w:r>
          <w:rPr>
            <w:rStyle w:val="Hyperlink"/>
          </w:rPr>
          <w:t xml:space="preserve">https://doi.org/10.1111/cogs.12416</w:t>
        </w:r>
      </w:hyperlink>
    </w:p>
    <w:bookmarkEnd w:id="163"/>
    <w:bookmarkStart w:id="165"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r>
        <w:t xml:space="preserve"> </w:t>
      </w:r>
      <w:hyperlink r:id="rId164">
        <w:r>
          <w:rPr>
            <w:rStyle w:val="Hyperlink"/>
          </w:rPr>
          <w:t xml:space="preserve">https://doi.org/10.1002/9781444344035.ch3</w:t>
        </w:r>
      </w:hyperlink>
    </w:p>
    <w:bookmarkEnd w:id="165"/>
    <w:bookmarkStart w:id="167"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r>
        <w:t xml:space="preserve"> </w:t>
      </w:r>
      <w:hyperlink r:id="rId166">
        <w:r>
          <w:rPr>
            <w:rStyle w:val="Hyperlink"/>
          </w:rPr>
          <w:t xml:space="preserve">https://doi.org/10.1037/dev0000114</w:t>
        </w:r>
      </w:hyperlink>
    </w:p>
    <w:bookmarkEnd w:id="167"/>
    <w:bookmarkStart w:id="169"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r>
        <w:t xml:space="preserve"> </w:t>
      </w:r>
      <w:hyperlink r:id="rId168">
        <w:r>
          <w:rPr>
            <w:rStyle w:val="Hyperlink"/>
          </w:rPr>
          <w:t xml:space="preserve">https://doi.org/10.1016/s0010-0277(00)00081-0</w:t>
        </w:r>
      </w:hyperlink>
    </w:p>
    <w:bookmarkEnd w:id="169"/>
    <w:bookmarkStart w:id="171"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r>
        <w:t xml:space="preserve"> </w:t>
      </w:r>
      <w:hyperlink r:id="rId170">
        <w:r>
          <w:rPr>
            <w:rStyle w:val="Hyperlink"/>
          </w:rPr>
          <w:t xml:space="preserve">https://doi.org/10.1016/j.cogpsych.2006.05.001</w:t>
        </w:r>
      </w:hyperlink>
    </w:p>
    <w:bookmarkEnd w:id="171"/>
    <w:bookmarkStart w:id="173" w:name="ref-swingley1999continuous"/>
    <w:p>
      <w:pPr>
        <w:pStyle w:val="Bibliography"/>
      </w:pPr>
      <w:r>
        <w:t xml:space="preserve">Swingley, D., Pinto, J. P., &amp; Fernald, A. (1999). Continuous processing in word recognition at 24 months.</w:t>
      </w:r>
      <w:r>
        <w:t xml:space="preserve"> </w:t>
      </w:r>
      <w:r>
        <w:rPr>
          <w:i/>
          <w:iCs/>
        </w:rPr>
        <w:t xml:space="preserve">Cognition</w:t>
      </w:r>
      <w:r>
        <w:t xml:space="preserve">,</w:t>
      </w:r>
      <w:r>
        <w:t xml:space="preserve"> </w:t>
      </w:r>
      <w:r>
        <w:rPr>
          <w:i/>
          <w:iCs/>
        </w:rPr>
        <w:t xml:space="preserve">71</w:t>
      </w:r>
      <w:r>
        <w:t xml:space="preserve">(2), 73–108. https://doi.org/</w:t>
      </w:r>
      <w:hyperlink r:id="rId172">
        <w:r>
          <w:rPr>
            <w:rStyle w:val="Hyperlink"/>
          </w:rPr>
          <w:t xml:space="preserve">https://doi.org/10.1016/S0010-0277(99)00021-9</w:t>
        </w:r>
      </w:hyperlink>
    </w:p>
    <w:bookmarkEnd w:id="173"/>
    <w:bookmarkStart w:id="175"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r>
        <w:t xml:space="preserve"> </w:t>
      </w:r>
      <w:hyperlink r:id="rId174">
        <w:r>
          <w:rPr>
            <w:rStyle w:val="Hyperlink"/>
          </w:rPr>
          <w:t xml:space="preserve">https://doi.org/10.1037/0012-1649.44.4.929</w:t>
        </w:r>
      </w:hyperlink>
    </w:p>
    <w:bookmarkEnd w:id="175"/>
    <w:bookmarkStart w:id="177" w:name="ref-tippenhauer2026variety"/>
    <w:p>
      <w:pPr>
        <w:pStyle w:val="Bibliography"/>
      </w:pPr>
      <w:r>
        <w:t xml:space="preserve">Tippenhauer, N. (2026). Is variety the spice of life? The role of variability in early word learning. In</w:t>
      </w:r>
      <w:r>
        <w:t xml:space="preserve"> </w:t>
      </w:r>
      <w:r>
        <w:rPr>
          <w:i/>
          <w:iCs/>
        </w:rPr>
        <w:t xml:space="preserve">Cognitive Development</w:t>
      </w:r>
      <w:r>
        <w:t xml:space="preserve"> </w:t>
      </w:r>
      <w:r>
        <w:t xml:space="preserve">(Vol. 78, p. 101713).</w:t>
      </w:r>
      <w:r>
        <w:t xml:space="preserve"> </w:t>
      </w:r>
      <w:hyperlink r:id="rId176">
        <w:r>
          <w:rPr>
            <w:rStyle w:val="Hyperlink"/>
          </w:rPr>
          <w:t xml:space="preserve">https://doi.org/10.1016/j.cogdev.2026.101713</w:t>
        </w:r>
      </w:hyperlink>
    </w:p>
    <w:bookmarkEnd w:id="177"/>
    <w:bookmarkStart w:id="179"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r>
        <w:t xml:space="preserve"> </w:t>
      </w:r>
      <w:hyperlink r:id="rId178">
        <w:r>
          <w:rPr>
            <w:rStyle w:val="Hyperlink"/>
          </w:rPr>
          <w:t xml:space="preserve">https://doi.org/10.1016/j.artmed.2008.11.007</w:t>
        </w:r>
      </w:hyperlink>
    </w:p>
    <w:bookmarkEnd w:id="179"/>
    <w:bookmarkStart w:id="181" w:name="ref-tsui2023patterns"/>
    <w:p>
      <w:pPr>
        <w:pStyle w:val="Bibliography"/>
      </w:pPr>
      <w:r>
        <w:t xml:space="preserve">Tsui, R. K.-Y., Kosie, J. E., Fibla, L., Lew-Williams, C., &amp; Byers-Heinlein, K. (2023). Patterns of language switching and bilingual children’s word learning: An experiment across two communities.</w:t>
      </w:r>
      <w:r>
        <w:t xml:space="preserve"> </w:t>
      </w:r>
      <w:r>
        <w:rPr>
          <w:i/>
          <w:iCs/>
        </w:rPr>
        <w:t xml:space="preserve">Translational Issues in Psychological Science</w:t>
      </w:r>
      <w:r>
        <w:t xml:space="preserve">,</w:t>
      </w:r>
      <w:r>
        <w:t xml:space="preserve"> </w:t>
      </w:r>
      <w:r>
        <w:rPr>
          <w:i/>
          <w:iCs/>
        </w:rPr>
        <w:t xml:space="preserve">9</w:t>
      </w:r>
      <w:r>
        <w:t xml:space="preserve">(4), 323.</w:t>
      </w:r>
      <w:r>
        <w:t xml:space="preserve"> </w:t>
      </w:r>
      <w:hyperlink r:id="rId180">
        <w:r>
          <w:rPr>
            <w:rStyle w:val="Hyperlink"/>
          </w:rPr>
          <w:t xml:space="preserve">https://doi.org/10.1037/tps0000353</w:t>
        </w:r>
      </w:hyperlink>
    </w:p>
    <w:bookmarkEnd w:id="181"/>
    <w:bookmarkStart w:id="183"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r>
        <w:t xml:space="preserve"> </w:t>
      </w:r>
      <w:hyperlink r:id="rId182">
        <w:r>
          <w:rPr>
            <w:rStyle w:val="Hyperlink"/>
          </w:rPr>
          <w:t xml:space="preserve">https://doi.org/10.1111/cdep.12337</w:t>
        </w:r>
      </w:hyperlink>
    </w:p>
    <w:bookmarkEnd w:id="183"/>
    <w:bookmarkStart w:id="185"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r>
        <w:t xml:space="preserve"> </w:t>
      </w:r>
      <w:hyperlink r:id="rId184">
        <w:r>
          <w:rPr>
            <w:rStyle w:val="Hyperlink"/>
          </w:rPr>
          <w:t xml:space="preserve">https://doi.org/10.1002/wcs.1596</w:t>
        </w:r>
      </w:hyperlink>
    </w:p>
    <w:bookmarkEnd w:id="185"/>
    <w:bookmarkStart w:id="187"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r>
        <w:t xml:space="preserve"> </w:t>
      </w:r>
      <w:hyperlink r:id="rId186">
        <w:r>
          <w:rPr>
            <w:rStyle w:val="Hyperlink"/>
          </w:rPr>
          <w:t xml:space="preserve">https://doi.org/10.3389/fpsyg.2012.00374</w:t>
        </w:r>
      </w:hyperlink>
    </w:p>
    <w:bookmarkEnd w:id="187"/>
    <w:bookmarkEnd w:id="188"/>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9">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e>
            <m:r>
              <m:t>χ</m:t>
            </m:r>
          </m:e>
          <m:sup>
            <m:r>
              <m:t>2</m:t>
            </m:r>
          </m:sup>
        </m:sSup>
      </m:oMath>
      <w:r>
        <w:t xml:space="preserve">(2)=1.01,</w:t>
      </w:r>
      <w:r>
        <w:t xml:space="preserve"> </w:t>
      </w:r>
      <w:r>
        <w:rPr>
          <w:i/>
          <w:iCs/>
        </w:rPr>
        <w:t xml:space="preserve">p</w:t>
      </w:r>
      <w:r>
        <w:t xml:space="preserve">=0.602).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21" Target="media/rId21.svg" /><Relationship Type="http://schemas.openxmlformats.org/officeDocument/2006/relationships/hyperlink" Id="rId164" Target="https://doi.org/10.1002/9781444344035.ch3" TargetMode="External" /><Relationship Type="http://schemas.openxmlformats.org/officeDocument/2006/relationships/hyperlink" Id="rId184" Target="https://doi.org/10.1002/wcs.1596" TargetMode="External" /><Relationship Type="http://schemas.openxmlformats.org/officeDocument/2006/relationships/hyperlink" Id="rId113" Target="https://doi.org/10.1007/978-4-431-79102-7_4" TargetMode="External" /><Relationship Type="http://schemas.openxmlformats.org/officeDocument/2006/relationships/hyperlink" Id="rId109" Target="https://doi.org/10.1016/0010-0285(88)90017-5" TargetMode="External" /><Relationship Type="http://schemas.openxmlformats.org/officeDocument/2006/relationships/hyperlink" Id="rId172" Target="https://doi.org/10.1016/S0010-0277(99)00021-9" TargetMode="External" /><Relationship Type="http://schemas.openxmlformats.org/officeDocument/2006/relationships/hyperlink" Id="rId178" Target="https://doi.org/10.1016/j.artmed.2008.11.007" TargetMode="External" /><Relationship Type="http://schemas.openxmlformats.org/officeDocument/2006/relationships/hyperlink" Id="rId176" Target="https://doi.org/10.1016/j.cogdev.2026.101713" TargetMode="External" /><Relationship Type="http://schemas.openxmlformats.org/officeDocument/2006/relationships/hyperlink" Id="rId158" Target="https://doi.org/10.1016/j.cognition.2007.06.010" TargetMode="External" /><Relationship Type="http://schemas.openxmlformats.org/officeDocument/2006/relationships/hyperlink" Id="rId121" Target="https://doi.org/10.1016/j.cognition.2017.05.003" TargetMode="External" /><Relationship Type="http://schemas.openxmlformats.org/officeDocument/2006/relationships/hyperlink" Id="rId141" Target="https://doi.org/10.1016/j.cognition.2018.05.015" TargetMode="External" /><Relationship Type="http://schemas.openxmlformats.org/officeDocument/2006/relationships/hyperlink" Id="rId123" Target="https://doi.org/10.1016/j.cognition.2023.105694" TargetMode="External" /><Relationship Type="http://schemas.openxmlformats.org/officeDocument/2006/relationships/hyperlink" Id="rId170" Target="https://doi.org/10.1016/j.cogpsych.2006.05.001" TargetMode="External" /><Relationship Type="http://schemas.openxmlformats.org/officeDocument/2006/relationships/hyperlink" Id="rId160" Target="https://doi.org/10.1016/j.dr.2007.06.002" TargetMode="External" /><Relationship Type="http://schemas.openxmlformats.org/officeDocument/2006/relationships/hyperlink" Id="rId101" Target="https://doi.org/10.1016/j.jecp.2017.03.017" TargetMode="External" /><Relationship Type="http://schemas.openxmlformats.org/officeDocument/2006/relationships/hyperlink" Id="rId168" Target="https://doi.org/10.1016/s0010-0277(00)00081-0" TargetMode="External" /><Relationship Type="http://schemas.openxmlformats.org/officeDocument/2006/relationships/hyperlink" Id="rId111" Target="https://doi.org/10.1016/s0010-0285(03)00034-3" TargetMode="External" /><Relationship Type="http://schemas.openxmlformats.org/officeDocument/2006/relationships/hyperlink" Id="rId137" Target="https://doi.org/10.1017/S0305000900000313" TargetMode="External" /><Relationship Type="http://schemas.openxmlformats.org/officeDocument/2006/relationships/hyperlink" Id="rId74" Target="https://doi.org/10.1017/S0305000900012393" TargetMode="External" /><Relationship Type="http://schemas.openxmlformats.org/officeDocument/2006/relationships/hyperlink" Id="rId131" Target="https://doi.org/10.1017/S0305000916000660" TargetMode="External" /><Relationship Type="http://schemas.openxmlformats.org/officeDocument/2006/relationships/hyperlink" Id="rId135" Target="https://doi.org/10.1017/S0305000923000387" TargetMode="External" /><Relationship Type="http://schemas.openxmlformats.org/officeDocument/2006/relationships/hyperlink" Id="rId145" Target="https://doi.org/10.1017/S0305000924000102" TargetMode="External" /><Relationship Type="http://schemas.openxmlformats.org/officeDocument/2006/relationships/hyperlink" Id="rId103" Target="https://doi.org/10.1017/langcog.2018.23" TargetMode="External" /><Relationship Type="http://schemas.openxmlformats.org/officeDocument/2006/relationships/hyperlink" Id="rId76" Target="https://doi.org/10.1017/s0305000901004858" TargetMode="External" /><Relationship Type="http://schemas.openxmlformats.org/officeDocument/2006/relationships/hyperlink" Id="rId68" Target="https://doi.org/10.1037/0012-1649.40.5.746" TargetMode="External" /><Relationship Type="http://schemas.openxmlformats.org/officeDocument/2006/relationships/hyperlink" Id="rId174" Target="https://doi.org/10.1037/0012-1649.44.4.929" TargetMode="External" /><Relationship Type="http://schemas.openxmlformats.org/officeDocument/2006/relationships/hyperlink" Id="rId166" Target="https://doi.org/10.1037/dev0000114" TargetMode="External" /><Relationship Type="http://schemas.openxmlformats.org/officeDocument/2006/relationships/hyperlink" Id="rId154" Target="https://doi.org/10.1037/dev0000125" TargetMode="External" /><Relationship Type="http://schemas.openxmlformats.org/officeDocument/2006/relationships/hyperlink" Id="rId133" Target="https://doi.org/10.1037/dev0000610" TargetMode="External" /><Relationship Type="http://schemas.openxmlformats.org/officeDocument/2006/relationships/hyperlink" Id="rId147" Target="https://doi.org/10.1037/dev0000754" TargetMode="External" /><Relationship Type="http://schemas.openxmlformats.org/officeDocument/2006/relationships/hyperlink" Id="rId180" Target="https://doi.org/10.1037/tps0000353" TargetMode="External" /><Relationship Type="http://schemas.openxmlformats.org/officeDocument/2006/relationships/hyperlink" Id="rId92" Target="https://doi.org/10.1037/xge0000271" TargetMode="External" /><Relationship Type="http://schemas.openxmlformats.org/officeDocument/2006/relationships/hyperlink" Id="rId82" Target="https://doi.org/10.1075/lald.44.06fer" TargetMode="External" /><Relationship Type="http://schemas.openxmlformats.org/officeDocument/2006/relationships/hyperlink" Id="rId139" Target="https://doi.org/10.1080/10489223.2022.2069026" TargetMode="External" /><Relationship Type="http://schemas.openxmlformats.org/officeDocument/2006/relationships/hyperlink" Id="rId129" Target="https://doi.org/10.1080/15475441.2016.1165100" TargetMode="External" /><Relationship Type="http://schemas.openxmlformats.org/officeDocument/2006/relationships/hyperlink" Id="rId70" Target="https://doi.org/10.1086/463971" TargetMode="External" /><Relationship Type="http://schemas.openxmlformats.org/officeDocument/2006/relationships/hyperlink" Id="rId117" Target="https://doi.org/10.1097/00006199-199401000-00012" TargetMode="External" /><Relationship Type="http://schemas.openxmlformats.org/officeDocument/2006/relationships/hyperlink" Id="rId182" Target="https://doi.org/10.1111/cdep.12337" TargetMode="External" /><Relationship Type="http://schemas.openxmlformats.org/officeDocument/2006/relationships/hyperlink" Id="rId99" Target="https://doi.org/10.1111/cdev.12263" TargetMode="External" /><Relationship Type="http://schemas.openxmlformats.org/officeDocument/2006/relationships/hyperlink" Id="rId162" Target="https://doi.org/10.1111/cogs.12416" TargetMode="External" /><Relationship Type="http://schemas.openxmlformats.org/officeDocument/2006/relationships/hyperlink" Id="rId127" Target="https://doi.org/10.1111/cogs.12628" TargetMode="External" /><Relationship Type="http://schemas.openxmlformats.org/officeDocument/2006/relationships/hyperlink" Id="rId125" Target="https://doi.org/10.1111/desc.12997" TargetMode="External" /><Relationship Type="http://schemas.openxmlformats.org/officeDocument/2006/relationships/hyperlink" Id="rId156" Target="https://doi.org/10.1111/infa.12077" TargetMode="External" /><Relationship Type="http://schemas.openxmlformats.org/officeDocument/2006/relationships/hyperlink" Id="rId90" Target="https://doi.org/10.1111/j.1467-8624.1993.tb02935.x" TargetMode="External" /><Relationship Type="http://schemas.openxmlformats.org/officeDocument/2006/relationships/hyperlink" Id="rId66" Target="https://doi.org/10.1111/j.1467-968X.1968.tb01132.x" TargetMode="External" /><Relationship Type="http://schemas.openxmlformats.org/officeDocument/2006/relationships/hyperlink" Id="rId64" Target="https://doi.org/10.1162/opmi_a_00026" TargetMode="External" /><Relationship Type="http://schemas.openxmlformats.org/officeDocument/2006/relationships/hyperlink" Id="rId105" Target="https://doi.org/10.1177/0962280216650699" TargetMode="External" /><Relationship Type="http://schemas.openxmlformats.org/officeDocument/2006/relationships/hyperlink" Id="rId107" Target="https://doi.org/10.1177/2515245919900809" TargetMode="External" /><Relationship Type="http://schemas.openxmlformats.org/officeDocument/2006/relationships/hyperlink" Id="rId143" Target="https://doi.org/10.1207/s15516709cog0000_31" TargetMode="External" /><Relationship Type="http://schemas.openxmlformats.org/officeDocument/2006/relationships/hyperlink" Id="rId97" Target="https://doi.org/10.1371/journal.pone.0036399" TargetMode="External" /><Relationship Type="http://schemas.openxmlformats.org/officeDocument/2006/relationships/hyperlink" Id="rId60" Target="https://doi.org/10.18637/jss.v067.i01" TargetMode="External" /><Relationship Type="http://schemas.openxmlformats.org/officeDocument/2006/relationships/hyperlink" Id="rId119" Target="https://doi.org/10.2307/1131312" TargetMode="External" /><Relationship Type="http://schemas.openxmlformats.org/officeDocument/2006/relationships/hyperlink" Id="rId115" Target="https://doi.org/10.2307/1166130" TargetMode="External" /><Relationship Type="http://schemas.openxmlformats.org/officeDocument/2006/relationships/hyperlink" Id="rId186" Target="https://doi.org/10.3389/fpsyg.2012.00374" TargetMode="External" /><Relationship Type="http://schemas.openxmlformats.org/officeDocument/2006/relationships/hyperlink" Id="rId149" Target="https://doi.org/10.34842/ldr2025-857" TargetMode="External" /><Relationship Type="http://schemas.openxmlformats.org/officeDocument/2006/relationships/hyperlink" Id="rId94" Target="https://doi.org/10.3758/BF03193313" TargetMode="External" /><Relationship Type="http://schemas.openxmlformats.org/officeDocument/2006/relationships/hyperlink" Id="rId78" Target="https://doi.org/10.3758/BRM.41.4.1149" TargetMode="External" /><Relationship Type="http://schemas.openxmlformats.org/officeDocument/2006/relationships/hyperlink" Id="rId84" Target="https://doi.org/10.7551/mitpress/11577.001.0001" TargetMode="External" /><Relationship Type="http://schemas.openxmlformats.org/officeDocument/2006/relationships/hyperlink" Id="rId72" Target="https://escholarship.org/uc/item/7hb9113g" TargetMode="External" /><Relationship Type="http://schemas.openxmlformats.org/officeDocument/2006/relationships/hyperlink" Id="rId86" Target="https://escholarship.org/uc/item/8ks9p299" TargetMode="External" /><Relationship Type="http://schemas.openxmlformats.org/officeDocument/2006/relationships/hyperlink" Id="rId31" Target="https://github.com/kennedycasey/LexVar" TargetMode="External" /><Relationship Type="http://schemas.openxmlformats.org/officeDocument/2006/relationships/hyperlink" Id="rId41" Target="https://github.com/kennedycasey/LexVar/"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62" Target="https://praat.org" TargetMode="External" /><Relationship Type="http://schemas.openxmlformats.org/officeDocument/2006/relationships/hyperlink" Id="rId151" Target="https://procreate.com/" TargetMode="External" /><Relationship Type="http://schemas.openxmlformats.org/officeDocument/2006/relationships/hyperlink" Id="rId88" Target="https://rdrr.io/cran/stinepack/" TargetMode="External" /><Relationship Type="http://schemas.openxmlformats.org/officeDocument/2006/relationships/hyperlink" Id="rId80" Target="https://www.jstor.org/stable/pdf/668164.pdf" TargetMode="External" /><Relationship Type="http://schemas.openxmlformats.org/officeDocument/2006/relationships/hyperlink" Id="rId32"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02/9781444344035.ch3" TargetMode="External" /><Relationship Type="http://schemas.openxmlformats.org/officeDocument/2006/relationships/hyperlink" Id="rId184" Target="https://doi.org/10.1002/wcs.1596" TargetMode="External" /><Relationship Type="http://schemas.openxmlformats.org/officeDocument/2006/relationships/hyperlink" Id="rId113" Target="https://doi.org/10.1007/978-4-431-79102-7_4" TargetMode="External" /><Relationship Type="http://schemas.openxmlformats.org/officeDocument/2006/relationships/hyperlink" Id="rId109" Target="https://doi.org/10.1016/0010-0285(88)90017-5" TargetMode="External" /><Relationship Type="http://schemas.openxmlformats.org/officeDocument/2006/relationships/hyperlink" Id="rId172" Target="https://doi.org/10.1016/S0010-0277(99)00021-9" TargetMode="External" /><Relationship Type="http://schemas.openxmlformats.org/officeDocument/2006/relationships/hyperlink" Id="rId178" Target="https://doi.org/10.1016/j.artmed.2008.11.007" TargetMode="External" /><Relationship Type="http://schemas.openxmlformats.org/officeDocument/2006/relationships/hyperlink" Id="rId176" Target="https://doi.org/10.1016/j.cogdev.2026.101713" TargetMode="External" /><Relationship Type="http://schemas.openxmlformats.org/officeDocument/2006/relationships/hyperlink" Id="rId158" Target="https://doi.org/10.1016/j.cognition.2007.06.010" TargetMode="External" /><Relationship Type="http://schemas.openxmlformats.org/officeDocument/2006/relationships/hyperlink" Id="rId121" Target="https://doi.org/10.1016/j.cognition.2017.05.003" TargetMode="External" /><Relationship Type="http://schemas.openxmlformats.org/officeDocument/2006/relationships/hyperlink" Id="rId141" Target="https://doi.org/10.1016/j.cognition.2018.05.015" TargetMode="External" /><Relationship Type="http://schemas.openxmlformats.org/officeDocument/2006/relationships/hyperlink" Id="rId123" Target="https://doi.org/10.1016/j.cognition.2023.105694" TargetMode="External" /><Relationship Type="http://schemas.openxmlformats.org/officeDocument/2006/relationships/hyperlink" Id="rId170" Target="https://doi.org/10.1016/j.cogpsych.2006.05.001" TargetMode="External" /><Relationship Type="http://schemas.openxmlformats.org/officeDocument/2006/relationships/hyperlink" Id="rId160" Target="https://doi.org/10.1016/j.dr.2007.06.002" TargetMode="External" /><Relationship Type="http://schemas.openxmlformats.org/officeDocument/2006/relationships/hyperlink" Id="rId101" Target="https://doi.org/10.1016/j.jecp.2017.03.017" TargetMode="External" /><Relationship Type="http://schemas.openxmlformats.org/officeDocument/2006/relationships/hyperlink" Id="rId168" Target="https://doi.org/10.1016/s0010-0277(00)00081-0" TargetMode="External" /><Relationship Type="http://schemas.openxmlformats.org/officeDocument/2006/relationships/hyperlink" Id="rId111" Target="https://doi.org/10.1016/s0010-0285(03)00034-3" TargetMode="External" /><Relationship Type="http://schemas.openxmlformats.org/officeDocument/2006/relationships/hyperlink" Id="rId137" Target="https://doi.org/10.1017/S0305000900000313" TargetMode="External" /><Relationship Type="http://schemas.openxmlformats.org/officeDocument/2006/relationships/hyperlink" Id="rId74" Target="https://doi.org/10.1017/S0305000900012393" TargetMode="External" /><Relationship Type="http://schemas.openxmlformats.org/officeDocument/2006/relationships/hyperlink" Id="rId131" Target="https://doi.org/10.1017/S0305000916000660" TargetMode="External" /><Relationship Type="http://schemas.openxmlformats.org/officeDocument/2006/relationships/hyperlink" Id="rId135" Target="https://doi.org/10.1017/S0305000923000387" TargetMode="External" /><Relationship Type="http://schemas.openxmlformats.org/officeDocument/2006/relationships/hyperlink" Id="rId145" Target="https://doi.org/10.1017/S0305000924000102" TargetMode="External" /><Relationship Type="http://schemas.openxmlformats.org/officeDocument/2006/relationships/hyperlink" Id="rId103" Target="https://doi.org/10.1017/langcog.2018.23" TargetMode="External" /><Relationship Type="http://schemas.openxmlformats.org/officeDocument/2006/relationships/hyperlink" Id="rId76" Target="https://doi.org/10.1017/s0305000901004858" TargetMode="External" /><Relationship Type="http://schemas.openxmlformats.org/officeDocument/2006/relationships/hyperlink" Id="rId68" Target="https://doi.org/10.1037/0012-1649.40.5.746" TargetMode="External" /><Relationship Type="http://schemas.openxmlformats.org/officeDocument/2006/relationships/hyperlink" Id="rId174" Target="https://doi.org/10.1037/0012-1649.44.4.929" TargetMode="External" /><Relationship Type="http://schemas.openxmlformats.org/officeDocument/2006/relationships/hyperlink" Id="rId166" Target="https://doi.org/10.1037/dev0000114" TargetMode="External" /><Relationship Type="http://schemas.openxmlformats.org/officeDocument/2006/relationships/hyperlink" Id="rId154" Target="https://doi.org/10.1037/dev0000125" TargetMode="External" /><Relationship Type="http://schemas.openxmlformats.org/officeDocument/2006/relationships/hyperlink" Id="rId133" Target="https://doi.org/10.1037/dev0000610" TargetMode="External" /><Relationship Type="http://schemas.openxmlformats.org/officeDocument/2006/relationships/hyperlink" Id="rId147" Target="https://doi.org/10.1037/dev0000754" TargetMode="External" /><Relationship Type="http://schemas.openxmlformats.org/officeDocument/2006/relationships/hyperlink" Id="rId180" Target="https://doi.org/10.1037/tps0000353" TargetMode="External" /><Relationship Type="http://schemas.openxmlformats.org/officeDocument/2006/relationships/hyperlink" Id="rId92" Target="https://doi.org/10.1037/xge0000271" TargetMode="External" /><Relationship Type="http://schemas.openxmlformats.org/officeDocument/2006/relationships/hyperlink" Id="rId82" Target="https://doi.org/10.1075/lald.44.06fer" TargetMode="External" /><Relationship Type="http://schemas.openxmlformats.org/officeDocument/2006/relationships/hyperlink" Id="rId139" Target="https://doi.org/10.1080/10489223.2022.2069026" TargetMode="External" /><Relationship Type="http://schemas.openxmlformats.org/officeDocument/2006/relationships/hyperlink" Id="rId129" Target="https://doi.org/10.1080/15475441.2016.1165100" TargetMode="External" /><Relationship Type="http://schemas.openxmlformats.org/officeDocument/2006/relationships/hyperlink" Id="rId70" Target="https://doi.org/10.1086/463971" TargetMode="External" /><Relationship Type="http://schemas.openxmlformats.org/officeDocument/2006/relationships/hyperlink" Id="rId117" Target="https://doi.org/10.1097/00006199-199401000-00012" TargetMode="External" /><Relationship Type="http://schemas.openxmlformats.org/officeDocument/2006/relationships/hyperlink" Id="rId182" Target="https://doi.org/10.1111/cdep.12337" TargetMode="External" /><Relationship Type="http://schemas.openxmlformats.org/officeDocument/2006/relationships/hyperlink" Id="rId99" Target="https://doi.org/10.1111/cdev.12263" TargetMode="External" /><Relationship Type="http://schemas.openxmlformats.org/officeDocument/2006/relationships/hyperlink" Id="rId162" Target="https://doi.org/10.1111/cogs.12416" TargetMode="External" /><Relationship Type="http://schemas.openxmlformats.org/officeDocument/2006/relationships/hyperlink" Id="rId127" Target="https://doi.org/10.1111/cogs.12628" TargetMode="External" /><Relationship Type="http://schemas.openxmlformats.org/officeDocument/2006/relationships/hyperlink" Id="rId125" Target="https://doi.org/10.1111/desc.12997" TargetMode="External" /><Relationship Type="http://schemas.openxmlformats.org/officeDocument/2006/relationships/hyperlink" Id="rId156" Target="https://doi.org/10.1111/infa.12077" TargetMode="External" /><Relationship Type="http://schemas.openxmlformats.org/officeDocument/2006/relationships/hyperlink" Id="rId90" Target="https://doi.org/10.1111/j.1467-8624.1993.tb02935.x" TargetMode="External" /><Relationship Type="http://schemas.openxmlformats.org/officeDocument/2006/relationships/hyperlink" Id="rId66" Target="https://doi.org/10.1111/j.1467-968X.1968.tb01132.x" TargetMode="External" /><Relationship Type="http://schemas.openxmlformats.org/officeDocument/2006/relationships/hyperlink" Id="rId64" Target="https://doi.org/10.1162/opmi_a_00026" TargetMode="External" /><Relationship Type="http://schemas.openxmlformats.org/officeDocument/2006/relationships/hyperlink" Id="rId105" Target="https://doi.org/10.1177/0962280216650699" TargetMode="External" /><Relationship Type="http://schemas.openxmlformats.org/officeDocument/2006/relationships/hyperlink" Id="rId107" Target="https://doi.org/10.1177/2515245919900809" TargetMode="External" /><Relationship Type="http://schemas.openxmlformats.org/officeDocument/2006/relationships/hyperlink" Id="rId143" Target="https://doi.org/10.1207/s15516709cog0000_31" TargetMode="External" /><Relationship Type="http://schemas.openxmlformats.org/officeDocument/2006/relationships/hyperlink" Id="rId97" Target="https://doi.org/10.1371/journal.pone.0036399" TargetMode="External" /><Relationship Type="http://schemas.openxmlformats.org/officeDocument/2006/relationships/hyperlink" Id="rId60" Target="https://doi.org/10.18637/jss.v067.i01" TargetMode="External" /><Relationship Type="http://schemas.openxmlformats.org/officeDocument/2006/relationships/hyperlink" Id="rId119" Target="https://doi.org/10.2307/1131312" TargetMode="External" /><Relationship Type="http://schemas.openxmlformats.org/officeDocument/2006/relationships/hyperlink" Id="rId115" Target="https://doi.org/10.2307/1166130" TargetMode="External" /><Relationship Type="http://schemas.openxmlformats.org/officeDocument/2006/relationships/hyperlink" Id="rId186" Target="https://doi.org/10.3389/fpsyg.2012.00374" TargetMode="External" /><Relationship Type="http://schemas.openxmlformats.org/officeDocument/2006/relationships/hyperlink" Id="rId149" Target="https://doi.org/10.34842/ldr2025-857" TargetMode="External" /><Relationship Type="http://schemas.openxmlformats.org/officeDocument/2006/relationships/hyperlink" Id="rId94" Target="https://doi.org/10.3758/BF03193313" TargetMode="External" /><Relationship Type="http://schemas.openxmlformats.org/officeDocument/2006/relationships/hyperlink" Id="rId78" Target="https://doi.org/10.3758/BRM.41.4.1149" TargetMode="External" /><Relationship Type="http://schemas.openxmlformats.org/officeDocument/2006/relationships/hyperlink" Id="rId84" Target="https://doi.org/10.7551/mitpress/11577.001.0001" TargetMode="External" /><Relationship Type="http://schemas.openxmlformats.org/officeDocument/2006/relationships/hyperlink" Id="rId72" Target="https://escholarship.org/uc/item/7hb9113g" TargetMode="External" /><Relationship Type="http://schemas.openxmlformats.org/officeDocument/2006/relationships/hyperlink" Id="rId86" Target="https://escholarship.org/uc/item/8ks9p299" TargetMode="External" /><Relationship Type="http://schemas.openxmlformats.org/officeDocument/2006/relationships/hyperlink" Id="rId31" Target="https://github.com/kennedycasey/LexVar" TargetMode="External" /><Relationship Type="http://schemas.openxmlformats.org/officeDocument/2006/relationships/hyperlink" Id="rId41" Target="https://github.com/kennedycasey/LexVar/"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62" Target="https://praat.org" TargetMode="External" /><Relationship Type="http://schemas.openxmlformats.org/officeDocument/2006/relationships/hyperlink" Id="rId151" Target="https://procreate.com/" TargetMode="External" /><Relationship Type="http://schemas.openxmlformats.org/officeDocument/2006/relationships/hyperlink" Id="rId88" Target="https://rdrr.io/cran/stinepack/" TargetMode="External" /><Relationship Type="http://schemas.openxmlformats.org/officeDocument/2006/relationships/hyperlink" Id="rId80" Target="https://www.jstor.org/stable/pdf/668164.pdf" TargetMode="External" /><Relationship Type="http://schemas.openxmlformats.org/officeDocument/2006/relationships/hyperlink" Id="rId32"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2026-06-03T18:54:32Z</dcterms:created>
  <dcterms:modified xsi:type="dcterms:W3CDTF">2026-06-03T18:54:32Z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named with consistent labels, with typical CDS variants, or with atypical CDS variants.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4398</vt:lpwstr>
  </property>
  <property fmtid="{D5CDD505-2E9C-101B-9397-08002B2CF9AE}" pid="61" name="zerocitations">
    <vt:lpwstr>False</vt:lpwstr>
  </property>
</Properties>
</file>