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52.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and fully reproducible manuscript code are available at LINK.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08544,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1262-words"/>
    <w:p>
      <w:pPr>
        <w:pStyle w:val="Heading1"/>
      </w:pPr>
      <w:r>
        <w:t xml:space="preserve">1. Introduction (1,262 words)</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a prior naturalistic corpus study indicates that, in the first years of life, multiple labels for the same referent are used seemingly interchangeably in children’s input</w:t>
      </w:r>
      <w:r>
        <w:t xml:space="preserve"> </w:t>
      </w:r>
      <w:r>
        <w:t xml:space="preserve">(</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w:t>
      </w:r>
      <w:r>
        <w:t xml:space="preserve">and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Variants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(US)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a relevant review)</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 consistent versus variable labels 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that are unattested in English CDS. Looking-time measures were used to assess children’s word-recognition accuracy</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word-recognition accuracy in the</w:t>
      </w:r>
      <w:r>
        <w:t xml:space="preserve"> </w:t>
      </w:r>
      <w:r>
        <w:rPr>
          <w:b/>
          <w:bCs/>
        </w:rPr>
        <w:t xml:space="preserve">consistent</w:t>
      </w:r>
      <w:r>
        <w:t xml:space="preserve"> </w:t>
      </w:r>
      <w:r>
        <w:t xml:space="preserve">condition.</w:t>
      </w:r>
    </w:p>
    <w:p>
      <w:pPr>
        <w:numPr>
          <w:ilvl w:val="0"/>
          <w:numId w:val="1001"/>
        </w:numPr>
      </w:pPr>
      <w:r>
        <w:t xml:space="preserve">The key condition of interest was the</w:t>
      </w:r>
      <w:r>
        <w:t xml:space="preserve"> </w:t>
      </w:r>
      <w:r>
        <w:rPr>
          <w:b/>
          <w:b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b/>
          <w:b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6" w:name="method-1167-words"/>
    <w:p>
      <w:pPr>
        <w:pStyle w:val="Heading1"/>
      </w:pPr>
      <w:r>
        <w:t xml:space="preserve">2. Method (1,167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at the time of database sign-up. Participants were primarily Non-Latine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Latine white (</w:t>
      </w:r>
      <w:r>
        <w:rPr>
          <w:i/>
          <w:iCs/>
        </w:rPr>
        <w:t xml:space="preserve">N</w:t>
      </w:r>
      <w:r>
        <w:t xml:space="preserve">=1, 1.72%), Not reported (</w:t>
      </w:r>
      <w:r>
        <w:rPr>
          <w:i/>
          <w:iCs/>
        </w:rPr>
        <w:t xml:space="preserve">N</w:t>
      </w:r>
      <w:r>
        <w:t xml:space="preserve">=11, 18.97%). Caregivers also reported maternal education, though more sparsely: High school (</w:t>
      </w:r>
      <w:r>
        <w:rPr>
          <w:i/>
          <w:iCs/>
        </w:rPr>
        <w:t xml:space="preserve">N</w:t>
      </w:r>
      <w:r>
        <w:t xml:space="preserve">=1, 1.72%), Bachelor’s (</w:t>
      </w:r>
      <w:r>
        <w:rPr>
          <w:i/>
          <w:iCs/>
        </w:rPr>
        <w:t xml:space="preserve">N</w:t>
      </w:r>
      <w:r>
        <w:t xml:space="preserve">=12, 20.69%), Master’s or higher (</w:t>
      </w:r>
      <w:r>
        <w:rPr>
          <w:i/>
          <w:iCs/>
        </w:rPr>
        <w:t xml:space="preserve">N</w:t>
      </w:r>
      <w:r>
        <w:t xml:space="preserve">=11, 18.97%), Not reported (</w:t>
      </w:r>
      <w:r>
        <w:rPr>
          <w:i/>
          <w:iCs/>
        </w:rPr>
        <w:t xml:space="preserve">N</w:t>
      </w:r>
      <w:r>
        <w:t xml:space="preserve">=34, 58.62%).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=9), significant interruption by a family member (</w:t>
      </w:r>
      <w:r>
        <w:rPr>
          <w:i/>
          <w:iCs/>
        </w:rPr>
        <w:t xml:space="preserve">N</w:t>
      </w:r>
      <w:r>
        <w:t xml:space="preserve">=4), contribution of too few usable trials based on pre-registered criteria due to fussiness or inattention (</w:t>
      </w:r>
      <w:r>
        <w:rPr>
          <w:i/>
          <w:iCs/>
        </w:rPr>
        <w:t xml:space="preserve">N</w:t>
      </w:r>
      <w:r>
        <w:t xml:space="preserve">=18), or failure to meet the language requirement (</w:t>
      </w:r>
      <w:r>
        <w:rPr>
          <w:i/>
          <w:iCs/>
        </w:rPr>
        <w:t xml:space="preserve">N</w:t>
      </w:r>
      <w:r>
        <w:t xml:space="preserve">=1).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2" w:name="stimuli"/>
    <w:p>
      <w:pPr>
        <w:pStyle w:val="Heading2"/>
      </w:pPr>
      <w:r>
        <w:t xml:space="preserve">2.2 Stimuli</w:t>
      </w:r>
    </w:p>
    <w:p>
      <w:pPr>
        <w:pStyle w:val="FirstParagraph"/>
      </w:pPr>
      <w:r>
        <w:t xml:space="preserve">Auditory stimuli were recorded by a female native English speaker using naturalistic child-directed prosody. Each target word (see</w:t>
      </w:r>
      <w:r>
        <w:t xml:space="preserve">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1"/>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2"/>
    <w:bookmarkStart w:id="43"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bookmarkEnd w:id="43"/>
    <w:bookmarkStart w:id="44"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4"/>
    <w:bookmarkStart w:id="45"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5"/>
    <w:bookmarkEnd w:id="46"/>
    <w:bookmarkStart w:id="56" w:name="results-881-words"/>
    <w:p>
      <w:pPr>
        <w:pStyle w:val="Heading1"/>
      </w:pPr>
      <w:r>
        <w:t xml:space="preserve">3. Results (881 words)</w:t>
      </w:r>
    </w:p>
    <w:bookmarkStart w:id="51" w:name="X81d3246c4b93329a5d0d8f2a794f9a185512a61"/>
    <w:p>
      <w:pPr>
        <w:pStyle w:val="Heading2"/>
      </w:pPr>
      <w:r>
        <w:t xml:space="preserve">3.1 Word recognition measured by gaze behavior</w:t>
      </w:r>
    </w:p>
    <w:p>
      <w:pPr>
        <w:pStyle w:val="FirstParagraph"/>
      </w:pPr>
      <w:r>
        <w:t xml:space="preserve">Our primary analysis examined whether toddlers successfully learned novel word–object mappings across conditions. Using the</w:t>
      </w:r>
      <w:r>
        <w:t xml:space="preserve"> </w:t>
      </w:r>
      <w:r>
        <w:rPr>
          <w:rStyle w:val="VerbatimChar"/>
        </w:rPr>
        <w:t xml:space="preserve">lme4</w:t>
      </w:r>
      <w:r>
        <w:t xml:space="preserve"> </w:t>
      </w:r>
      <w:r>
        <w:t xml:space="preserve">package</w:t>
      </w:r>
      <w:r>
        <w:t xml:space="preserve"> </w:t>
      </w:r>
      <w:r>
        <w:t xml:space="preserve">(</w:t>
      </w:r>
      <w:hyperlink w:anchor="ref-lme4">
        <w:r>
          <w:rPr>
            <w:rStyle w:val="Hyperlink"/>
          </w:rPr>
          <w:t xml:space="preserve">Bates et al., 2015</w:t>
        </w:r>
      </w:hyperlink>
      <w:r>
        <w:t xml:space="preserve">)</w:t>
      </w:r>
      <w:r>
        <w:t xml:space="preserve">,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mean-centered age</w:t>
      </w:r>
      <w:r>
        <w:rPr>
          <w:rStyle w:val="FootnoteReference"/>
        </w:rPr>
        <w:footnoteReference w:id="47"/>
      </w:r>
      <w:r>
        <w:t xml:space="preserve">, along with the maximal random effects structure that allowed for model convergence (by-participant and by-item random intercepts).</w:t>
      </w:r>
    </w:p>
    <w:p>
      <w:pPr>
        <w:pStyle w:val="BodyText"/>
      </w:pPr>
      <w:r>
        <w:t xml:space="preserve">As predicted, toddlers’ performance was reliably above chance in the consistent condition (estimated marginal mean (EMM) = 0.65,</w:t>
      </w:r>
      <w:r>
        <w:t xml:space="preserve"> </w:t>
      </w:r>
      <w:r>
        <w:rPr>
          <w:i/>
          <w:iCs/>
        </w:rPr>
        <w:t xml:space="preserve">SE</w:t>
      </w:r>
      <w:r>
        <w:t xml:space="preserve"> </w:t>
      </w:r>
      <w:r>
        <w:t xml:space="preserve">= 0.04, 95% CI [0.56, 0.73]). In addition, as predicted, toddlers’ performance was at chance in the atypical variation condition (EMM = 0.54,</w:t>
      </w:r>
      <w:r>
        <w:t xml:space="preserve"> </w:t>
      </w:r>
      <w:r>
        <w:rPr>
          <w:i/>
          <w:iCs/>
        </w:rPr>
        <w:t xml:space="preserve">SE</w:t>
      </w:r>
      <w:r>
        <w:t xml:space="preserve"> </w:t>
      </w:r>
      <w:r>
        <w:t xml:space="preserve">= 0.04, 95% CI [0.45, 0.62]). The main condition of theoretical interest was the typical variation condition, in which we found that toddlers performed reliably above chance (EMM = 0.60,</w:t>
      </w:r>
      <w:r>
        <w:t xml:space="preserve"> </w:t>
      </w:r>
      <w:r>
        <w:rPr>
          <w:i/>
          <w:iCs/>
        </w:rPr>
        <w:t xml:space="preserve">SE</w:t>
      </w:r>
      <w:r>
        <w:t xml:space="preserve"> </w:t>
      </w:r>
      <w:r>
        <w:t xml:space="preserve">= 0.04, 95% CI [0.51, 0.68]).</w:t>
      </w:r>
      <w:r>
        <w:t xml:space="preserve"> </w:t>
      </w:r>
      <w:r>
        <w:rPr>
          <w:b/>
          <w:bCs/>
        </w:rPr>
        <w:t xml:space="preserve">Figure 1</w:t>
      </w:r>
      <w:r>
        <w:t xml:space="preserve"> </w:t>
      </w:r>
      <w:r>
        <w:t xml:space="preserve">shows model-predicted accuracy across conditions.</w:t>
      </w:r>
    </w:p>
    <w:p>
      <w:pPr>
        <w:pStyle w:val="BodyText"/>
      </w:pPr>
      <w:r>
        <w:t xml:space="preserve">Model parameter estimates revealed a significant positive effect of the consistent condition (vs. the atypical variation condition,</w:t>
      </w:r>
      <w:r>
        <w:t xml:space="preserve"> </w:t>
      </w:r>
      <w:r>
        <w:rPr>
          <w:i/>
          <w:iCs/>
        </w:rPr>
        <w:t xml:space="preserve">OR</w:t>
      </w:r>
      <w:r>
        <w:t xml:space="preserve"> </w:t>
      </w:r>
      <w:r>
        <w:t xml:space="preserve">= 0.47,</w:t>
      </w:r>
      <w:r>
        <w:t xml:space="preserve"> </w:t>
      </w:r>
      <w:r>
        <w:rPr>
          <w:i/>
          <w:iCs/>
        </w:rPr>
        <w:t xml:space="preserve">SE</w:t>
      </w:r>
      <w:r>
        <w:t xml:space="preserve"> </w:t>
      </w:r>
      <w:r>
        <w:t xml:space="preserve">= 0.22,</w:t>
      </w:r>
      <w:r>
        <w:t xml:space="preserve"> </w:t>
      </w:r>
      <w:r>
        <w:rPr>
          <w:i/>
          <w:iCs/>
        </w:rPr>
        <w:t xml:space="preserve">p</w:t>
      </w:r>
      <w:r>
        <w:t xml:space="preserve"> </w:t>
      </w:r>
      <w:r>
        <w:t xml:space="preserve">= 0.030), and a positive but non-significant effect of the typical variation condition (vs. the atypical variation condition,</w:t>
      </w:r>
      <w:r>
        <w:t xml:space="preserve"> </w:t>
      </w:r>
      <w:r>
        <w:rPr>
          <w:i/>
          <w:iCs/>
        </w:rPr>
        <w:t xml:space="preserve">OR</w:t>
      </w:r>
      <w:r>
        <w:t xml:space="preserve"> </w:t>
      </w:r>
      <w:r>
        <w:t xml:space="preserve">= 0.26,</w:t>
      </w:r>
      <w:r>
        <w:t xml:space="preserve"> </w:t>
      </w:r>
      <w:r>
        <w:rPr>
          <w:i/>
          <w:iCs/>
        </w:rPr>
        <w:t xml:space="preserve">SE</w:t>
      </w:r>
      <w:r>
        <w:t xml:space="preserve"> </w:t>
      </w:r>
      <w:r>
        <w:t xml:space="preserve">= 0.21,</w:t>
      </w:r>
      <w:r>
        <w:t xml:space="preserve"> </w:t>
      </w:r>
      <w:r>
        <w:rPr>
          <w:i/>
          <w:iCs/>
        </w:rPr>
        <w:t xml:space="preserve">p</w:t>
      </w:r>
      <w:r>
        <w:t xml:space="preserve"> </w:t>
      </w:r>
      <w:r>
        <w:t xml:space="preserve">= 0.231) on overall accuracy. Toddlers’ proportion looking to target also increased significantly with age, as hypothesized (</w:t>
      </w:r>
      <w:r>
        <w:rPr>
          <w:i/>
          <w:iCs/>
        </w:rPr>
        <w:t xml:space="preserve">OR</w:t>
      </w:r>
      <w:r>
        <w:t xml:space="preserve"> </w:t>
      </w:r>
      <w:r>
        <w:t xml:space="preserve">= 0.26,</w:t>
      </w:r>
      <w:r>
        <w:t xml:space="preserve"> </w:t>
      </w:r>
      <w:r>
        <w:rPr>
          <w:i/>
          <w:iCs/>
        </w:rPr>
        <w:t xml:space="preserve">SE</w:t>
      </w:r>
      <w:r>
        <w:t xml:space="preserve"> </w:t>
      </w:r>
      <w:r>
        <w:t xml:space="preserve">= 0.10,</w:t>
      </w:r>
      <w:r>
        <w:t xml:space="preserve"> </w:t>
      </w:r>
      <w:r>
        <w:rPr>
          <w:i/>
          <w:iCs/>
        </w:rPr>
        <w:t xml:space="preserve">p</w:t>
      </w:r>
      <w:r>
        <w:t xml:space="preserve"> </w:t>
      </w:r>
      <w:r>
        <w:t xml:space="preserve">= 0.010). See Supplemental Materials for parallel results from analyses using zero-one-inflated beta regression under a Bayesian framework</w:t>
      </w:r>
      <w:r>
        <w:t xml:space="preserve"> </w:t>
      </w:r>
      <w:r>
        <w:t xml:space="preserve">(</w:t>
      </w:r>
      <w:hyperlink w:anchor="ref-liu2018review">
        <w:r>
          <w:rPr>
            <w:rStyle w:val="Hyperlink"/>
          </w:rPr>
          <w:t xml:space="preserve">Liu &amp; Eugenio, 2018</w:t>
        </w:r>
      </w:hyperlink>
      <w:r>
        <w:t xml:space="preserve">)</w:t>
      </w:r>
      <w:r>
        <w:t xml:space="preserve">.</w:t>
      </w:r>
    </w:p>
    <w:p>
      <w:pPr>
        <w:pStyle w:val="BodyText"/>
      </w:pPr>
      <w:r>
        <w:t xml:space="preserve">Exploratory effects of the two different naming windows revealed…</w:t>
      </w:r>
    </w:p>
    <w:p>
      <w:pPr>
        <w:pStyle w:val="CaptionedFigure"/>
      </w:pPr>
      <w:r>
        <w:drawing>
          <wp:inline>
            <wp:extent cx="5943600" cy="3714749"/>
            <wp:effectExtent b="0" l="0" r="0" t="0"/>
            <wp:docPr descr="Figure 1. Model-predicted accuracy by condition across both post-labeling time windows. Point ranges reflect estimated marginal means with 95% confidence intervals. Jittered dots show raw means for individual participants. Dotted line at 0.5 indicates chance looking." title="" id="49" name="Picture"/>
            <a:graphic>
              <a:graphicData uri="http://schemas.openxmlformats.org/drawingml/2006/picture">
                <pic:pic>
                  <pic:nvPicPr>
                    <pic:cNvPr descr="Figure1.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Model-predicted accuracy by condition across both post-labeling time windows. Point ranges reflect estimated marginal means with 95% confidence intervals. Jittered dots show raw means for individual participants. Dotted line at 0.5 indicates chance looking.</w:t>
      </w:r>
    </w:p>
    <w:bookmarkEnd w:id="51"/>
    <w:bookmarkStart w:id="55"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also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3" name="Picture"/>
            <a:graphic>
              <a:graphicData uri="http://schemas.openxmlformats.org/drawingml/2006/picture">
                <pic:pic>
                  <pic:nvPicPr>
                    <pic:cNvPr descr="Figure2.png" id="54" name="Picture"/>
                    <pic:cNvPicPr>
                      <a:picLocks noChangeArrowheads="1" noChangeAspect="1"/>
                    </pic:cNvPicPr>
                  </pic:nvPicPr>
                  <pic:blipFill>
                    <a:blip r:embed="rId52"/>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p>
      <w:pPr>
        <w:pStyle w:val="BodyText"/>
      </w:pPr>
      <w:r>
        <w:t xml:space="preserve">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condition-by-synchrony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(ΔELPD=-1.91,</w:t>
      </w:r>
      <w:r>
        <w:t xml:space="preserve"> </w:t>
      </w:r>
      <w:r>
        <w:rPr>
          <w:i/>
          <w:iCs/>
        </w:rPr>
        <w:t xml:space="preserve">SE</w:t>
      </w:r>
      <w:r>
        <w:t xml:space="preserve">=1.05),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=0.29, 89% CrI [-0.12, 0.74]).</w:t>
      </w:r>
    </w:p>
    <w:bookmarkEnd w:id="55"/>
    <w:bookmarkEnd w:id="56"/>
    <w:bookmarkStart w:id="57" w:name="discussion-711-words"/>
    <w:p>
      <w:pPr>
        <w:pStyle w:val="Heading1"/>
      </w:pPr>
      <w:r>
        <w:t xml:space="preserve">4. Discussion (711 words)</w:t>
      </w:r>
    </w:p>
    <w:p>
      <w:pPr>
        <w:pStyle w:val="FirstParagraph"/>
      </w:pPr>
      <w:r>
        <w:t xml:space="preserve">We tested how consistent versus variable labels impact English-hearing toddlers’ learning of novel-word 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w:t>
      </w:r>
      <w:r>
        <w:t xml:space="preserve"> </w:t>
      </w:r>
      <w:r>
        <w:t xml:space="preserve">(e.g.,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As expected, children performed above chance in the consistent condition, replicating decades of findings that children can learn novel one-to-one mappings from a brief exposure phase. The primary goal of this study was to determine how children contend with two different types of label variation. In the atypical variation condition, word-recognition accuracy was weakest, with chance-level performance in the first critical window as hypothesized, and above-chance performance following the second label. In the typical variation condition, word-recognition accuracy was numerically highest. Although our models indicated some uncertainty around the magnitude of this advantage, this pattern suggests that toddlers were not only able to contend with but may have benefited from hearing familiar types of label variation.</w:t>
      </w:r>
    </w:p>
    <w:p>
      <w:pPr>
        <w:pStyle w:val="BodyText"/>
      </w:pPr>
      <w:r>
        <w:t xml:space="preserve">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succeeded in learning words from both consistent and variable labels. It is important to acknowledge, however, that our current findings cannot fully tease apart different explanations for why children successfully learned from both types of input. It is possible that exposure to four repetitions of the standard word form was sufficient for children to learn label-object mappings,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Because it was not feasible to also evaluate children’s recognition of typical and atypical variants (in addition to standard word forms) in the test phase given the length of the task, we cannot determine what children encoded about the specific label variants. Future work might further examine causal effects of exposure to label variants, such as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our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numerically higher word-recogniton accuracy, relative to atypical variation and consistent labels. These findings suggest that naturalistic label variation in children’s input is not simply noise and may play a facilitative role in early word learning.</w:t>
      </w:r>
    </w:p>
    <w:bookmarkEnd w:id="57"/>
    <w:bookmarkStart w:id="123" w:name="references"/>
    <w:p>
      <w:pPr>
        <w:pStyle w:val="Heading1"/>
      </w:pPr>
      <w:r>
        <w:t xml:space="preserve">5. References</w:t>
      </w:r>
    </w:p>
    <w:bookmarkStart w:id="122" w:name="refs"/>
    <w:bookmarkStart w:id="59"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8">
        <w:r>
          <w:rPr>
            <w:rStyle w:val="Hyperlink"/>
          </w:rPr>
          <w:t xml:space="preserve">https://doi.org/10.18637/jss.v067.i01</w:t>
        </w:r>
      </w:hyperlink>
    </w:p>
    <w:bookmarkEnd w:id="59"/>
    <w:bookmarkStart w:id="60"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0"/>
    <w:bookmarkStart w:id="61"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3"/>
    <w:bookmarkStart w:id="64"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4"/>
    <w:bookmarkStart w:id="65"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5"/>
    <w:bookmarkStart w:id="66"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6"/>
    <w:bookmarkStart w:id="67"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67"/>
    <w:bookmarkStart w:id="68"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68"/>
    <w:bookmarkStart w:id="69"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69"/>
    <w:bookmarkStart w:id="70"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0"/>
    <w:bookmarkStart w:id="71" w:name="ref-frank2021variability"/>
    <w:p>
      <w:pPr>
        <w:pStyle w:val="Bibliography"/>
      </w:pPr>
      <w:r>
        <w:t xml:space="preserve">Frank, M. C., Braginsky, M., Yurovsky, D., &amp; Marchman, V. A. (2021).</w:t>
      </w:r>
      <w:r>
        <w:t xml:space="preserve"> </w:t>
      </w:r>
      <w:r>
        <w:rPr>
          <w:i/>
          <w:iCs/>
        </w:rPr>
        <w:t xml:space="preserve">Variability and consistency in early language learning: The wordbank project</w:t>
      </w:r>
      <w:r>
        <w:t xml:space="preserve">. MIT Press.</w:t>
      </w:r>
    </w:p>
    <w:bookmarkEnd w:id="71"/>
    <w:bookmarkStart w:id="72"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2"/>
    <w:bookmarkStart w:id="73"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3"/>
    <w:bookmarkStart w:id="74"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4"/>
    <w:bookmarkStart w:id="75"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75"/>
    <w:bookmarkStart w:id="76"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76"/>
    <w:bookmarkStart w:id="77"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77"/>
    <w:bookmarkStart w:id="78"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78"/>
    <w:bookmarkStart w:id="79" w:name="ref-laing2019role"/>
    <w:p>
      <w:pPr>
        <w:pStyle w:val="Bibliography"/>
      </w:pPr>
      <w:r>
        <w:t xml:space="preserve">Laing, C. E.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p>
    <w:bookmarkEnd w:id="79"/>
    <w:bookmarkStart w:id="80"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0"/>
    <w:bookmarkStart w:id="81"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1"/>
    <w:bookmarkStart w:id="82"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2"/>
    <w:bookmarkStart w:id="83"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3"/>
    <w:bookmarkStart w:id="84"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4"/>
    <w:bookmarkStart w:id="85"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85"/>
    <w:bookmarkStart w:id="86"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86"/>
    <w:bookmarkStart w:id="87"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7"/>
    <w:bookmarkStart w:id="88"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88"/>
    <w:bookmarkStart w:id="89"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9"/>
    <w:bookmarkStart w:id="90"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0"/>
    <w:bookmarkStart w:id="91"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1"/>
    <w:bookmarkStart w:id="92"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2"/>
    <w:bookmarkStart w:id="93"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3"/>
    <w:bookmarkStart w:id="94"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p>
    <w:bookmarkEnd w:id="94"/>
    <w:bookmarkStart w:id="95"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5"/>
    <w:bookmarkStart w:id="96"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96"/>
    <w:bookmarkStart w:id="97"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97"/>
    <w:bookmarkStart w:id="98"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98"/>
    <w:bookmarkStart w:id="99"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99"/>
    <w:bookmarkStart w:id="100"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0"/>
    <w:bookmarkStart w:id="101"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1"/>
    <w:bookmarkStart w:id="103"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2">
        <w:r>
          <w:rPr>
            <w:rStyle w:val="Hyperlink"/>
          </w:rPr>
          <w:t xml:space="preserve">https://procreate.com/</w:t>
        </w:r>
      </w:hyperlink>
    </w:p>
    <w:bookmarkEnd w:id="103"/>
    <w:bookmarkStart w:id="104"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04"/>
    <w:bookmarkStart w:id="105"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05"/>
    <w:bookmarkStart w:id="106"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06"/>
    <w:bookmarkStart w:id="107"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07"/>
    <w:bookmarkStart w:id="108"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08"/>
    <w:bookmarkStart w:id="109"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09"/>
    <w:bookmarkStart w:id="110"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0"/>
    <w:bookmarkStart w:id="111"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p>
    <w:bookmarkEnd w:id="111"/>
    <w:bookmarkStart w:id="112"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12"/>
    <w:bookmarkStart w:id="113"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13"/>
    <w:bookmarkStart w:id="114"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p>
    <w:bookmarkEnd w:id="114"/>
    <w:bookmarkStart w:id="115"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15"/>
    <w:bookmarkStart w:id="116"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16"/>
    <w:bookmarkStart w:id="117"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17"/>
    <w:bookmarkStart w:id="118"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18"/>
    <w:bookmarkStart w:id="120"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19">
        <w:r>
          <w:rPr>
            <w:rStyle w:val="Hyperlink"/>
          </w:rPr>
          <w:t xml:space="preserve">https://doi.org/10.1214/17-BA1091</w:t>
        </w:r>
      </w:hyperlink>
    </w:p>
    <w:bookmarkEnd w:id="120"/>
    <w:bookmarkStart w:id="121"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21"/>
    <w:bookmarkEnd w:id="122"/>
    <w:bookmarkEnd w:id="12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7">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e>
            <m:r>
              <m:t>χ</m:t>
            </m:r>
          </m:e>
          <m:sup>
            <m:r>
              <m:t>2</m:t>
            </m:r>
          </m:sup>
        </m:sSup>
      </m:oMath>
      <w:r>
        <w:t xml:space="preserve">(2) = 1.01,</w:t>
      </w:r>
      <w:r>
        <w:t xml:space="preserve"> </w:t>
      </w:r>
      <w:r>
        <w:rPr>
          <w:i/>
          <w:iCs/>
        </w:rPr>
        <w:t xml:space="preserve">p</w:t>
      </w:r>
      <w:r>
        <w:t xml:space="preserve"> </w:t>
      </w:r>
      <w:r>
        <w:t xml:space="preserve">= 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1" Target="media/rId21.svg" /><Relationship Type="http://schemas.openxmlformats.org/officeDocument/2006/relationships/hyperlink" Id="rId119" Target="https://doi.org/10.1214/17-BA1091" TargetMode="External" /><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214/17-BA1091" TargetMode="External" /><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2026-01-16T18:50:51Z</dcterms:created>
  <dcterms:modified xsi:type="dcterms:W3CDTF">2026-01-16T18:50:51Z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3575</vt:lpwstr>
  </property>
  <property fmtid="{D5CDD505-2E9C-101B-9397-08002B2CF9AE}" pid="61" name="zerocitations">
    <vt:lpwstr>False</vt:lpwstr>
  </property>
</Properties>
</file>