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3.png" ContentType="image/png"/>
  <Override PartName="/word/media/rId39.png" ContentType="image/png"/>
  <Override PartName="/word/media/rId43.png" ContentType="image/png"/>
  <Override PartName="/word/media/rId48.png" ContentType="image/png"/>
  <Override PartName="/word/media/rId51.png" ContentType="image/png"/>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Supplemental Materials for English-hearing toddlers learn words from consistent and variable labels</w:t>
      </w:r>
    </w:p>
    <w:p>
      <w:pPr>
        <w:pStyle w:val="Author"/>
      </w:pPr>
      <w:r>
        <w:t xml:space="preserve"> </w:t>
      </w:r>
    </w:p>
    <w:p>
      <w:pPr>
        <w:pStyle w:val="Author"/>
      </w:pPr>
      <w:r>
        <w:t xml:space="preserve">Kennedy Casey and Casey Lew-Williams</w:t>
      </w:r>
    </w:p>
    <w:p>
      <w:pPr>
        <w:pStyle w:val="Author"/>
      </w:pPr>
      <w:r>
        <w:t xml:space="preserve">Department of Psychology, Princeton University</w:t>
      </w:r>
    </w:p>
    <w:p>
      <w:pPr>
        <w:pStyle w:val="BodyText"/>
      </w:pPr>
      <w:r>
        <w:t xml:space="preserve"> </w:t>
      </w:r>
    </w:p>
    <w:p>
      <w:pPr>
        <w:pStyle w:val="BodyText"/>
      </w:pPr>
      <w:r>
        <w:t xml:space="preserve"> </w:t>
      </w:r>
    </w:p>
    <w:bookmarkEnd w:id="20"/>
    <w:bookmarkStart w:id="31" w:name="author-note"/>
    <w:p>
      <w:pPr>
        <w:pStyle w:val="Heading1"/>
      </w:pPr>
      <w:r>
        <w:t xml:space="preserve">Author Note</w:t>
      </w:r>
    </w:p>
    <w:p>
      <w:pPr>
        <w:pStyle w:val="FirstParagraph"/>
      </w:pPr>
      <w:r>
        <w:t xml:space="preserve">Kennedy Casey</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https://orcid.org/0000-0001-5326-3080</w:t>
        </w:r>
      </w:hyperlink>
    </w:p>
    <w:p>
      <w:pPr>
        <w:pStyle w:val="BodyText"/>
      </w:pPr>
      <w:r>
        <w:t xml:space="preserve">Casey Lew-Williams</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https://orcid.org/0000-0002-8781-4458</w:t>
        </w:r>
      </w:hyperlink>
    </w:p>
    <w:p>
      <w:pPr>
        <w:pStyle w:val="BodyText"/>
      </w:pPr>
      <w:r>
        <w:t xml:space="preserve">Correspondence concerning this article should be addressed to Kennedy Casey, Department of Psychology, Princeton University, 40 Woodlands Way, Princeton, NJ 08544, Email:</w:t>
      </w:r>
      <w:r>
        <w:t xml:space="preserve"> </w:t>
      </w:r>
      <w:hyperlink r:id="rId30">
        <w:r>
          <w:rPr>
            <w:rStyle w:val="Hyperlink"/>
          </w:rPr>
          <w:t xml:space="preserve">kcasey@princeton.edu</w:t>
        </w:r>
      </w:hyperlink>
    </w:p>
    <w:p>
      <w:r>
        <w:br w:type="page"/>
      </w:r>
    </w:p>
    <w:bookmarkEnd w:id="31"/>
    <w:bookmarkStart w:id="32" w:name="firstheader"/>
    <w:p>
      <w:pPr>
        <w:pStyle w:val="Heading1"/>
      </w:pPr>
      <w:r>
        <w:t xml:space="preserve">Supplemental Materials for English-hearing toddlers learn words from consistent and variable labels</w:t>
      </w:r>
    </w:p>
    <w:bookmarkEnd w:id="32"/>
    <w:bookmarkStart w:id="36" w:name="X2d3f67e0867a7b5f8b74bee4b87db45a20b3864"/>
    <w:p>
      <w:pPr>
        <w:pStyle w:val="Heading1"/>
      </w:pPr>
      <w:r>
        <w:t xml:space="preserve">1. Re-analyzing LWL accuracy: Zero-one-inflated beta regression analyses</w:t>
      </w:r>
    </w:p>
    <w:p>
      <w:pPr>
        <w:pStyle w:val="FirstParagraph"/>
      </w:pPr>
      <w:r>
        <w:t xml:space="preserve">Our primary analysis examined whether children successfully learned novel-word object mappings across conditions. Using the</w:t>
      </w:r>
      <w:r>
        <w:t xml:space="preserve"> </w:t>
      </w:r>
      <w:r>
        <w:rPr>
          <w:rStyle w:val="VerbatimChar"/>
        </w:rPr>
        <w:t xml:space="preserve">brms</w:t>
      </w:r>
      <w:r>
        <w:t xml:space="preserve"> </w:t>
      </w:r>
      <w:r>
        <w:t xml:space="preserve">package</w:t>
      </w:r>
      <w:r>
        <w:t xml:space="preserve"> </w:t>
      </w:r>
      <w:r>
        <w:t xml:space="preserve">(</w:t>
      </w:r>
      <w:hyperlink w:anchor="ref-brms">
        <w:r>
          <w:rPr>
            <w:rStyle w:val="Hyperlink"/>
          </w:rPr>
          <w:t xml:space="preserve">Bürkner, 2017</w:t>
        </w:r>
      </w:hyperlink>
      <w:r>
        <w:t xml:space="preserve">)</w:t>
      </w:r>
      <w:r>
        <w:t xml:space="preserve">, we fit mixed-effects zero-one-inflated beta regression models to examine the effects of condition and age on children’s novel word-recognition accuracy (i.e., proportion looking to the target object). Beta regression was chosen to model the proportional dependent variable</w:t>
      </w:r>
      <w:r>
        <w:t xml:space="preserve"> </w:t>
      </w:r>
      <w:r>
        <w:t xml:space="preserve">(</w:t>
      </w:r>
      <w:hyperlink w:anchor="ref-cribari2010beta">
        <w:r>
          <w:rPr>
            <w:rStyle w:val="Hyperlink"/>
          </w:rPr>
          <w:t xml:space="preserve">Cribari-Neto &amp; Zeileis, 2010</w:t>
        </w:r>
      </w:hyperlink>
      <w:r>
        <w:t xml:space="preserve">)</w:t>
      </w:r>
      <w:r>
        <w:t xml:space="preserve">. Specifically, we used zero-one-inflated models since 0s and 1s were common values in our data</w:t>
      </w:r>
      <w:r>
        <w:t xml:space="preserve"> </w:t>
      </w:r>
      <w:r>
        <w:t xml:space="preserve">(</w:t>
      </w:r>
      <w:hyperlink w:anchor="ref-liu2018review">
        <w:r>
          <w:rPr>
            <w:rStyle w:val="Hyperlink"/>
          </w:rPr>
          <w:t xml:space="preserve">Liu &amp; Eugenio, 2018</w:t>
        </w:r>
      </w:hyperlink>
      <w:r>
        <w:t xml:space="preserve">)</w:t>
      </w:r>
      <w:r>
        <w:t xml:space="preserve">. Note that this particular modeling approach requires a Bayesian framework to interpret. Importantly, this analytic approach allows us to quantify evidence in support of the null hypothesis, not simply against it. Models included fixed effects for condition (atypical variation vs. consistent vs. typical variation) and mean-centered age, along with the maximal random effects structure (by-participant and by-item random slopes and intercepts). Following our pre-registered analyses reported in the main text, we tested whether including an interaction between condition and age improved model fit—we compared the model with the interaction term to the simpler additive model using approximate leave-one-out cross-validation</w:t>
      </w:r>
      <w:r>
        <w:t xml:space="preserve"> </w:t>
      </w:r>
      <w:r>
        <w:t xml:space="preserve">(LOO,</w:t>
      </w:r>
      <w:r>
        <w:t xml:space="preserve"> </w:t>
      </w:r>
      <w:hyperlink w:anchor="ref-loo">
        <w:r>
          <w:rPr>
            <w:rStyle w:val="Hyperlink"/>
          </w:rPr>
          <w:t xml:space="preserve">Yao et al., 2017</w:t>
        </w:r>
      </w:hyperlink>
      <w:r>
        <w:t xml:space="preserve">)</w:t>
      </w:r>
      <w:r>
        <w:t xml:space="preserve">. This analysis suggested no reliable difference in predictive accuracy, providing no strong evidence that the interaction term improved model fit (ΔELPD=-1.35, ΔSE=3.53). We used weakly informative priors (standard normal distributions) and fitted the model using Hamiltonian Monte Carlo sampling (four chains, four cores) implemented in Stan</w:t>
      </w:r>
      <w:r>
        <w:t xml:space="preserve"> </w:t>
      </w:r>
      <w:r>
        <w:t xml:space="preserve">(</w:t>
      </w:r>
      <w:hyperlink w:anchor="ref-rstan">
        <w:r>
          <w:rPr>
            <w:rStyle w:val="Hyperlink"/>
          </w:rPr>
          <w:t xml:space="preserve">Stan Development Team, 2025</w:t>
        </w:r>
      </w:hyperlink>
      <w:r>
        <w:t xml:space="preserve">)</w:t>
      </w:r>
      <w:r>
        <w:t xml:space="preserve">. All</w:t>
      </w:r>
      <w:r>
        <w:t xml:space="preserve"> </w:t>
      </w:r>
      <m:oMath>
        <m:acc>
          <m:accPr>
            <m:chr m:val="̂"/>
          </m:accPr>
          <m:e>
            <m:r>
              <m:t>R</m:t>
            </m:r>
          </m:e>
        </m:acc>
      </m:oMath>
      <w:r>
        <w:t xml:space="preserve"> </w:t>
      </w:r>
      <w:r>
        <w:t xml:space="preserve">values were 1.00, indicating good convergence. Effective sample sizes (Bulk ESS: 614–6,520; Tail ESS: 999–3,586) were sufficiently large, indicating stable and reliable posterior estimates.</w:t>
      </w:r>
    </w:p>
    <w:p>
      <w:pPr>
        <w:pStyle w:val="BodyText"/>
      </w:pPr>
      <w:r>
        <w:t xml:space="preserve">Results revealed that children’s performance was reliably above chance overall as well as in both critical windows across all conditions, except for the first critical window—the primary target of analysis in the vast majority of LWL studies</w:t>
      </w:r>
      <w:r>
        <w:t xml:space="preserve"> </w:t>
      </w:r>
      <w:r>
        <w:t xml:space="preserve">(e.g.,</w:t>
      </w:r>
      <w:r>
        <w:t xml:space="preserve"> </w:t>
      </w:r>
      <w:hyperlink w:anchor="ref-fernald2008looking">
        <w:r>
          <w:rPr>
            <w:rStyle w:val="Hyperlink"/>
          </w:rPr>
          <w:t xml:space="preserve">Fernald et al., 2008</w:t>
        </w:r>
      </w:hyperlink>
      <w:r>
        <w:t xml:space="preserve">)</w:t>
      </w:r>
      <w:r>
        <w:t xml:space="preserve">—for the atypical variation condition, where children’s looking behavior was at chance level (</w:t>
      </w:r>
      <w:r>
        <w:rPr>
          <w:i/>
          <w:iCs/>
        </w:rPr>
        <w:t xml:space="preserve">M</w:t>
      </w:r>
      <w:r>
        <w:t xml:space="preserve">=0.54, 89% CrI [0.48, 0.60]). This result replicates the key findings reported in the main text.</w:t>
      </w:r>
    </w:p>
    <w:p>
      <w:pPr>
        <w:pStyle w:val="BodyText"/>
      </w:pPr>
      <w:r>
        <w:t xml:space="preserve">Across both critical windows, model-predicted accuracy was highest in the typical variation condition (</w:t>
      </w:r>
      <w:r>
        <w:rPr>
          <w:i/>
          <w:iCs/>
        </w:rPr>
        <w:t xml:space="preserve">M</w:t>
      </w:r>
      <w:r>
        <w:t xml:space="preserve">=0.62, 89% CrI [0.57, 0.67]), followed by the consistent condition (</w:t>
      </w:r>
      <w:r>
        <w:rPr>
          <w:i/>
          <w:iCs/>
        </w:rPr>
        <w:t xml:space="preserve">M</w:t>
      </w:r>
      <w:r>
        <w:t xml:space="preserve">=0.57, 89% CrI [0.52, 0.63]), and lowest in the atypical variation condition (</w:t>
      </w:r>
      <w:r>
        <w:rPr>
          <w:i/>
          <w:iCs/>
        </w:rPr>
        <w:t xml:space="preserve">M</w:t>
      </w:r>
      <w:r>
        <w:t xml:space="preserve">=0.56, 89% CrI [0.51, 0.61]). The relative order of performance across conditions varies compared to the results reported in the main text because</w:t>
      </w:r>
      <w:r>
        <w:t xml:space="preserve"> </w:t>
      </w:r>
      <w:r>
        <w:rPr>
          <w:rStyle w:val="VerbatimChar"/>
        </w:rPr>
        <w:t xml:space="preserve">brms</w:t>
      </w:r>
      <w:r>
        <w:t xml:space="preserve"> </w:t>
      </w:r>
      <w:r>
        <w:t xml:space="preserve">allows for model convergence with the maximal random effects structure.</w:t>
      </w:r>
      <w:r>
        <w:t xml:space="preserve"> </w:t>
      </w:r>
      <w:r>
        <w:rPr>
          <w:b/>
          <w:bCs/>
        </w:rPr>
        <w:t xml:space="preserve">Figure S1</w:t>
      </w:r>
      <w:r>
        <w:t xml:space="preserve"> </w:t>
      </w:r>
      <w:r>
        <w:t xml:space="preserve">shows model-predicted accuracy across conditions for the two critical windows.</w:t>
      </w:r>
      <w:r>
        <w:t xml:space="preserve"> </w:t>
      </w:r>
      <w:r>
        <w:rPr>
          <w:b/>
          <w:bCs/>
        </w:rPr>
        <w:t xml:space="preserve">Table 1</w:t>
      </w:r>
      <w:r>
        <w:t xml:space="preserve"> </w:t>
      </w:r>
      <w:r>
        <w:t xml:space="preserve">shows all model parameter estimates for fixed effects, and below, we break down the key results that are of theoretical interest.</w:t>
      </w:r>
    </w:p>
    <w:p>
      <w:pPr>
        <w:pStyle w:val="CaptionedFigure"/>
      </w:pPr>
      <w:r>
        <w:drawing>
          <wp:inline>
            <wp:extent cx="5943600" cy="3714749"/>
            <wp:effectExtent b="0" l="0" r="0" t="0"/>
            <wp:docPr descr="Figure S1. Posterior predicted accuracy by condition across both post-labeling time windows. Point ranges reflect posterior means with 89% credible intervals. Jittered dots show raw means for individual participants. Dotted line at 0.5 indicates chance looking." title="" id="34" name="Picture"/>
            <a:graphic>
              <a:graphicData uri="http://schemas.openxmlformats.org/drawingml/2006/picture">
                <pic:pic>
                  <pic:nvPicPr>
                    <pic:cNvPr descr="FigureS1.png" id="35" name="Picture"/>
                    <pic:cNvPicPr>
                      <a:picLocks noChangeArrowheads="1" noChangeAspect="1"/>
                    </pic:cNvPicPr>
                  </pic:nvPicPr>
                  <pic:blipFill>
                    <a:blip r:embed="rId33"/>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S1. Posterior predicted accuracy by condition across both post-labeling time windows. Point ranges reflect posterior means with 89% credible intervals. Jittered dots show raw means for individual participants. Dotted line at 0.5 indicates chance looking.</w:t>
      </w:r>
    </w:p>
    <w:p>
      <w:pPr>
        <w:pStyle w:val="BodyText"/>
      </w:pPr>
      <w:r>
        <w:t xml:space="preserve">The beta (</w:t>
      </w:r>
      <m:oMath>
        <m:r>
          <m:t>μ</m:t>
        </m:r>
      </m:oMath>
      <w:r>
        <w:t xml:space="preserve">) component of the model, which estimates effects on the mean outcome for non-boundary values (i.e., proportions between but not including 0 or 1), showed positive effects for both the typical variation condition (</w:t>
      </w:r>
      <w:r>
        <w:rPr>
          <w:i/>
          <w:iCs/>
        </w:rPr>
        <w:t xml:space="preserve">β</w:t>
      </w:r>
      <w:r>
        <w:t xml:space="preserve">=0.07, 89% CrI: [-0.19, 0.32]) and the consistent condition (</w:t>
      </w:r>
      <w:r>
        <w:rPr>
          <w:i/>
          <w:iCs/>
        </w:rPr>
        <w:t xml:space="preserve">β</w:t>
      </w:r>
      <w:r>
        <w:t xml:space="preserve">=0.18, 89% CrI: [-0.04, 0.40]), relative to the atypical variation condition. Although the credible intervals include zero, the direction and magnitude of these effects suggest a possible learning advantage for both typical variation and consistency over atypical variation. The effect of mean-centered age was negligible (</w:t>
      </w:r>
      <w:r>
        <w:rPr>
          <w:i/>
          <w:iCs/>
        </w:rPr>
        <w:t xml:space="preserve">β</w:t>
      </w:r>
      <w:r>
        <w:t xml:space="preserve">=0.08, 89% CrI: [-0.03, 0.19]).</w:t>
      </w:r>
    </w:p>
    <w:p>
      <w:pPr>
        <w:pStyle w:val="BodyText"/>
      </w:pPr>
      <w:r>
        <w:t xml:space="preserve">The conditional one-inflation (coi) component, which estimates, among boundary values, the probability of being 1 (vs. 0), also showed similar trends for the effect of condition. Participants were more likely to respond at ceiling for both the typical variation condition (</w:t>
      </w:r>
      <w:r>
        <w:rPr>
          <w:i/>
          <w:iCs/>
        </w:rPr>
        <w:t xml:space="preserve">β</w:t>
      </w:r>
      <w:r>
        <w:t xml:space="preserve">=0.06, 89% CrI: [-0.36, 0.48]) and consistent condition (</w:t>
      </w:r>
      <w:r>
        <w:rPr>
          <w:i/>
          <w:iCs/>
        </w:rPr>
        <w:t xml:space="preserve">β</w:t>
      </w:r>
      <w:r>
        <w:t xml:space="preserve">=0.33, 89% CrI: [-0.11, 0.78]), relative to the atypical variation condition. While these condition effects remain uncertain given the credible interval overlap with zero, their alignment with estimates from the</w:t>
      </w:r>
      <w:r>
        <w:t xml:space="preserve"> </w:t>
      </w:r>
      <m:oMath>
        <m:r>
          <m:t>μ</m:t>
        </m:r>
      </m:oMath>
      <w:r>
        <w:t xml:space="preserve"> </w:t>
      </w:r>
      <w:r>
        <w:t xml:space="preserve">component suggests additional evidence for an advantage of both typical variation and consistency over atypical variation. The effect of age was clearly positive (</w:t>
      </w:r>
      <w:r>
        <w:rPr>
          <w:i/>
          <w:iCs/>
        </w:rPr>
        <w:t xml:space="preserve">β</w:t>
      </w:r>
      <w:r>
        <w:t xml:space="preserve">=0.34, 89% CrI: [0.15, 0.53]), indicating that older children were more likely to demonstrate 100% looking to the target object during the critical analysis windows.</w:t>
      </w:r>
    </w:p>
    <w:p>
      <w:pPr>
        <w:pStyle w:val="TableCaption"/>
      </w:pPr>
      <w:r>
        <w:t xml:space="preserve">Table S1. Posterior means and 89% credible intervals for each effect across models.</w:t>
      </w:r>
    </w:p>
    <w:tbl>
      <w:tblPr>
        <w:tblStyle w:val="Table"/>
        <w:tblW w:type="auto" w:w="0"/>
        <w:tblLook w:firstRow="1" w:lastRow="0" w:firstColumn="0" w:lastColumn="0" w:noHBand="0" w:noVBand="0" w:val="0020"/>
        <w:tblCaption w:val="Table S1. Posterior means and 89% credible intervals for each effect across models."/>
      </w:tblPr>
      <w:tblGrid>
        <w:gridCol w:w="1980"/>
        <w:gridCol w:w="1980"/>
        <w:gridCol w:w="1980"/>
        <w:gridCol w:w="1980"/>
      </w:tblGrid>
      <w:tr>
        <w:trPr>
          <w:tblHeader w:val="on"/>
        </w:trPr>
        <w:tc>
          <w:tcPr/>
          <w:p>
            <w:pPr>
              <w:pStyle w:val="Compact"/>
              <w:jc w:val="left"/>
            </w:pPr>
            <w:r>
              <w:t xml:space="preserve">Effect</w:t>
            </w:r>
          </w:p>
        </w:tc>
        <w:tc>
          <w:tcPr/>
          <w:p>
            <w:pPr>
              <w:pStyle w:val="Compact"/>
              <w:jc w:val="left"/>
            </w:pPr>
            <w:r>
              <w:t xml:space="preserve">Overall</w:t>
            </w:r>
          </w:p>
        </w:tc>
        <w:tc>
          <w:tcPr/>
          <w:p>
            <w:pPr>
              <w:pStyle w:val="Compact"/>
              <w:jc w:val="left"/>
            </w:pPr>
            <w:r>
              <w:t xml:space="preserve">Window 1</w:t>
            </w:r>
          </w:p>
        </w:tc>
        <w:tc>
          <w:tcPr/>
          <w:p>
            <w:pPr>
              <w:pStyle w:val="Compact"/>
              <w:jc w:val="left"/>
            </w:pPr>
            <w:r>
              <w:t xml:space="preserve">Window 2</w:t>
            </w:r>
          </w:p>
        </w:tc>
      </w:tr>
      <w:tr>
        <w:tc>
          <w:tcPr/>
          <w:p>
            <w:pPr>
              <w:pStyle w:val="Compact"/>
              <w:jc w:val="left"/>
            </w:pPr>
            <w:r>
              <w:t xml:space="preserve">μ: condition (typical variation)</w:t>
            </w:r>
          </w:p>
        </w:tc>
        <w:tc>
          <w:tcPr/>
          <w:p>
            <w:pPr>
              <w:pStyle w:val="Compact"/>
              <w:jc w:val="left"/>
            </w:pPr>
            <w:r>
              <w:t xml:space="preserve">0.07 [-0.19, 0.32]</w:t>
            </w:r>
          </w:p>
        </w:tc>
        <w:tc>
          <w:tcPr/>
          <w:p>
            <w:pPr>
              <w:pStyle w:val="Compact"/>
              <w:jc w:val="left"/>
            </w:pPr>
            <w:r>
              <w:t xml:space="preserve">0.11 [-0.10, 0.31]</w:t>
            </w:r>
          </w:p>
        </w:tc>
        <w:tc>
          <w:tcPr/>
          <w:p>
            <w:pPr>
              <w:pStyle w:val="Compact"/>
              <w:jc w:val="left"/>
            </w:pPr>
            <w:r>
              <w:t xml:space="preserve">-0.13 [-0.39, 0.17]</w:t>
            </w:r>
          </w:p>
        </w:tc>
      </w:tr>
      <w:tr>
        <w:tc>
          <w:tcPr/>
          <w:p>
            <w:pPr>
              <w:pStyle w:val="Compact"/>
              <w:jc w:val="left"/>
            </w:pPr>
            <w:r>
              <w:t xml:space="preserve">μ: condition (consistent)</w:t>
            </w:r>
          </w:p>
        </w:tc>
        <w:tc>
          <w:tcPr/>
          <w:p>
            <w:pPr>
              <w:pStyle w:val="Compact"/>
              <w:jc w:val="left"/>
            </w:pPr>
            <w:r>
              <w:t xml:space="preserve">0.18 [-0.04, 0.40]</w:t>
            </w:r>
          </w:p>
        </w:tc>
        <w:tc>
          <w:tcPr/>
          <w:p>
            <w:pPr>
              <w:pStyle w:val="Compact"/>
              <w:jc w:val="left"/>
            </w:pPr>
            <w:r>
              <w:t xml:space="preserve">0.12 [-0.07, 0.29]</w:t>
            </w:r>
          </w:p>
        </w:tc>
        <w:tc>
          <w:tcPr/>
          <w:p>
            <w:pPr>
              <w:pStyle w:val="Compact"/>
              <w:jc w:val="left"/>
            </w:pPr>
            <w:r>
              <w:t xml:space="preserve">0.15 [-0.10, 0.35]</w:t>
            </w:r>
          </w:p>
        </w:tc>
      </w:tr>
      <w:tr>
        <w:tc>
          <w:tcPr/>
          <w:p>
            <w:pPr>
              <w:pStyle w:val="Compact"/>
              <w:jc w:val="left"/>
            </w:pPr>
            <w:r>
              <w:t xml:space="preserve">μ: age</w:t>
            </w:r>
          </w:p>
        </w:tc>
        <w:tc>
          <w:tcPr/>
          <w:p>
            <w:pPr>
              <w:pStyle w:val="Compact"/>
              <w:jc w:val="left"/>
            </w:pPr>
            <w:r>
              <w:t xml:space="preserve">0.08 [-0.03, 0.19]</w:t>
            </w:r>
          </w:p>
        </w:tc>
        <w:tc>
          <w:tcPr/>
          <w:p>
            <w:pPr>
              <w:pStyle w:val="Compact"/>
              <w:jc w:val="left"/>
            </w:pPr>
            <w:r>
              <w:t xml:space="preserve">0.01 [-0.09, 0.12]</w:t>
            </w:r>
          </w:p>
        </w:tc>
        <w:tc>
          <w:tcPr/>
          <w:p>
            <w:pPr>
              <w:pStyle w:val="Compact"/>
              <w:jc w:val="left"/>
            </w:pPr>
            <w:r>
              <w:t xml:space="preserve">0.13 [0.01, 0.33]</w:t>
            </w:r>
          </w:p>
        </w:tc>
      </w:tr>
      <w:tr>
        <w:tc>
          <w:tcPr/>
          <w:p>
            <w:pPr>
              <w:pStyle w:val="Compact"/>
              <w:jc w:val="left"/>
            </w:pPr>
            <w:r>
              <w:t xml:space="preserve">zoi: condition (typical variation)</w:t>
            </w:r>
          </w:p>
        </w:tc>
        <w:tc>
          <w:tcPr/>
          <w:p>
            <w:pPr>
              <w:pStyle w:val="Compact"/>
              <w:jc w:val="left"/>
            </w:pPr>
            <w:r>
              <w:t xml:space="preserve">-0.21 [-0.56, 0.14]</w:t>
            </w:r>
          </w:p>
        </w:tc>
        <w:tc>
          <w:tcPr/>
          <w:p>
            <w:pPr>
              <w:pStyle w:val="Compact"/>
              <w:jc w:val="left"/>
            </w:pPr>
            <w:r>
              <w:t xml:space="preserve">0.22 [-0.27, 0.71]</w:t>
            </w:r>
          </w:p>
        </w:tc>
        <w:tc>
          <w:tcPr/>
          <w:p>
            <w:pPr>
              <w:pStyle w:val="Compact"/>
              <w:jc w:val="left"/>
            </w:pPr>
            <w:r>
              <w:t xml:space="preserve">0.17 [-0.56, 0.93]</w:t>
            </w:r>
          </w:p>
        </w:tc>
      </w:tr>
      <w:tr>
        <w:tc>
          <w:tcPr/>
          <w:p>
            <w:pPr>
              <w:pStyle w:val="Compact"/>
              <w:jc w:val="left"/>
            </w:pPr>
            <w:r>
              <w:t xml:space="preserve">zoi: condition (consistent)</w:t>
            </w:r>
          </w:p>
        </w:tc>
        <w:tc>
          <w:tcPr/>
          <w:p>
            <w:pPr>
              <w:pStyle w:val="Compact"/>
              <w:jc w:val="left"/>
            </w:pPr>
            <w:r>
              <w:t xml:space="preserve">-0.31 [-0.65, 0.03]</w:t>
            </w:r>
          </w:p>
        </w:tc>
        <w:tc>
          <w:tcPr/>
          <w:p>
            <w:pPr>
              <w:pStyle w:val="Compact"/>
              <w:jc w:val="left"/>
            </w:pPr>
            <w:r>
              <w:t xml:space="preserve">-0.33 [-0.78, 0.13]</w:t>
            </w:r>
          </w:p>
        </w:tc>
        <w:tc>
          <w:tcPr/>
          <w:p>
            <w:pPr>
              <w:pStyle w:val="Compact"/>
              <w:jc w:val="left"/>
            </w:pPr>
            <w:r>
              <w:t xml:space="preserve">-0.67 [-1.19, -0.11]</w:t>
            </w:r>
          </w:p>
        </w:tc>
      </w:tr>
      <w:tr>
        <w:tc>
          <w:tcPr/>
          <w:p>
            <w:pPr>
              <w:pStyle w:val="Compact"/>
              <w:jc w:val="left"/>
            </w:pPr>
            <w:r>
              <w:t xml:space="preserve">zoi: age</w:t>
            </w:r>
          </w:p>
        </w:tc>
        <w:tc>
          <w:tcPr/>
          <w:p>
            <w:pPr>
              <w:pStyle w:val="Compact"/>
              <w:jc w:val="left"/>
            </w:pPr>
            <w:r>
              <w:t xml:space="preserve">-0.33 [-0.48, -0.18]</w:t>
            </w:r>
          </w:p>
        </w:tc>
        <w:tc>
          <w:tcPr/>
          <w:p>
            <w:pPr>
              <w:pStyle w:val="Compact"/>
              <w:jc w:val="left"/>
            </w:pPr>
            <w:r>
              <w:t xml:space="preserve">-0.06 [-0.26, 0.13]</w:t>
            </w:r>
          </w:p>
        </w:tc>
        <w:tc>
          <w:tcPr/>
          <w:p>
            <w:pPr>
              <w:pStyle w:val="Compact"/>
              <w:jc w:val="left"/>
            </w:pPr>
            <w:r>
              <w:t xml:space="preserve">-0.28 [-0.48, -0.11]</w:t>
            </w:r>
          </w:p>
        </w:tc>
      </w:tr>
      <w:tr>
        <w:tc>
          <w:tcPr/>
          <w:p>
            <w:pPr>
              <w:pStyle w:val="Compact"/>
              <w:jc w:val="left"/>
            </w:pPr>
            <w:r>
              <w:t xml:space="preserve">coi: condition (typical variation)</w:t>
            </w:r>
          </w:p>
        </w:tc>
        <w:tc>
          <w:tcPr/>
          <w:p>
            <w:pPr>
              <w:pStyle w:val="Compact"/>
              <w:jc w:val="left"/>
            </w:pPr>
            <w:r>
              <w:t xml:space="preserve">0.06 [-0.36, 0.48]</w:t>
            </w:r>
          </w:p>
        </w:tc>
        <w:tc>
          <w:tcPr/>
          <w:p>
            <w:pPr>
              <w:pStyle w:val="Compact"/>
              <w:jc w:val="left"/>
            </w:pPr>
            <w:r>
              <w:t xml:space="preserve">0.09 [-0.32, 0.50]</w:t>
            </w:r>
          </w:p>
        </w:tc>
        <w:tc>
          <w:tcPr/>
          <w:p>
            <w:pPr>
              <w:pStyle w:val="Compact"/>
              <w:jc w:val="left"/>
            </w:pPr>
            <w:r>
              <w:t xml:space="preserve">-0.02 [-0.35, 0.33]</w:t>
            </w:r>
          </w:p>
        </w:tc>
      </w:tr>
      <w:tr>
        <w:tc>
          <w:tcPr/>
          <w:p>
            <w:pPr>
              <w:pStyle w:val="Compact"/>
              <w:jc w:val="left"/>
            </w:pPr>
            <w:r>
              <w:t xml:space="preserve">coi: condition (consistent)</w:t>
            </w:r>
          </w:p>
        </w:tc>
        <w:tc>
          <w:tcPr/>
          <w:p>
            <w:pPr>
              <w:pStyle w:val="Compact"/>
              <w:jc w:val="left"/>
            </w:pPr>
            <w:r>
              <w:t xml:space="preserve">0.33 [-0.11, 0.78]</w:t>
            </w:r>
          </w:p>
        </w:tc>
        <w:tc>
          <w:tcPr/>
          <w:p>
            <w:pPr>
              <w:pStyle w:val="Compact"/>
              <w:jc w:val="left"/>
            </w:pPr>
            <w:r>
              <w:t xml:space="preserve">0.40 [-0.02, 0.81]</w:t>
            </w:r>
          </w:p>
        </w:tc>
        <w:tc>
          <w:tcPr/>
          <w:p>
            <w:pPr>
              <w:pStyle w:val="Compact"/>
              <w:jc w:val="left"/>
            </w:pPr>
            <w:r>
              <w:t xml:space="preserve">0.15 [-0.29, 0.53]</w:t>
            </w:r>
          </w:p>
        </w:tc>
      </w:tr>
      <w:tr>
        <w:tc>
          <w:tcPr/>
          <w:p>
            <w:pPr>
              <w:pStyle w:val="Compact"/>
              <w:jc w:val="left"/>
            </w:pPr>
            <w:r>
              <w:t xml:space="preserve">coi: age</w:t>
            </w:r>
          </w:p>
        </w:tc>
        <w:tc>
          <w:tcPr/>
          <w:p>
            <w:pPr>
              <w:pStyle w:val="Compact"/>
              <w:jc w:val="left"/>
            </w:pPr>
            <w:r>
              <w:t xml:space="preserve">0.34 [0.15, 0.53]</w:t>
            </w:r>
          </w:p>
        </w:tc>
        <w:tc>
          <w:tcPr/>
          <w:p>
            <w:pPr>
              <w:pStyle w:val="Compact"/>
              <w:jc w:val="left"/>
            </w:pPr>
            <w:r>
              <w:t xml:space="preserve">0.40 [0.23, 0.57]</w:t>
            </w:r>
          </w:p>
        </w:tc>
        <w:tc>
          <w:tcPr/>
          <w:p>
            <w:pPr>
              <w:pStyle w:val="Compact"/>
              <w:jc w:val="left"/>
            </w:pPr>
            <w:r>
              <w:t xml:space="preserve">0.12 [-0.07, 0.25]</w:t>
            </w:r>
          </w:p>
        </w:tc>
      </w:tr>
    </w:tbl>
    <w:p>
      <w:pPr>
        <w:pStyle w:val="table-note"/>
      </w:pPr>
      <w:r>
        <w:rPr>
          <w:i/>
          <w:iCs/>
        </w:rPr>
        <w:t xml:space="preserve">Note.</w:t>
      </w:r>
      <w:r>
        <w:t xml:space="preserve"> </w:t>
      </w:r>
      <w:r>
        <w:t xml:space="preserve">The overall model includes both post-labeling windows (averaged accuracy) and the window-specific models include proportion estimates for 300–2,000ms following each target word onset. The μ component models the predicted accuracy (i.e., proportion looking to the target object) for non-boundary values (values between but not including 0 or 1). The zoi (zero-one inflation) component models the likelihood of accuracy being a boundary value—floor (0) or ceiling (1). The coi (conditional-one inflation) component models the probability of ceiling responses (1s) among boundary values.</w:t>
      </w:r>
    </w:p>
    <w:p>
      <w:pPr>
        <w:pStyle w:val="BodyText"/>
      </w:pPr>
      <w:r>
        <w:t xml:space="preserve"> </w:t>
      </w:r>
    </w:p>
    <w:p>
      <w:pPr>
        <w:pStyle w:val="BodyText"/>
      </w:pPr>
      <w:r>
        <w:t xml:space="preserve">Condition effects were weakly positive but uncertain. For the typical variation condition, the estimated effect was 0.105, SD = 0.134, with a 89% credible interval from -0.109 to 0.319. For the consistent condition, the estimate was 0.117, SD = 0.12, 89% CI [-0.075, 0.309]. The effect of age was small (0.012, SD = 0.069), 89% CI [-0.099, 0.122].</w:t>
      </w:r>
    </w:p>
    <w:p>
      <w:pPr>
        <w:pStyle w:val="BodyText"/>
      </w:pPr>
      <w:r>
        <w:t xml:space="preserve">Posterior probabilities that each effect was greater than zero were: 0.81 for the effect of the typical variation condition (relative to atypical variation condition), 0.86 for the effect of the consistent condition (relative to the atypical variation condition), and 0.56 for the effect of age. These results suggest limited evidence that either input condition or age significantly affected performance, though the posterior distributions for all three predictors leaned slightly positive.</w:t>
      </w:r>
    </w:p>
    <w:bookmarkEnd w:id="36"/>
    <w:bookmarkStart w:id="47" w:name="lwl-window-effects"/>
    <w:p>
      <w:pPr>
        <w:pStyle w:val="Heading1"/>
      </w:pPr>
      <w:r>
        <w:t xml:space="preserve">2. LWL window effects</w:t>
      </w:r>
    </w:p>
    <w:bookmarkStart w:id="37" w:name="X184e3e3478f17ede81813de3834d75ff7f0546f"/>
    <w:p>
      <w:pPr>
        <w:pStyle w:val="Heading2"/>
      </w:pPr>
      <w:r>
        <w:t xml:space="preserve">2.1 Zero-one-inflated beta regression analyses</w:t>
      </w:r>
    </w:p>
    <w:p>
      <w:pPr>
        <w:pStyle w:val="FirstParagraph"/>
      </w:pPr>
      <w:r>
        <w:t xml:space="preserve">We fit separate models for each post-labeling window. In the early time window (following the first label), there were no strong condition effects. The posterior estimate for the typical variation condition relative to atypical variation was β = 0.11 (89% CrI: [-0.10, 0.31]). Similarly, the consistent condition estimate was β = 0.12 (89% CrI: [-0.07, 0.29]). These effects were small, and their credible intervals included zero.</w:t>
      </w:r>
    </w:p>
    <w:p>
      <w:pPr>
        <w:pStyle w:val="BodyText"/>
      </w:pPr>
      <w:r>
        <w:t xml:space="preserve">In the later window (following the second label), condition effects were descriptively stronger. The estimate for the typical variation condition relative to atypical variation was β = -0.13 (89% CrI: [-0.39, 0.17]), and for the consistent condition: β = 0.15 (89% CrI: [-0.10, 0.35]). Though credible intervals still overlapped zero, the magnitude and direction of the effects in this window were more consistent with our hypotheses.</w:t>
      </w:r>
    </w:p>
    <w:bookmarkEnd w:id="37"/>
    <w:bookmarkStart w:id="42" w:name="linear-mixed-effects-regression-analyses"/>
    <w:p>
      <w:pPr>
        <w:pStyle w:val="Heading2"/>
      </w:pPr>
      <w:r>
        <w:t xml:space="preserve">2.2 Linear mixed-effects regression analyses</w:t>
      </w:r>
    </w:p>
    <w:p>
      <w:pPr>
        <w:pStyle w:val="FirstParagraph"/>
      </w:pPr>
      <w:r>
        <w:t xml:space="preserve">In the main text, we reported effects from linear mixed-effects models</w:t>
      </w:r>
      <w:r>
        <w:t xml:space="preserve"> </w:t>
      </w:r>
      <w:r>
        <w:t xml:space="preserve">(</w:t>
      </w:r>
      <w:hyperlink w:anchor="ref-lme4">
        <w:r>
          <w:rPr>
            <w:rStyle w:val="Hyperlink"/>
          </w:rPr>
          <w:t xml:space="preserve">Bates et al., 2015</w:t>
        </w:r>
      </w:hyperlink>
      <w:r>
        <w:t xml:space="preserve">)</w:t>
      </w:r>
      <w:r>
        <w:t xml:space="preserve"> </w:t>
      </w:r>
      <w:r>
        <w:t xml:space="preserve">predicting the average proportion of target looking across the two post-labeling windows (following our pre-registration). Adding post-labeling window to the base model</w:t>
      </w:r>
      <w:r>
        <w:rPr>
          <w:rStyle w:val="FootnoteReference"/>
        </w:rPr>
        <w:footnoteReference w:id="38"/>
      </w:r>
      <w:r>
        <w:t xml:space="preserve"> </w:t>
      </w:r>
      <w:r>
        <w:t xml:space="preserve">revealed no effect of window (</w:t>
      </w:r>
      <w:r>
        <w:rPr>
          <w:i/>
          <w:iCs/>
        </w:rPr>
        <w:t xml:space="preserve">β</w:t>
      </w:r>
      <w:r>
        <w:t xml:space="preserve"> </w:t>
      </w:r>
      <w:r>
        <w:t xml:space="preserve">= 0.1,</w:t>
      </w:r>
      <w:r>
        <w:t xml:space="preserve"> </w:t>
      </w:r>
      <w:r>
        <w:rPr>
          <w:i/>
          <w:iCs/>
        </w:rPr>
        <w:t xml:space="preserve">SE</w:t>
      </w:r>
      <w:r>
        <w:t xml:space="preserve"> </w:t>
      </w:r>
      <w:r>
        <w:t xml:space="preserve">= 0.14,</w:t>
      </w:r>
      <w:r>
        <w:t xml:space="preserve"> </w:t>
      </w:r>
      <w:r>
        <w:rPr>
          <w:i/>
          <w:iCs/>
        </w:rPr>
        <w:t xml:space="preserve">p</w:t>
      </w:r>
      <w:r>
        <w:t xml:space="preserve"> </w:t>
      </w:r>
      <w:r>
        <w:t xml:space="preserve">= 0.482). In addition, adding an interaction between window and condition did not significantly improve the model fit (</w:t>
      </w:r>
      <m:oMath>
        <m:sSup>
          <m:e>
            <m:r>
              <m:t>χ</m:t>
            </m:r>
          </m:e>
          <m:sup>
            <m:r>
              <m:t>2</m:t>
            </m:r>
          </m:sup>
        </m:sSup>
      </m:oMath>
      <w:r>
        <w:t xml:space="preserve">(2) = 0.54,</w:t>
      </w:r>
      <w:r>
        <w:t xml:space="preserve"> </w:t>
      </w:r>
      <w:r>
        <w:rPr>
          <w:i/>
          <w:iCs/>
        </w:rPr>
        <w:t xml:space="preserve">p</w:t>
      </w:r>
      <w:r>
        <w:t xml:space="preserve"> </w:t>
      </w:r>
      <w:r>
        <w:t xml:space="preserve">= 0.765).</w:t>
      </w:r>
      <w:r>
        <w:t xml:space="preserve"> </w:t>
      </w:r>
      <w:r>
        <w:rPr>
          <w:b/>
          <w:bCs/>
        </w:rPr>
        <w:t xml:space="preserve">Figure S2</w:t>
      </w:r>
      <w:r>
        <w:t xml:space="preserve"> </w:t>
      </w:r>
      <w:r>
        <w:t xml:space="preserve">shows model-predicted accuracy across conditions, separately for the two post-labeling windows.</w:t>
      </w:r>
    </w:p>
    <w:p>
      <w:pPr>
        <w:pStyle w:val="CaptionedFigure"/>
      </w:pPr>
      <w:r>
        <w:drawing>
          <wp:inline>
            <wp:extent cx="5943600" cy="3714749"/>
            <wp:effectExtent b="0" l="0" r="0" t="0"/>
            <wp:docPr descr="Figure S2. Model-predicted accuracy by condition across both post-labeling windows. Point ranges reflect estimated marginal means with 95% confidence intervals. Jittered dots show raw means for individual participants. The dashed line at 0.50 indicates chance performance." title="" id="40" name="Picture"/>
            <a:graphic>
              <a:graphicData uri="http://schemas.openxmlformats.org/drawingml/2006/picture">
                <pic:pic>
                  <pic:nvPicPr>
                    <pic:cNvPr descr="FigureS2.png" id="41" name="Picture"/>
                    <pic:cNvPicPr>
                      <a:picLocks noChangeArrowheads="1" noChangeAspect="1"/>
                    </pic:cNvPicPr>
                  </pic:nvPicPr>
                  <pic:blipFill>
                    <a:blip r:embed="rId39"/>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S2. Model-predicted accuracy by condition across both post-labeling windows. Point ranges reflect estimated marginal means with 95% confidence intervals. Jittered dots show raw means for individual participants. The dashed line at 0.50 indicates chance performance.</w:t>
      </w:r>
    </w:p>
    <w:bookmarkEnd w:id="42"/>
    <w:bookmarkStart w:id="46" w:name="cluster-based-permutation-analyses"/>
    <w:p>
      <w:pPr>
        <w:pStyle w:val="Heading2"/>
      </w:pPr>
      <w:r>
        <w:t xml:space="preserve">2.3 Cluster-based permutation analyses</w:t>
      </w:r>
    </w:p>
    <w:p>
      <w:pPr>
        <w:pStyle w:val="FirstParagraph"/>
      </w:pPr>
      <w:r>
        <w:t xml:space="preserve">A cluster-based permutation test</w:t>
      </w:r>
      <w:r>
        <w:t xml:space="preserve"> </w:t>
      </w:r>
      <w:r>
        <w:t xml:space="preserve">(</w:t>
      </w:r>
      <w:hyperlink w:anchor="ref-maris2007nonparametric">
        <w:r>
          <w:rPr>
            <w:rStyle w:val="Hyperlink"/>
          </w:rPr>
          <w:t xml:space="preserve">Maris &amp; Oostenveld, 2007</w:t>
        </w:r>
      </w:hyperlink>
      <w:r>
        <w:t xml:space="preserve">)</w:t>
      </w:r>
      <w:r>
        <w:t xml:space="preserve"> </w:t>
      </w:r>
      <w:r>
        <w:t xml:space="preserve">identified a marginal cluster from 350 to 400ms (AUC = 2.92), but this cluster did not reach significance compared to the permutation-based null distribution (p = 0.997), suggesting at most a weak and transient effect of condition.</w:t>
      </w:r>
    </w:p>
    <w:p>
      <w:pPr>
        <w:pStyle w:val="CaptionedFigure"/>
      </w:pPr>
      <w:r>
        <w:drawing>
          <wp:inline>
            <wp:extent cx="5943600" cy="3714749"/>
            <wp:effectExtent b="0" l="0" r="0" t="0"/>
            <wp:docPr descr="Figure S3: Timecourse of participants’ looks during test trials with shaded standard error regions. The black dashed line at 0.5 represents chance looking. The gray shaded regions indicate the critical analysis windows (300-2000ms) following target word onset." title="" id="44" name="Picture"/>
            <a:graphic>
              <a:graphicData uri="http://schemas.openxmlformats.org/drawingml/2006/picture">
                <pic:pic>
                  <pic:nvPicPr>
                    <pic:cNvPr descr="FigureS3.png" id="45" name="Picture"/>
                    <pic:cNvPicPr>
                      <a:picLocks noChangeArrowheads="1" noChangeAspect="1"/>
                    </pic:cNvPicPr>
                  </pic:nvPicPr>
                  <pic:blipFill>
                    <a:blip r:embed="rId43"/>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S3: Timecourse of participants’ looks during test trials with shaded standard error regions. The black dashed line at 0.5 represents chance looking. The gray shaded regions indicate the critical analysis windows (300-2000ms) following target word onset.</w:t>
      </w:r>
    </w:p>
    <w:bookmarkEnd w:id="46"/>
    <w:bookmarkEnd w:id="47"/>
    <w:bookmarkStart w:id="54" w:name="alternative-pupillometry-analyses"/>
    <w:p>
      <w:pPr>
        <w:pStyle w:val="Heading1"/>
      </w:pPr>
      <w:r>
        <w:t xml:space="preserve">3. Alternative pupillometry analyses</w:t>
      </w:r>
    </w:p>
    <w:p>
      <w:pPr>
        <w:pStyle w:val="FirstParagraph"/>
      </w:pPr>
      <w:r>
        <w:t xml:space="preserve">Our main analyses compared toddlers’ pupil size synchrony during the two types of exposure sentences that differed between conditions. We include below effects taking into account all four types of exposure sentences, in which synchrony is highest for the consistent condition.</w:t>
      </w:r>
    </w:p>
    <w:p>
      <w:pPr>
        <w:pStyle w:val="CaptionedFigure"/>
      </w:pPr>
      <w:r>
        <w:drawing>
          <wp:inline>
            <wp:extent cx="5943600" cy="3714749"/>
            <wp:effectExtent b="0" l="0" r="0" t="0"/>
            <wp:docPr descr="Figure S4: Model-predicted sentence-level mean pupil size synchrony (z-scored) across conditions for all exposure sentences with 95% confidence intervals. Jittered points represent participant means." title="" id="49" name="Picture"/>
            <a:graphic>
              <a:graphicData uri="http://schemas.openxmlformats.org/drawingml/2006/picture">
                <pic:pic>
                  <pic:nvPicPr>
                    <pic:cNvPr descr="FigureS4.png" id="50" name="Picture"/>
                    <pic:cNvPicPr>
                      <a:picLocks noChangeArrowheads="1" noChangeAspect="1"/>
                    </pic:cNvPicPr>
                  </pic:nvPicPr>
                  <pic:blipFill>
                    <a:blip r:embed="rId48"/>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S4: Model-predicted sentence-level mean pupil size synchrony (z-scored) across conditions for all exposure sentences with 95% confidence intervals. Jittered points represent participant means.</w:t>
      </w:r>
    </w:p>
    <w:p>
      <w:pPr>
        <w:pStyle w:val="BodyText"/>
      </w:pPr>
      <w:r>
        <w:t xml:space="preserve">A one-way ANOVA revealed a significant main effect of condition on pupil size synchrony [F(2, 283.3018605) = 20.96,</w:t>
      </w:r>
      <w:r>
        <w:t xml:space="preserve"> </w:t>
      </w:r>
      <w:r>
        <w:rPr>
          <w:i/>
          <w:iCs/>
        </w:rPr>
        <w:t xml:space="preserve">p</w:t>
      </w:r>
      <w:r>
        <w:t xml:space="preserve"> </w:t>
      </w:r>
      <w:r>
        <w:t xml:space="preserve">= 3.24e-09].</w:t>
      </w:r>
    </w:p>
    <w:p>
      <w:pPr>
        <w:pStyle w:val="BodyText"/>
      </w:pPr>
      <w:r>
        <w:t xml:space="preserve">Follow-up pairwise comparisons using Tukey’s HSD correction indicated that pupil size synchrony was significantly higher in the consistent condition compared to the typical variation (ΔM = -0.69,</w:t>
      </w:r>
      <w:r>
        <w:t xml:space="preserve"> </w:t>
      </w:r>
      <w:r>
        <w:rPr>
          <w:i/>
          <w:iCs/>
        </w:rPr>
        <w:t xml:space="preserve">p</w:t>
      </w:r>
      <w:r>
        <w:t xml:space="preserve"> </w:t>
      </w:r>
      <w:r>
        <w:t xml:space="preserve">= 0, Cohen’s d = -0.83) and atypical variation conditions (ΔM = 0.53,</w:t>
      </w:r>
      <w:r>
        <w:t xml:space="preserve"> </w:t>
      </w:r>
      <w:r>
        <w:rPr>
          <w:i/>
          <w:iCs/>
        </w:rPr>
        <w:t xml:space="preserve">p</w:t>
      </w:r>
      <w:r>
        <w:t xml:space="preserve"> </w:t>
      </w:r>
      <w:r>
        <w:t xml:space="preserve">= 0, Cohen’s d = 0.64). No other pairwise comparisons were statistically significant (</w:t>
      </w:r>
      <w:r>
        <w:rPr>
          <w:i/>
          <w:iCs/>
        </w:rPr>
        <w:t xml:space="preserve">p</w:t>
      </w:r>
      <w:r>
        <w:t xml:space="preserve">s &gt; 0.05).</w:t>
      </w:r>
    </w:p>
    <w:p>
      <w:pPr>
        <w:pStyle w:val="BodyText"/>
      </w:pPr>
      <w:r>
        <w:t xml:space="preserve">Model diagnostics indicated mild deviations from linearity and homogeneity of variance, as well as a cluster of influential observations, so results should be interpreted with caution.</w:t>
      </w:r>
    </w:p>
    <w:p>
      <w:pPr>
        <w:pStyle w:val="CaptionedFigure"/>
      </w:pPr>
      <w:r>
        <w:drawing>
          <wp:inline>
            <wp:extent cx="5943600" cy="3714749"/>
            <wp:effectExtent b="0" l="0" r="0" t="0"/>
            <wp:docPr descr="Figure S5: Model-predicted mean word-level pupil size synchrony (z-scored) across conditions with 95% confidence intervals. Jittered points represent participant means." title="" id="52" name="Picture"/>
            <a:graphic>
              <a:graphicData uri="http://schemas.openxmlformats.org/drawingml/2006/picture">
                <pic:pic>
                  <pic:nvPicPr>
                    <pic:cNvPr descr="FigureS5.png" id="53" name="Picture"/>
                    <pic:cNvPicPr>
                      <a:picLocks noChangeArrowheads="1" noChangeAspect="1"/>
                    </pic:cNvPicPr>
                  </pic:nvPicPr>
                  <pic:blipFill>
                    <a:blip r:embed="rId51"/>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S5: Model-predicted mean word-level pupil size synchrony (z-scored) across conditions with 95% confidence intervals. Jittered points represent participant means.</w:t>
      </w:r>
    </w:p>
    <w:p>
      <w:pPr>
        <w:pStyle w:val="BodyText"/>
      </w:pPr>
      <w:r>
        <w:t xml:space="preserve">We also examined pupil size synchrony at the word level, focusing on the same exposure sentences as the main text. A one-way ANOVA revealed a significant main effect of condition on pupil size synchrony [</w:t>
      </w:r>
      <w:r>
        <w:rPr>
          <w:i/>
          <w:iCs/>
        </w:rPr>
        <w:t xml:space="preserve">F</w:t>
      </w:r>
      <w:r>
        <w:t xml:space="preserve">(2, 314) = 20.22,</w:t>
      </w:r>
      <w:r>
        <w:t xml:space="preserve"> </w:t>
      </w:r>
      <w:r>
        <w:rPr>
          <w:i/>
          <w:iCs/>
        </w:rPr>
        <w:t xml:space="preserve">p</w:t>
      </w:r>
      <w:r>
        <w:t xml:space="preserve"> </w:t>
      </w:r>
      <w:r>
        <w:t xml:space="preserve">= 0.000]. Follow-up pairwise comparisons using Tukey’s HSD correction indicated that, relative to the consistent condition, pupil size synchrony was significantly higher in the atypical variation condition condition (ΔM = 0.52,</w:t>
      </w:r>
      <w:r>
        <w:t xml:space="preserve"> </w:t>
      </w:r>
      <w:r>
        <w:rPr>
          <w:i/>
          <w:iCs/>
        </w:rPr>
        <w:t xml:space="preserve">p</w:t>
      </w:r>
      <w:r>
        <w:t xml:space="preserve"> </w:t>
      </w:r>
      <w:r>
        <w:t xml:space="preserve">= 0, Cohen’s</w:t>
      </w:r>
      <w:r>
        <w:t xml:space="preserve"> </w:t>
      </w:r>
      <w:r>
        <w:rPr>
          <w:i/>
          <w:iCs/>
        </w:rPr>
        <w:t xml:space="preserve">d</w:t>
      </w:r>
      <w:r>
        <w:t xml:space="preserve"> </w:t>
      </w:r>
      <w:r>
        <w:t xml:space="preserve">= 0.82) and descriptively higher (but not significantly higher) in the typical variation condition (ΔM = 0.11,</w:t>
      </w:r>
      <w:r>
        <w:t xml:space="preserve"> </w:t>
      </w:r>
      <w:r>
        <w:rPr>
          <w:i/>
          <w:iCs/>
        </w:rPr>
        <w:t xml:space="preserve">p</w:t>
      </w:r>
      <w:r>
        <w:t xml:space="preserve"> </w:t>
      </w:r>
      <w:r>
        <w:t xml:space="preserve">= 0.433, Cohen’s</w:t>
      </w:r>
      <w:r>
        <w:t xml:space="preserve"> </w:t>
      </w:r>
      <w:r>
        <w:rPr>
          <w:i/>
          <w:iCs/>
        </w:rPr>
        <w:t xml:space="preserve">d</w:t>
      </w:r>
      <w:r>
        <w:t xml:space="preserve"> </w:t>
      </w:r>
      <w:r>
        <w:t xml:space="preserve">= -0.17). Sychrony was also significantly higher in the atypical variation condition relative to the typical variation condition (ΔM = -0.41,</w:t>
      </w:r>
      <w:r>
        <w:t xml:space="preserve"> </w:t>
      </w:r>
      <w:r>
        <w:rPr>
          <w:i/>
          <w:iCs/>
        </w:rPr>
        <w:t xml:space="preserve">p</w:t>
      </w:r>
      <w:r>
        <w:t xml:space="preserve"> </w:t>
      </w:r>
      <w:r>
        <w:t xml:space="preserve">= 0, Cohen’s</w:t>
      </w:r>
      <w:r>
        <w:t xml:space="preserve"> </w:t>
      </w:r>
      <w:r>
        <w:rPr>
          <w:i/>
          <w:iCs/>
        </w:rPr>
        <w:t xml:space="preserve">d</w:t>
      </w:r>
      <w:r>
        <w:t xml:space="preserve"> </w:t>
      </w:r>
      <w:r>
        <w:t xml:space="preserve">= 0.65).</w:t>
      </w:r>
    </w:p>
    <w:bookmarkEnd w:id="54"/>
    <w:bookmarkStart w:id="68" w:name="references"/>
    <w:p>
      <w:pPr>
        <w:pStyle w:val="Heading1"/>
      </w:pPr>
      <w:r>
        <w:t xml:space="preserve">4. References</w:t>
      </w:r>
    </w:p>
    <w:bookmarkStart w:id="67" w:name="refs"/>
    <w:bookmarkStart w:id="56" w:name="ref-lme4"/>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55">
        <w:r>
          <w:rPr>
            <w:rStyle w:val="Hyperlink"/>
          </w:rPr>
          <w:t xml:space="preserve">https://doi.org/10.18637/jss.v067.i01</w:t>
        </w:r>
      </w:hyperlink>
    </w:p>
    <w:bookmarkEnd w:id="56"/>
    <w:bookmarkStart w:id="57" w:name="ref-brms"/>
    <w:p>
      <w:pPr>
        <w:pStyle w:val="Bibliography"/>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p>
    <w:bookmarkEnd w:id="57"/>
    <w:bookmarkStart w:id="58" w:name="ref-cribari2010beta"/>
    <w:p>
      <w:pPr>
        <w:pStyle w:val="Bibliography"/>
      </w:pPr>
      <w:r>
        <w:t xml:space="preserve">Cribari-Neto, F., &amp; Zeileis, A. (2010). Beta regression in r.</w:t>
      </w:r>
      <w:r>
        <w:t xml:space="preserve"> </w:t>
      </w:r>
      <w:r>
        <w:rPr>
          <w:i/>
          <w:iCs/>
        </w:rPr>
        <w:t xml:space="preserve">Journal of Statistical Software</w:t>
      </w:r>
      <w:r>
        <w:t xml:space="preserve">,</w:t>
      </w:r>
      <w:r>
        <w:t xml:space="preserve"> </w:t>
      </w:r>
      <w:r>
        <w:rPr>
          <w:i/>
          <w:iCs/>
        </w:rPr>
        <w:t xml:space="preserve">34</w:t>
      </w:r>
      <w:r>
        <w:t xml:space="preserve">(1), 1–24.</w:t>
      </w:r>
    </w:p>
    <w:bookmarkEnd w:id="58"/>
    <w:bookmarkStart w:id="59" w:name="ref-fernald2008looking"/>
    <w:p>
      <w:pPr>
        <w:pStyle w:val="Bibliography"/>
      </w:pPr>
      <w:r>
        <w:t xml:space="preserve">Fernald, A. E., Zangl, R., Portillo, A. L., &amp; Marchman, V. A. (2008). Looking while listening: Using eye movements to monitor spoken language comprehension by infants and young children. In</w:t>
      </w:r>
      <w:r>
        <w:t xml:space="preserve"> </w:t>
      </w:r>
      <w:r>
        <w:rPr>
          <w:i/>
          <w:iCs/>
        </w:rPr>
        <w:t xml:space="preserve">Developmental psycholinguistics: On-line methods in children’s language processing</w:t>
      </w:r>
      <w:r>
        <w:t xml:space="preserve"> </w:t>
      </w:r>
      <w:r>
        <w:t xml:space="preserve">(pp. 97–135). John Benjamins Publishing Company.</w:t>
      </w:r>
    </w:p>
    <w:bookmarkEnd w:id="59"/>
    <w:bookmarkStart w:id="60" w:name="ref-liu2018review"/>
    <w:p>
      <w:pPr>
        <w:pStyle w:val="Bibliography"/>
      </w:pPr>
      <w:r>
        <w:t xml:space="preserve">Liu, F., &amp; Eugenio, E. C. (2018). A review and comparison of bayesian and likelihood-based inferences in beta regression and zero-or-one-inflated beta regression.</w:t>
      </w:r>
      <w:r>
        <w:t xml:space="preserve"> </w:t>
      </w:r>
      <w:r>
        <w:rPr>
          <w:i/>
          <w:iCs/>
        </w:rPr>
        <w:t xml:space="preserve">Statistical Methods in Medical Research</w:t>
      </w:r>
      <w:r>
        <w:t xml:space="preserve">,</w:t>
      </w:r>
      <w:r>
        <w:t xml:space="preserve"> </w:t>
      </w:r>
      <w:r>
        <w:rPr>
          <w:i/>
          <w:iCs/>
        </w:rPr>
        <w:t xml:space="preserve">27</w:t>
      </w:r>
      <w:r>
        <w:t xml:space="preserve">(4), 1024–1044.</w:t>
      </w:r>
    </w:p>
    <w:bookmarkEnd w:id="60"/>
    <w:bookmarkStart w:id="62" w:name="ref-maris2007nonparametric"/>
    <w:p>
      <w:pPr>
        <w:pStyle w:val="Bibliography"/>
      </w:pPr>
      <w:r>
        <w:t xml:space="preserve">Maris, E., &amp; Oostenveld, R. (2007). Nonparametric statistical testing of EEG-and MEG-data.</w:t>
      </w:r>
      <w:r>
        <w:t xml:space="preserve"> </w:t>
      </w:r>
      <w:r>
        <w:rPr>
          <w:i/>
          <w:iCs/>
        </w:rPr>
        <w:t xml:space="preserve">Journal of Neuroscience Methods</w:t>
      </w:r>
      <w:r>
        <w:t xml:space="preserve">,</w:t>
      </w:r>
      <w:r>
        <w:t xml:space="preserve"> </w:t>
      </w:r>
      <w:r>
        <w:rPr>
          <w:i/>
          <w:iCs/>
        </w:rPr>
        <w:t xml:space="preserve">164</w:t>
      </w:r>
      <w:r>
        <w:t xml:space="preserve">(1), 177–190.</w:t>
      </w:r>
      <w:r>
        <w:t xml:space="preserve"> </w:t>
      </w:r>
      <w:hyperlink r:id="rId61">
        <w:r>
          <w:rPr>
            <w:rStyle w:val="Hyperlink"/>
          </w:rPr>
          <w:t xml:space="preserve">https://doi.org/10.1016/j.jneumeth.2007.03.024</w:t>
        </w:r>
      </w:hyperlink>
    </w:p>
    <w:bookmarkEnd w:id="62"/>
    <w:bookmarkStart w:id="64" w:name="ref-rstan"/>
    <w:p>
      <w:pPr>
        <w:pStyle w:val="Bibliography"/>
      </w:pPr>
      <w:r>
        <w:t xml:space="preserve">Stan Development Team. (2025).</w:t>
      </w:r>
      <w:r>
        <w:t xml:space="preserve"> </w:t>
      </w:r>
      <w:r>
        <w:rPr>
          <w:i/>
          <w:iCs/>
        </w:rPr>
        <w:t xml:space="preserve">RStan</w:t>
      </w:r>
      <w:r>
        <w:rPr>
          <w:i/>
          <w:iCs/>
        </w:rPr>
        <w:t xml:space="preserve">: The</w:t>
      </w:r>
      <w:r>
        <w:rPr>
          <w:i/>
          <w:iCs/>
        </w:rPr>
        <w:t xml:space="preserve"> </w:t>
      </w:r>
      <w:r>
        <w:rPr>
          <w:i/>
          <w:iCs/>
        </w:rPr>
        <w:t xml:space="preserve">R</w:t>
      </w:r>
      <w:r>
        <w:rPr>
          <w:i/>
          <w:iCs/>
        </w:rPr>
        <w:t xml:space="preserve"> </w:t>
      </w:r>
      <w:r>
        <w:rPr>
          <w:i/>
          <w:iCs/>
        </w:rPr>
        <w:t xml:space="preserve">interface to</w:t>
      </w:r>
      <w:r>
        <w:rPr>
          <w:i/>
          <w:iCs/>
        </w:rPr>
        <w:t xml:space="preserve"> </w:t>
      </w:r>
      <w:r>
        <w:rPr>
          <w:i/>
          <w:iCs/>
        </w:rPr>
        <w:t xml:space="preserve">Stan</w:t>
      </w:r>
      <w:r>
        <w:t xml:space="preserve">.</w:t>
      </w:r>
      <w:r>
        <w:t xml:space="preserve"> </w:t>
      </w:r>
      <w:hyperlink r:id="rId63">
        <w:r>
          <w:rPr>
            <w:rStyle w:val="Hyperlink"/>
          </w:rPr>
          <w:t xml:space="preserve">https://mc-stan.org/</w:t>
        </w:r>
      </w:hyperlink>
    </w:p>
    <w:bookmarkEnd w:id="64"/>
    <w:bookmarkStart w:id="66" w:name="ref-loo"/>
    <w:p>
      <w:pPr>
        <w:pStyle w:val="Bibliography"/>
      </w:pPr>
      <w:r>
        <w:t xml:space="preserve">Yao, Y., Vehtari, A., Simpson, D., &amp; Gelman, A. (2017). Using stacking to average bayesian predictive distributions.</w:t>
      </w:r>
      <w:r>
        <w:t xml:space="preserve"> </w:t>
      </w:r>
      <w:r>
        <w:rPr>
          <w:i/>
          <w:iCs/>
        </w:rPr>
        <w:t xml:space="preserve">Bayesian Analysis</w:t>
      </w:r>
      <w:r>
        <w:t xml:space="preserve">.</w:t>
      </w:r>
      <w:r>
        <w:t xml:space="preserve"> </w:t>
      </w:r>
      <w:hyperlink r:id="rId65">
        <w:r>
          <w:rPr>
            <w:rStyle w:val="Hyperlink"/>
          </w:rPr>
          <w:t xml:space="preserve">https://doi.org/10.1214/17-BA1091</w:t>
        </w:r>
      </w:hyperlink>
    </w:p>
    <w:bookmarkEnd w:id="66"/>
    <w:bookmarkEnd w:id="67"/>
    <w:bookmarkEnd w:id="68"/>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
    <w:p>
      <w:pPr>
        <w:pStyle w:val="FootnoteText"/>
      </w:pPr>
      <w:r>
        <w:rPr>
          <w:rStyle w:val="FootnoteReference"/>
        </w:rPr>
        <w:footnoteRef/>
      </w:r>
      <w:r>
        <w:t xml:space="preserve"> </w:t>
      </w:r>
      <w:r>
        <w:t xml:space="preserve">glmer(prop. target looking ~ condition + window + age + (1 | id), family = binomial)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type="paragraph" w:customStyle="1" w:styleId="table-note">
    <w:name w:val="table-note"/>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1" Target="media/rId21.svg" /><Relationship Type="http://schemas.openxmlformats.org/officeDocument/2006/relationships/hyperlink" Id="rId61" Target="https://doi.org/10.1016/j.jneumeth.2007.03.024" TargetMode="External" /><Relationship Type="http://schemas.openxmlformats.org/officeDocument/2006/relationships/hyperlink" Id="rId65" Target="https://doi.org/10.1214/17-BA1091" TargetMode="External" /><Relationship Type="http://schemas.openxmlformats.org/officeDocument/2006/relationships/hyperlink" Id="rId55" Target="https://doi.org/10.18637/jss.v067.i01" TargetMode="External" /><Relationship Type="http://schemas.openxmlformats.org/officeDocument/2006/relationships/hyperlink" Id="rId63" Target="https://mc-stan.org/" TargetMode="External" /><Relationship Type="http://schemas.openxmlformats.org/officeDocument/2006/relationships/hyperlink" Id="rId25" Target="https://orcid.org/0000-0001-5326-3080" TargetMode="External" /><Relationship Type="http://schemas.openxmlformats.org/officeDocument/2006/relationships/hyperlink" Id="rId29" Target="https://orcid.org/0000-0002-8781-4458" TargetMode="External" /><Relationship Type="http://schemas.openxmlformats.org/officeDocument/2006/relationships/hyperlink" Id="rId30" Target="mailto:kcasey@princeton.edu"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16/j.jneumeth.2007.03.024" TargetMode="External" /><Relationship Type="http://schemas.openxmlformats.org/officeDocument/2006/relationships/hyperlink" Id="rId65" Target="https://doi.org/10.1214/17-BA1091" TargetMode="External" /><Relationship Type="http://schemas.openxmlformats.org/officeDocument/2006/relationships/hyperlink" Id="rId55" Target="https://doi.org/10.18637/jss.v067.i01" TargetMode="External" /><Relationship Type="http://schemas.openxmlformats.org/officeDocument/2006/relationships/hyperlink" Id="rId63" Target="https://mc-stan.org/" TargetMode="External" /><Relationship Type="http://schemas.openxmlformats.org/officeDocument/2006/relationships/hyperlink" Id="rId25" Target="https://orcid.org/0000-0001-5326-3080" TargetMode="External" /><Relationship Type="http://schemas.openxmlformats.org/officeDocument/2006/relationships/hyperlink" Id="rId29" Target="https://orcid.org/0000-0002-8781-4458" TargetMode="External" /><Relationship Type="http://schemas.openxmlformats.org/officeDocument/2006/relationships/hyperlink" Id="rId30" Target="mailto:kcasey@princeto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SM: LEARNING FROM CONSISTENT AND VARIABLE LABELS</dc:description>
  <cp:keywords/>
  <dcterms:created xsi:type="dcterms:W3CDTF">2026-01-23T19:56:04Z</dcterms:created>
  <dcterms:modified xsi:type="dcterms:W3CDTF">2026-01-23T19:56:04Z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Supplemental Materials for English-hearing toddlers learn words from consistent and variable labels</vt:lpwstr>
  </property>
  <property fmtid="{D5CDD505-2E9C-101B-9397-08002B2CF9AE}" pid="6" name="apatitledisplay">
    <vt:lpwstr>Supplemental Materials for English-hearing toddlers learn words from consistent and variable labels</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rossref">
    <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execute">
    <vt:lpwstr/>
  </property>
  <property fmtid="{D5CDD505-2E9C-101B-9397-08002B2CF9AE}" pid="16" name="fig-cap-location">
    <vt:lpwstr>top</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anguage">
    <vt:lpwstr/>
  </property>
  <property fmtid="{D5CDD505-2E9C-101B-9397-08002B2CF9AE}" pid="23" name="link-citations">
    <vt:lpwstr>True</vt:lpwstr>
  </property>
  <property fmtid="{D5CDD505-2E9C-101B-9397-08002B2CF9AE}" pid="24" name="no-ampersand-parenthetical">
    <vt:lpwstr>False</vt:lpwstr>
  </property>
  <property fmtid="{D5CDD505-2E9C-101B-9397-08002B2CF9AE}" pid="25" name="number-depth">
    <vt:lpwstr>3</vt:lpwstr>
  </property>
  <property fmtid="{D5CDD505-2E9C-101B-9397-08002B2CF9AE}" pid="26" name="numbersections">
    <vt:lpwstr>True</vt:lpwstr>
  </property>
  <property fmtid="{D5CDD505-2E9C-101B-9397-08002B2CF9AE}" pid="27" name="oneaffiliation">
    <vt:lpwstr>True</vt:lpwstr>
  </property>
  <property fmtid="{D5CDD505-2E9C-101B-9397-08002B2CF9AE}" pid="28" name="oneauthor">
    <vt:lpwstr>False</vt:lpwstr>
  </property>
  <property fmtid="{D5CDD505-2E9C-101B-9397-08002B2CF9AE}" pid="29" name="references">
    <vt:lpwstr/>
  </property>
  <property fmtid="{D5CDD505-2E9C-101B-9397-08002B2CF9AE}" pid="30" name="revealjs-plugins">
    <vt:lpwstr/>
  </property>
  <property fmtid="{D5CDD505-2E9C-101B-9397-08002B2CF9AE}" pid="31" name="shorttitle">
    <vt:lpwstr>SM: LEARNING FROM CONSISTENT AND VARIABLE LABELS</vt:lpwstr>
  </property>
  <property fmtid="{D5CDD505-2E9C-101B-9397-08002B2CF9AE}" pid="32" name="suppress-abstract">
    <vt:lpwstr>False</vt:lpwstr>
  </property>
  <property fmtid="{D5CDD505-2E9C-101B-9397-08002B2CF9AE}" pid="33" name="suppress-affiliation">
    <vt:lpwstr>False</vt:lpwstr>
  </property>
  <property fmtid="{D5CDD505-2E9C-101B-9397-08002B2CF9AE}" pid="34" name="suppress-author">
    <vt:lpwstr>False</vt:lpwstr>
  </property>
  <property fmtid="{D5CDD505-2E9C-101B-9397-08002B2CF9AE}" pid="35" name="suppress-author-note">
    <vt:lpwstr>False</vt:lpwstr>
  </property>
  <property fmtid="{D5CDD505-2E9C-101B-9397-08002B2CF9AE}" pid="36" name="suppress-corresponding-address">
    <vt:lpwstr>False</vt:lpwstr>
  </property>
  <property fmtid="{D5CDD505-2E9C-101B-9397-08002B2CF9AE}" pid="37" name="suppress-corresponding-affiliation-name">
    <vt:lpwstr>False</vt:lpwstr>
  </property>
  <property fmtid="{D5CDD505-2E9C-101B-9397-08002B2CF9AE}" pid="38" name="suppress-corresponding-city">
    <vt:lpwstr>False</vt:lpwstr>
  </property>
  <property fmtid="{D5CDD505-2E9C-101B-9397-08002B2CF9AE}" pid="39" name="suppress-corresponding-department">
    <vt:lpwstr>False</vt:lpwstr>
  </property>
  <property fmtid="{D5CDD505-2E9C-101B-9397-08002B2CF9AE}" pid="40" name="suppress-corresponding-email">
    <vt:lpwstr>False</vt:lpwstr>
  </property>
  <property fmtid="{D5CDD505-2E9C-101B-9397-08002B2CF9AE}" pid="41" name="suppress-corresponding-group">
    <vt:lpwstr>False</vt:lpwstr>
  </property>
  <property fmtid="{D5CDD505-2E9C-101B-9397-08002B2CF9AE}" pid="42" name="suppress-corresponding-paragraph">
    <vt:lpwstr>False</vt:lpwstr>
  </property>
  <property fmtid="{D5CDD505-2E9C-101B-9397-08002B2CF9AE}" pid="43" name="suppress-corresponding-postal-code">
    <vt:lpwstr>False</vt:lpwstr>
  </property>
  <property fmtid="{D5CDD505-2E9C-101B-9397-08002B2CF9AE}" pid="44" name="suppress-corresponding-region">
    <vt:lpwstr>False</vt:lpwstr>
  </property>
  <property fmtid="{D5CDD505-2E9C-101B-9397-08002B2CF9AE}" pid="45" name="suppress-credit-statement">
    <vt:lpwstr>False</vt:lpwstr>
  </property>
  <property fmtid="{D5CDD505-2E9C-101B-9397-08002B2CF9AE}" pid="46" name="suppress-disclosures-paragraph">
    <vt:lpwstr>False</vt:lpwstr>
  </property>
  <property fmtid="{D5CDD505-2E9C-101B-9397-08002B2CF9AE}" pid="47" name="suppress-impact-statement">
    <vt:lpwstr>False</vt:lpwstr>
  </property>
  <property fmtid="{D5CDD505-2E9C-101B-9397-08002B2CF9AE}" pid="48" name="suppress-keywords">
    <vt:lpwstr>False</vt:lpwstr>
  </property>
  <property fmtid="{D5CDD505-2E9C-101B-9397-08002B2CF9AE}" pid="49" name="suppress-orcid">
    <vt:lpwstr>False</vt:lpwstr>
  </property>
  <property fmtid="{D5CDD505-2E9C-101B-9397-08002B2CF9AE}" pid="50" name="suppress-short-title">
    <vt:lpwstr>False</vt:lpwstr>
  </property>
  <property fmtid="{D5CDD505-2E9C-101B-9397-08002B2CF9AE}" pid="51" name="suppress-status-change-paragraph">
    <vt:lpwstr>False</vt:lpwstr>
  </property>
  <property fmtid="{D5CDD505-2E9C-101B-9397-08002B2CF9AE}" pid="52" name="suppress-title">
    <vt:lpwstr>False</vt:lpwstr>
  </property>
  <property fmtid="{D5CDD505-2E9C-101B-9397-08002B2CF9AE}" pid="53" name="suppress-title-introduction">
    <vt:lpwstr>False</vt:lpwstr>
  </property>
  <property fmtid="{D5CDD505-2E9C-101B-9397-08002B2CF9AE}" pid="54" name="suppress-title-page">
    <vt:lpwstr>False</vt:lpwstr>
  </property>
  <property fmtid="{D5CDD505-2E9C-101B-9397-08002B2CF9AE}" pid="55" name="suppress-title-page-number">
    <vt:lpwstr>False</vt:lpwstr>
  </property>
  <property fmtid="{D5CDD505-2E9C-101B-9397-08002B2CF9AE}" pid="56" name="tbl-cap-location">
    <vt:lpwstr>top</vt:lpwstr>
  </property>
  <property fmtid="{D5CDD505-2E9C-101B-9397-08002B2CF9AE}" pid="57" name="toc-title">
    <vt:lpwstr>Table of contents</vt:lpwstr>
  </property>
  <property fmtid="{D5CDD505-2E9C-101B-9397-08002B2CF9AE}" pid="58" name="wordn">
    <vt:lpwstr>1387</vt:lpwstr>
  </property>
  <property fmtid="{D5CDD505-2E9C-101B-9397-08002B2CF9AE}" pid="59" name="zerocitations">
    <vt:lpwstr>False</vt:lpwstr>
  </property>
</Properties>
</file>