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4.png" ContentType="image/png"/>
  <Override PartName="/word/media/rId48.png" ContentType="image/png"/>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English-hearing toddlers learn words from consistent and variable labels</w:t>
      </w:r>
    </w:p>
    <w:p>
      <w:pPr>
        <w:pStyle w:val="Author"/>
      </w:pPr>
      <w:r>
        <w:t xml:space="preserve"> </w:t>
      </w:r>
    </w:p>
    <w:p>
      <w:pPr>
        <w:pStyle w:val="Author"/>
      </w:pPr>
      <w:r>
        <w:t xml:space="preserve">Kennedy Casey and Casey Lew-Williams</w:t>
      </w:r>
    </w:p>
    <w:p>
      <w:pPr>
        <w:pStyle w:val="Author"/>
      </w:pPr>
      <w:r>
        <w:t xml:space="preserve">Department of Psychology, Princeton University</w:t>
      </w:r>
    </w:p>
    <w:p>
      <w:pPr>
        <w:pStyle w:val="BodyText"/>
      </w:pPr>
      <w:r>
        <w:t xml:space="preserve"> </w:t>
      </w:r>
    </w:p>
    <w:p>
      <w:pPr>
        <w:pStyle w:val="BodyText"/>
      </w:pPr>
      <w:r>
        <w:t xml:space="preserve"> </w:t>
      </w:r>
    </w:p>
    <w:bookmarkEnd w:id="20"/>
    <w:bookmarkStart w:id="32" w:name="author-note"/>
    <w:p>
      <w:pPr>
        <w:pStyle w:val="Heading1"/>
      </w:pPr>
      <w:r>
        <w:t xml:space="preserve">Author Note</w:t>
      </w:r>
    </w:p>
    <w:p>
      <w:pPr>
        <w:pStyle w:val="FirstParagraph"/>
      </w:pPr>
      <w:r>
        <w:t xml:space="preserve">Kennedy Casey</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https://orcid.org/0000-0001-5326-3080</w:t>
        </w:r>
      </w:hyperlink>
    </w:p>
    <w:p>
      <w:pPr>
        <w:pStyle w:val="BodyText"/>
      </w:pPr>
      <w:r>
        <w:t xml:space="preserve">Casey Lew-Williams</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https://orcid.org/0000-0002-8781-4458</w:t>
        </w:r>
      </w:hyperlink>
    </w:p>
    <w:p>
      <w:pPr>
        <w:pStyle w:val="BodyText"/>
      </w:pPr>
      <w:r>
        <w:t xml:space="preserve">The study design and analysis plan was pre-registered (</w:t>
      </w:r>
      <w:hyperlink r:id="rId30">
        <w:r>
          <w:rPr>
            <w:rStyle w:val="Hyperlink"/>
          </w:rPr>
          <w:t xml:space="preserve">https://osf.io/uqz6d</w:t>
        </w:r>
      </w:hyperlink>
      <w:r>
        <w:t xml:space="preserve">). Anonymized data are available at LINK. The authors declare no conflicts of interest. This research was supported by a XXX awarded to CLW (XXX) and a National Science Foundation Graduate Research Fellowship awarded to KC. We are grateful to the participating families as well as the members of the Princeton Baby Lab and Psychology of Language Lab for their feedback on this work.</w:t>
      </w:r>
    </w:p>
    <w:p>
      <w:pPr>
        <w:pStyle w:val="BodyText"/>
      </w:pPr>
      <w:r>
        <w:t xml:space="preserve">Correspondence concerning this article should be addressed to Kennedy Casey, Department of Psychology, Princeton University, 40 Woodlands Way, Princeton, NJ 8544, USA, Email:</w:t>
      </w:r>
      <w:r>
        <w:t xml:space="preserve"> </w:t>
      </w:r>
      <w:hyperlink r:id="rId31">
        <w:r>
          <w:rPr>
            <w:rStyle w:val="Hyperlink"/>
          </w:rPr>
          <w:t xml:space="preserve">kcasey@princeton.edu</w:t>
        </w:r>
      </w:hyperlink>
    </w:p>
    <w:p>
      <w:r>
        <w:br w:type="page"/>
      </w:r>
    </w:p>
    <w:bookmarkEnd w:id="32"/>
    <w:bookmarkStart w:id="33" w:name="abstract"/>
    <w:p>
      <w:pPr>
        <w:pStyle w:val="Heading1"/>
      </w:pPr>
      <w:r>
        <w:t xml:space="preserve">Abstract</w:t>
      </w:r>
    </w:p>
    <w:p>
      <w:pPr>
        <w:pStyle w:val="AbstractFirstParagraph"/>
      </w:pPr>
      <w:r>
        <w:t xml:space="preserve">This document is a template.</w:t>
      </w:r>
    </w:p>
    <w:p>
      <w:pPr>
        <w:pStyle w:val="BodyText"/>
      </w:pPr>
      <w:r>
        <w:rPr>
          <w:i/>
          <w:iCs/>
        </w:rPr>
        <w:t xml:space="preserve">Keywords</w:t>
      </w:r>
      <w:r>
        <w:t xml:space="preserve">: word learning, child-directed speech, wordplay, eye-tracking</w:t>
      </w:r>
    </w:p>
    <w:p>
      <w:r>
        <w:br w:type="page"/>
      </w:r>
    </w:p>
    <w:bookmarkEnd w:id="33"/>
    <w:bookmarkStart w:id="34" w:name="firstheader"/>
    <w:p>
      <w:pPr>
        <w:pStyle w:val="Heading1"/>
      </w:pPr>
      <w:r>
        <w:t xml:space="preserve">English-hearing toddlers learn words from consistent and variable labels</w:t>
      </w:r>
    </w:p>
    <w:bookmarkEnd w:id="34"/>
    <w:bookmarkStart w:id="36" w:name="introduction"/>
    <w:p>
      <w:pPr>
        <w:pStyle w:val="Heading1"/>
      </w:pPr>
      <w:r>
        <w:t xml:space="preserve">1. Introduction</w:t>
      </w:r>
    </w:p>
    <w:p>
      <w:pPr>
        <w:pStyle w:val="FirstParagraph"/>
      </w:pPr>
      <w:r>
        <w:t xml:space="preserve">Across many languages, speech addressed to infants and young children frequently includes</w:t>
      </w:r>
      <w:r>
        <w:t xml:space="preserve"> </w:t>
      </w:r>
      <w:r>
        <w:t xml:space="preserve">“</w:t>
      </w:r>
      <w:r>
        <w:t xml:space="preserve">baby-talk</w:t>
      </w:r>
      <w:r>
        <w:t xml:space="preserve">”</w:t>
      </w:r>
      <w:r>
        <w:t xml:space="preserve"> </w:t>
      </w:r>
      <w:r>
        <w:t xml:space="preserve">words that are unique or highly specific to this child-directed register</w:t>
      </w:r>
      <w:r>
        <w:t xml:space="preserve"> </w:t>
      </w:r>
      <w:r>
        <w:t xml:space="preserve">(</w:t>
      </w:r>
      <w:hyperlink w:anchor="ref-bynon1968berber">
        <w:r>
          <w:rPr>
            <w:rStyle w:val="Hyperlink"/>
          </w:rPr>
          <w:t xml:space="preserve">Bynon, 1968</w:t>
        </w:r>
      </w:hyperlink>
      <w:r>
        <w:t xml:space="preserve">;</w:t>
      </w:r>
      <w:r>
        <w:t xml:space="preserve"> </w:t>
      </w:r>
      <w:hyperlink w:anchor="ref-casagrande1948comanche">
        <w:r>
          <w:rPr>
            <w:rStyle w:val="Hyperlink"/>
          </w:rPr>
          <w:t xml:space="preserve">Casagrande, 1948</w:t>
        </w:r>
      </w:hyperlink>
      <w:r>
        <w:t xml:space="preserve">;</w:t>
      </w:r>
      <w:r>
        <w:t xml:space="preserve"> </w:t>
      </w:r>
      <w:hyperlink w:anchor="ref-ferguson1964baby">
        <w:r>
          <w:rPr>
            <w:rStyle w:val="Hyperlink"/>
          </w:rPr>
          <w:t xml:space="preserve">Ferguson, 1964</w:t>
        </w:r>
      </w:hyperlink>
      <w:r>
        <w:t xml:space="preserve">;</w:t>
      </w:r>
      <w:r>
        <w:t xml:space="preserve"> </w:t>
      </w:r>
      <w:hyperlink w:anchor="ref-han2023che">
        <w:r>
          <w:rPr>
            <w:rStyle w:val="Hyperlink"/>
          </w:rPr>
          <w:t xml:space="preserve">Han &amp; Gu, 2023</w:t>
        </w:r>
      </w:hyperlink>
      <w:r>
        <w:t xml:space="preserve">;</w:t>
      </w:r>
      <w:r>
        <w:t xml:space="preserve"> </w:t>
      </w:r>
      <w:hyperlink w:anchor="ref-mazuka2008japanese">
        <w:r>
          <w:rPr>
            <w:rStyle w:val="Hyperlink"/>
          </w:rPr>
          <w:t xml:space="preserve">Mazuka et al., 2008</w:t>
        </w:r>
      </w:hyperlink>
      <w:r>
        <w:t xml:space="preserve">;</w:t>
      </w:r>
      <w:r>
        <w:t xml:space="preserve"> </w:t>
      </w:r>
      <w:hyperlink w:anchor="ref-ota2018choo">
        <w:r>
          <w:rPr>
            <w:rStyle w:val="Hyperlink"/>
          </w:rPr>
          <w:t xml:space="preserve">Ota et al., 2018</w:t>
        </w:r>
      </w:hyperlink>
      <w:r>
        <w:t xml:space="preserve">;</w:t>
      </w:r>
      <w:r>
        <w:t xml:space="preserve"> </w:t>
      </w:r>
      <w:hyperlink w:anchor="ref-pye1986quiche">
        <w:r>
          <w:rPr>
            <w:rStyle w:val="Hyperlink"/>
          </w:rPr>
          <w:t xml:space="preserve">Pye, 1986</w:t>
        </w:r>
      </w:hyperlink>
      <w:r>
        <w:t xml:space="preserve">;</w:t>
      </w:r>
      <w:r>
        <w:t xml:space="preserve"> </w:t>
      </w:r>
      <w:hyperlink w:anchor="ref-sarvasy2025child">
        <w:r>
          <w:rPr>
            <w:rStyle w:val="Hyperlink"/>
          </w:rPr>
          <w:t xml:space="preserve">Sarvasy et al., 2025</w:t>
        </w:r>
      </w:hyperlink>
      <w:r>
        <w:t xml:space="preserve">)</w:t>
      </w:r>
      <w:r>
        <w:t xml:space="preserve">. Child-directed words are often variants of existing word forms in adult language but with some phonological and/or morphological change(s)</w:t>
      </w:r>
      <w:r>
        <w:t xml:space="preserve"> </w:t>
      </w:r>
      <w:r>
        <w:t xml:space="preserve">(</w:t>
      </w:r>
      <w:hyperlink w:anchor="ref-moore2024wordform">
        <w:r>
          <w:rPr>
            <w:rStyle w:val="Hyperlink"/>
          </w:rPr>
          <w:t xml:space="preserve">Moore &amp; Bergelson, 2024</w:t>
        </w:r>
      </w:hyperlink>
      <w:r>
        <w:t xml:space="preserve">)</w:t>
      </w:r>
      <w:r>
        <w:t xml:space="preserve"> </w:t>
      </w:r>
      <w:r>
        <w:t xml:space="preserve">or iconic relationships [CITE]. Some child-directed versus adult-directed variants share little to no overlap</w:t>
      </w:r>
      <w:r>
        <w:t xml:space="preserve"> </w:t>
      </w:r>
      <w:r>
        <w:t xml:space="preserve">(e.g.,</w:t>
      </w:r>
      <w:r>
        <w:t xml:space="preserve"> </w:t>
      </w:r>
      <w:r>
        <w:rPr>
          <w:i/>
          <w:iCs/>
        </w:rPr>
        <w:t xml:space="preserve">bunny</w:t>
      </w:r>
      <w:r>
        <w:t xml:space="preserve"> </w:t>
      </w:r>
      <w:r>
        <w:t xml:space="preserve">and</w:t>
      </w:r>
      <w:r>
        <w:t xml:space="preserve"> </w:t>
      </w:r>
      <w:r>
        <w:rPr>
          <w:i/>
          <w:iCs/>
        </w:rPr>
        <w:t xml:space="preserve">rabbit</w:t>
      </w:r>
      <w:r>
        <w:t xml:space="preserve">,</w:t>
      </w:r>
      <w:r>
        <w:t xml:space="preserve"> </w:t>
      </w:r>
      <w:hyperlink w:anchor="ref-soderstrom2007beyond">
        <w:r>
          <w:rPr>
            <w:rStyle w:val="Hyperlink"/>
          </w:rPr>
          <w:t xml:space="preserve">Soderstrom, 2007</w:t>
        </w:r>
      </w:hyperlink>
      <w:r>
        <w:t xml:space="preserve">)</w:t>
      </w:r>
      <w:r>
        <w:t xml:space="preserve">. While child-directed variants are eventually replaced by adult word forms in children’s and caregivers’ speech</w:t>
      </w:r>
      <w:r>
        <w:t xml:space="preserve"> </w:t>
      </w:r>
      <w:r>
        <w:t xml:space="preserve">(</w:t>
      </w:r>
      <w:hyperlink w:anchor="ref-casey2022doggy">
        <w:r>
          <w:rPr>
            <w:rStyle w:val="Hyperlink"/>
          </w:rPr>
          <w:t xml:space="preserve">Casey &amp; Casillas, 2022</w:t>
        </w:r>
      </w:hyperlink>
      <w:r>
        <w:t xml:space="preserve">)</w:t>
      </w:r>
      <w:r>
        <w:t xml:space="preserve">, multiple lexical variants have been shown to be used seemingly interchangeably in children’s early language environments</w:t>
      </w:r>
      <w:r>
        <w:t xml:space="preserve"> </w:t>
      </w:r>
      <w:r>
        <w:t xml:space="preserve">(</w:t>
      </w:r>
      <w:hyperlink w:anchor="ref-caseyIPcorpus">
        <w:r>
          <w:rPr>
            <w:rStyle w:val="Hyperlink"/>
          </w:rPr>
          <w:t xml:space="preserve">Casey et al., in preparation</w:t>
        </w:r>
      </w:hyperlink>
      <w:r>
        <w:t xml:space="preserve">;</w:t>
      </w:r>
      <w:r>
        <w:t xml:space="preserve"> </w:t>
      </w:r>
      <w:hyperlink w:anchor="ref-moore2024wordform">
        <w:r>
          <w:rPr>
            <w:rStyle w:val="Hyperlink"/>
          </w:rPr>
          <w:t xml:space="preserve">Moore &amp; Bergelson, 2024</w:t>
        </w:r>
      </w:hyperlink>
      <w:r>
        <w:t xml:space="preserve">)</w:t>
      </w:r>
      <w:r>
        <w:t xml:space="preserve">. How does exposure to this kind of label variation impact children’s word learning?</w:t>
      </w:r>
    </w:p>
    <w:p>
      <w:pPr>
        <w:pStyle w:val="BodyText"/>
      </w:pPr>
      <w:r>
        <w:t xml:space="preserve">The process of early word learning is traditionally framed as a one-to-one mapping problem—children learn to associate individual word forms (i.e., labels) with individual referents</w:t>
      </w:r>
      <w:r>
        <w:t xml:space="preserve"> </w:t>
      </w:r>
      <w:r>
        <w:t xml:space="preserve">(</w:t>
      </w:r>
      <w:hyperlink w:anchor="ref-smith2008infant">
        <w:r>
          <w:rPr>
            <w:rStyle w:val="Hyperlink"/>
          </w:rPr>
          <w:t xml:space="preserve">Smith &amp; Trainor, 2008</w:t>
        </w:r>
      </w:hyperlink>
      <w:r>
        <w:t xml:space="preserve">; but see also</w:t>
      </w:r>
      <w:r>
        <w:t xml:space="preserve"> </w:t>
      </w:r>
      <w:hyperlink w:anchor="ref-wojcik2022map">
        <w:r>
          <w:rPr>
            <w:rStyle w:val="Hyperlink"/>
          </w:rPr>
          <w:t xml:space="preserve">Wojcik et al., 2022</w:t>
        </w:r>
      </w:hyperlink>
      <w:r>
        <w:t xml:space="preserve">)</w:t>
      </w:r>
      <w:r>
        <w:t xml:space="preserve">.</w:t>
      </w:r>
      <w:r>
        <w:t xml:space="preserve"> </w:t>
      </w:r>
    </w:p>
    <w:p>
      <w:pPr>
        <w:pStyle w:val="BodyText"/>
      </w:pPr>
      <w:r>
        <w:t xml:space="preserve">Conversely, some features of child-directed variants have been linked with early learnability. Reduplicated word forms, which include repetition of full or partial syllables (e.g.,</w:t>
      </w:r>
      <w:r>
        <w:t xml:space="preserve"> </w:t>
      </w:r>
      <w:r>
        <w:rPr>
          <w:i/>
          <w:iCs/>
        </w:rPr>
        <w:t xml:space="preserve">woof-woof</w:t>
      </w:r>
      <w:r>
        <w:t xml:space="preserve">,</w:t>
      </w:r>
      <w:r>
        <w:t xml:space="preserve"> </w:t>
      </w:r>
      <w:r>
        <w:rPr>
          <w:i/>
          <w:iCs/>
        </w:rPr>
        <w:t xml:space="preserve">bow-wow</w:t>
      </w:r>
      <w:r>
        <w:t xml:space="preserve">), are relatively common in child-directed speech</w:t>
      </w:r>
      <w:r>
        <w:t xml:space="preserve"> </w:t>
      </w:r>
      <w:r>
        <w:t xml:space="preserve">(</w:t>
      </w:r>
      <w:hyperlink w:anchor="ref-mazuka2008japanese">
        <w:r>
          <w:rPr>
            <w:rStyle w:val="Hyperlink"/>
          </w:rPr>
          <w:t xml:space="preserve">Mazuka et al., 2008</w:t>
        </w:r>
      </w:hyperlink>
      <w:r>
        <w:t xml:space="preserve">;</w:t>
      </w:r>
      <w:r>
        <w:t xml:space="preserve"> </w:t>
      </w:r>
      <w:hyperlink w:anchor="ref-ota2018choo">
        <w:r>
          <w:rPr>
            <w:rStyle w:val="Hyperlink"/>
          </w:rPr>
          <w:t xml:space="preserve">Ota et al., 2018</w:t>
        </w:r>
      </w:hyperlink>
      <w:r>
        <w:t xml:space="preserve">; CDS, though estimated rates vary substantially across languages, e.g.,</w:t>
      </w:r>
      <w:r>
        <w:t xml:space="preserve"> </w:t>
      </w:r>
      <w:hyperlink w:anchor="ref-han2023chan">
        <w:r>
          <w:rPr>
            <w:rStyle w:val="Hyperlink"/>
            <w:b/>
            <w:bCs/>
          </w:rPr>
          <w:t xml:space="preserve">han2023chan?</w:t>
        </w:r>
      </w:hyperlink>
      <w:r>
        <w:t xml:space="preserve">)</w:t>
      </w:r>
      <w:r>
        <w:t xml:space="preserve">. Ota and Skarabela</w:t>
      </w:r>
      <w:r>
        <w:t xml:space="preserve"> </w:t>
      </w:r>
      <w:r>
        <w:t xml:space="preserve">(</w:t>
      </w:r>
      <w:hyperlink w:anchor="ref-ota2016reduplicated">
        <w:r>
          <w:rPr>
            <w:rStyle w:val="Hyperlink"/>
          </w:rPr>
          <w:t xml:space="preserve">2016</w:t>
        </w:r>
      </w:hyperlink>
      <w:r>
        <w:t xml:space="preserve">)</w:t>
      </w:r>
      <w:r>
        <w:t xml:space="preserve"> </w:t>
      </w:r>
      <w:r>
        <w:t xml:space="preserve">found that (Scottish) English-learning 17- to 19-month-olds learned reduplicated labels for novel objects better than non-reduplicated labels and cite three possible explanations of this pattern. Reduplicated labels may be more learnable because (1) repeated syllables are more salient in continuous speech and thus more segmentable</w:t>
      </w:r>
      <w:r>
        <w:t xml:space="preserve"> </w:t>
      </w:r>
      <w:r>
        <w:t xml:space="preserve">(</w:t>
      </w:r>
      <w:hyperlink w:anchor="ref-ota2018reduplication">
        <w:r>
          <w:rPr>
            <w:rStyle w:val="Hyperlink"/>
          </w:rPr>
          <w:t xml:space="preserve">Ota &amp; Skarabela, 2018</w:t>
        </w:r>
      </w:hyperlink>
      <w:r>
        <w:t xml:space="preserve">)</w:t>
      </w:r>
      <w:r>
        <w:t xml:space="preserve">, (2) syllable redundancy may facilitate more efficient phonological encoding</w:t>
      </w:r>
      <w:r>
        <w:t xml:space="preserve"> </w:t>
      </w:r>
      <w:r>
        <w:t xml:space="preserve">(consistent with</w:t>
      </w:r>
      <w:r>
        <w:t xml:space="preserve"> </w:t>
      </w:r>
      <w:hyperlink w:anchor="ref-damian2009exploring">
        <w:r>
          <w:rPr>
            <w:rStyle w:val="Hyperlink"/>
          </w:rPr>
          <w:t xml:space="preserve">Damian &amp; Dumay, 2009</w:t>
        </w:r>
      </w:hyperlink>
      <w:r>
        <w:t xml:space="preserve">’s work with English-speaking adults)</w:t>
      </w:r>
      <w:r>
        <w:t xml:space="preserve">, and (3) adjacent repetition may lead to stronger lexical activation, supporting faster online word recognition.</w:t>
      </w:r>
    </w:p>
    <w:p>
      <w:pPr>
        <w:pStyle w:val="BodyText"/>
      </w:pPr>
      <w:r>
        <w:t xml:space="preserve">Multiple lexical variants have been shown to be used seemingly interchangeably in English child-directed speech</w:t>
      </w:r>
      <w:r>
        <w:t xml:space="preserve"> </w:t>
      </w:r>
      <w:r>
        <w:t xml:space="preserve">(</w:t>
      </w:r>
      <w:hyperlink w:anchor="ref-caseyIPcorpus">
        <w:r>
          <w:rPr>
            <w:rStyle w:val="Hyperlink"/>
          </w:rPr>
          <w:t xml:space="preserve">Casey et al., in preparation</w:t>
        </w:r>
      </w:hyperlink>
      <w:r>
        <w:t xml:space="preserve">;</w:t>
      </w:r>
      <w:r>
        <w:t xml:space="preserve"> </w:t>
      </w:r>
      <w:hyperlink w:anchor="ref-casey2022doggy">
        <w:r>
          <w:rPr>
            <w:rStyle w:val="Hyperlink"/>
          </w:rPr>
          <w:t xml:space="preserve">Casey &amp; Casillas, 2022</w:t>
        </w:r>
      </w:hyperlink>
      <w:r>
        <w:t xml:space="preserve">;</w:t>
      </w:r>
      <w:r>
        <w:t xml:space="preserve"> </w:t>
      </w:r>
      <w:hyperlink w:anchor="ref-moore2024wordform">
        <w:r>
          <w:rPr>
            <w:rStyle w:val="Hyperlink"/>
          </w:rPr>
          <w:t xml:space="preserve">Moore &amp; Bergelson, 2024</w:t>
        </w:r>
      </w:hyperlink>
      <w:r>
        <w:t xml:space="preserve">)</w:t>
      </w:r>
      <w:r>
        <w:t xml:space="preserve">. Earlier-learned words tend to be associated with more variation</w:t>
      </w:r>
      <w:r>
        <w:t xml:space="preserve"> </w:t>
      </w:r>
      <w:r>
        <w:t xml:space="preserve">(</w:t>
      </w:r>
      <w:hyperlink w:anchor="ref-caseyIPcorpus">
        <w:r>
          <w:rPr>
            <w:rStyle w:val="Hyperlink"/>
          </w:rPr>
          <w:t xml:space="preserve">Casey et al., in preparation</w:t>
        </w:r>
      </w:hyperlink>
      <w:r>
        <w:t xml:space="preserve">;</w:t>
      </w:r>
      <w:r>
        <w:t xml:space="preserve"> </w:t>
      </w:r>
      <w:hyperlink w:anchor="ref-moore2024wordform">
        <w:r>
          <w:rPr>
            <w:rStyle w:val="Hyperlink"/>
          </w:rPr>
          <w:t xml:space="preserve">Moore &amp; Bergelson, 2024</w:t>
        </w:r>
      </w:hyperlink>
      <w:r>
        <w:t xml:space="preserve">)</w:t>
      </w:r>
      <w:r>
        <w:t xml:space="preserve">, suggesting that learners must contend with a relatively complicated linguistic landscape from early in development. How do multiple labels impact children’s word learning?</w:t>
      </w:r>
    </w:p>
    <w:p>
      <w:pPr>
        <w:pStyle w:val="BodyText"/>
      </w:pPr>
      <w:r>
        <w:t xml:space="preserve">However, existing research leaves open the question of how label variation impacts children’s early word learning.</w:t>
      </w:r>
    </w:p>
    <w:p>
      <w:pPr>
        <w:pStyle w:val="BodyText"/>
      </w:pPr>
      <w:r>
        <w:t xml:space="preserve">Despite these competing possibilities, no studies to date have directly tested how consistent versus variable labels impact toddlers’ ability to learn new words. The present study addresses this gap by manipulating the presence and type of label variation in a controlled, lab-based novel word learning task. In an eye-tracking study using a looking-while-listening (LWL) design</w:t>
      </w:r>
      <w:r>
        <w:t xml:space="preserve"> </w:t>
      </w:r>
      <w:r>
        <w:t xml:space="preserve">(</w:t>
      </w:r>
      <w:hyperlink w:anchor="ref-fernald2008looking">
        <w:r>
          <w:rPr>
            <w:rStyle w:val="Hyperlink"/>
          </w:rPr>
          <w:t xml:space="preserve">Fernald et al., 2008</w:t>
        </w:r>
      </w:hyperlink>
      <w:r>
        <w:t xml:space="preserve">;</w:t>
      </w:r>
      <w:r>
        <w:t xml:space="preserve"> </w:t>
      </w:r>
      <w:hyperlink w:anchor="ref-swingley2000spoken">
        <w:r>
          <w:rPr>
            <w:rStyle w:val="Hyperlink"/>
          </w:rPr>
          <w:t xml:space="preserve">Swingley &amp; Aslin, 2000</w:t>
        </w:r>
      </w:hyperlink>
      <w:r>
        <w:t xml:space="preserve">)</w:t>
      </w:r>
      <w:r>
        <w:t xml:space="preserve">, English-hearing toddlers learned novel word-object mappings across three within-subjects conditions. In the</w:t>
      </w:r>
      <w:r>
        <w:t xml:space="preserve"> </w:t>
      </w:r>
      <w:r>
        <w:rPr>
          <w:i/>
          <w:iCs/>
        </w:rPr>
        <w:t xml:space="preserve">consistent</w:t>
      </w:r>
      <w:r>
        <w:t xml:space="preserve"> </w:t>
      </w:r>
      <w:r>
        <w:t xml:space="preserve">condition, toddlers heard repeated exposures to the exact same standard label. In two variation conditions, toddlers heard repetitions of the standard label in addition to two label variants. The</w:t>
      </w:r>
      <w:r>
        <w:t xml:space="preserve"> </w:t>
      </w:r>
      <w:r>
        <w:rPr>
          <w:i/>
          <w:iCs/>
        </w:rPr>
        <w:t xml:space="preserve">typical variation</w:t>
      </w:r>
      <w:r>
        <w:t xml:space="preserve"> </w:t>
      </w:r>
      <w:r>
        <w:t xml:space="preserve">condition featured label variants common in English CDS, including diminutivized and reduplicated word forms. The</w:t>
      </w:r>
      <w:r>
        <w:t xml:space="preserve"> </w:t>
      </w:r>
      <w:r>
        <w:rPr>
          <w:i/>
          <w:iCs/>
        </w:rPr>
        <w:t xml:space="preserve">atypical variation</w:t>
      </w:r>
      <w:r>
        <w:t xml:space="preserve"> </w:t>
      </w:r>
      <w:r>
        <w:t xml:space="preserve">condition featured phonologically altered word forms unattested in English CDS. Word recognition was measured using eye-tracking (i.e., looking time), and pupillometry (i.e., pupil size synchrony) was used to examine moment-to-moment engagement during learning.</w:t>
      </w:r>
    </w:p>
    <w:bookmarkStart w:id="35" w:name="hypotheses"/>
    <w:p>
      <w:pPr>
        <w:pStyle w:val="Heading2"/>
      </w:pPr>
      <w:r>
        <w:t xml:space="preserve">1.1 Hypotheses</w:t>
      </w:r>
    </w:p>
    <w:p>
      <w:pPr>
        <w:pStyle w:val="FirstParagraph"/>
      </w:pPr>
      <w:r>
        <w:t xml:space="preserve">In line with the vast majority of prior word learning studies conducted to date, which overwhelmingly test children’s recognition of one-to-one mappings, we hypothesized that children would demonstrate successful learning in the</w:t>
      </w:r>
      <w:r>
        <w:t xml:space="preserve"> </w:t>
      </w:r>
      <w:r>
        <w:rPr>
          <w:i/>
          <w:iCs/>
        </w:rPr>
        <w:t xml:space="preserve">consistent</w:t>
      </w:r>
      <w:r>
        <w:t xml:space="preserve"> </w:t>
      </w:r>
      <w:r>
        <w:t xml:space="preserve">condition [CITES]. The key condition of interest was the</w:t>
      </w:r>
      <w:r>
        <w:t xml:space="preserve"> </w:t>
      </w:r>
      <w:r>
        <w:rPr>
          <w:i/>
          <w:iCs/>
        </w:rPr>
        <w:t xml:space="preserve">typical variation</w:t>
      </w:r>
      <w:r>
        <w:t xml:space="preserve"> </w:t>
      </w:r>
      <w:r>
        <w:t xml:space="preserve">condition. We did not pre-register a specific directional hypothesis for this condition given competing theoretical predictions. If children successfully contend with variation attested in English child-directed speech, then we should expect to see above-chance word-recognition accuracy in this condition. If this type of variation impedes novel word learning, then we should expect chance-level performance in this condition. We hypothesized that words would be more difficult to learn in the</w:t>
      </w:r>
      <w:r>
        <w:t xml:space="preserve"> </w:t>
      </w:r>
      <w:r>
        <w:rPr>
          <w:i/>
          <w:iCs/>
        </w:rPr>
        <w:t xml:space="preserve">atypical variation</w:t>
      </w:r>
      <w:r>
        <w:t xml:space="preserve"> </w:t>
      </w:r>
      <w:r>
        <w:t xml:space="preserve">condition and that toddlers would show chance-level word-recognition accuracy on average for this condition. Finally, we predicted that word learning performance would increase across age in our sample.</w:t>
      </w:r>
    </w:p>
    <w:bookmarkEnd w:id="35"/>
    <w:bookmarkEnd w:id="36"/>
    <w:bookmarkStart w:id="42" w:name="method"/>
    <w:p>
      <w:pPr>
        <w:pStyle w:val="Heading1"/>
      </w:pPr>
      <w:r>
        <w:t xml:space="preserve">2. Method</w:t>
      </w:r>
    </w:p>
    <w:p>
      <w:pPr>
        <w:pStyle w:val="FirstParagraph"/>
      </w:pPr>
      <w:r>
        <w:t xml:space="preserve">This study was pre-registered (</w:t>
      </w:r>
      <w:hyperlink r:id="rId30">
        <w:r>
          <w:rPr>
            <w:rStyle w:val="Hyperlink"/>
          </w:rPr>
          <w:t xml:space="preserve">https://osf.io/uqz6d</w:t>
        </w:r>
      </w:hyperlink>
      <w:r>
        <w:t xml:space="preserve">). All stimuli, anonymized data, and analysis scripts are publicly available at LINK.</w:t>
      </w:r>
    </w:p>
    <w:bookmarkStart w:id="37" w:name="participants"/>
    <w:p>
      <w:pPr>
        <w:pStyle w:val="Heading2"/>
      </w:pPr>
      <w:r>
        <w:t xml:space="preserve">2.1 Participants</w:t>
      </w:r>
    </w:p>
    <w:p>
      <w:pPr>
        <w:pStyle w:val="FirstParagraph"/>
      </w:pPr>
      <w:r>
        <w:t xml:space="preserve">Participants (</w:t>
      </w:r>
      <w:r>
        <w:rPr>
          <w:i/>
          <w:iCs/>
        </w:rPr>
        <w:t xml:space="preserve">N</w:t>
      </w:r>
      <w:r>
        <w:t xml:space="preserve"> </w:t>
      </w:r>
      <w:r>
        <w:t xml:space="preserve">= 58 total, 28 female, 30 male), aged 18 to 36 months (</w:t>
      </w:r>
      <w:r>
        <w:rPr>
          <w:i/>
          <w:iCs/>
        </w:rPr>
        <w:t xml:space="preserve">M</w:t>
      </w:r>
      <w:r>
        <w:rPr>
          <w:vertAlign w:val="subscript"/>
        </w:rPr>
        <w:t xml:space="preserve">age</w:t>
      </w:r>
      <w:r>
        <w:t xml:space="preserve"> </w:t>
      </w:r>
      <w:r>
        <w:t xml:space="preserve">= 28.08 months), were full-term, monolingual English-hearing children (&gt;80% reported exposure) with no known hearing, vision, language, and/or developmental delays and were recruited from a volunteer database. Caregivers reported race/ethnicity information for their children in an open-ended format when they initially signed up for the database. Eleven caregivers (18.97% of the final sample) chose not to report this information. Participants were primarily Non-Latinx white (</w:t>
      </w:r>
      <w:r>
        <w:rPr>
          <w:i/>
          <w:iCs/>
        </w:rPr>
        <w:t xml:space="preserve">N</w:t>
      </w:r>
      <w:r>
        <w:t xml:space="preserve"> </w:t>
      </w:r>
      <w:r>
        <w:t xml:space="preserve">= 27, 46.55%) with some representation of other races/ethnicities: Mixed race (</w:t>
      </w:r>
      <w:r>
        <w:rPr>
          <w:i/>
          <w:iCs/>
        </w:rPr>
        <w:t xml:space="preserve">N</w:t>
      </w:r>
      <w:r>
        <w:t xml:space="preserve"> </w:t>
      </w:r>
      <w:r>
        <w:t xml:space="preserve">= 12, 20.69%), Asian (</w:t>
      </w:r>
      <w:r>
        <w:rPr>
          <w:i/>
          <w:iCs/>
        </w:rPr>
        <w:t xml:space="preserve">N</w:t>
      </w:r>
      <w:r>
        <w:t xml:space="preserve"> </w:t>
      </w:r>
      <w:r>
        <w:t xml:space="preserve">= 5, 8.62%), Black (</w:t>
      </w:r>
      <w:r>
        <w:rPr>
          <w:i/>
          <w:iCs/>
        </w:rPr>
        <w:t xml:space="preserve">N</w:t>
      </w:r>
      <w:r>
        <w:t xml:space="preserve"> </w:t>
      </w:r>
      <w:r>
        <w:t xml:space="preserve">= 2, 3.45%), Latinx white (</w:t>
      </w:r>
      <w:r>
        <w:rPr>
          <w:i/>
          <w:iCs/>
        </w:rPr>
        <w:t xml:space="preserve">N</w:t>
      </w:r>
      <w:r>
        <w:t xml:space="preserve"> </w:t>
      </w:r>
      <w:r>
        <w:t xml:space="preserve">= 1, 1.72%).</w:t>
      </w:r>
    </w:p>
    <w:p>
      <w:pPr>
        <w:pStyle w:val="BodyText"/>
      </w:pPr>
      <w:r>
        <w:t xml:space="preserve">The final sample size was pre-registered and determined using an a priori power analysis conducted in G*Power</w:t>
      </w:r>
      <w:r>
        <w:t xml:space="preserve"> </w:t>
      </w:r>
      <w:r>
        <w:t xml:space="preserve">(</w:t>
      </w:r>
      <w:hyperlink w:anchor="ref-faul2009statistical">
        <w:r>
          <w:rPr>
            <w:rStyle w:val="Hyperlink"/>
          </w:rPr>
          <w:t xml:space="preserve">Faul et al., 2009</w:t>
        </w:r>
      </w:hyperlink>
      <w:r>
        <w:t xml:space="preserve">)</w:t>
      </w:r>
      <w:r>
        <w:t xml:space="preserve"> </w:t>
      </w:r>
      <w:r>
        <w:t xml:space="preserve">and informed by prior eye-tracking studies with a similar age range</w:t>
      </w:r>
      <w:r>
        <w:t xml:space="preserve"> </w:t>
      </w:r>
      <w:r>
        <w:t xml:space="preserve">(</w:t>
      </w:r>
      <w:hyperlink w:anchor="ref-nencheva2021moment">
        <w:r>
          <w:rPr>
            <w:rStyle w:val="Hyperlink"/>
          </w:rPr>
          <w:t xml:space="preserve">Nencheva et al., 2021</w:t>
        </w:r>
      </w:hyperlink>
      <w:r>
        <w:t xml:space="preserve">;</w:t>
      </w:r>
      <w:r>
        <w:t xml:space="preserve"> </w:t>
      </w:r>
      <w:hyperlink w:anchor="ref-quam2023protracted">
        <w:r>
          <w:rPr>
            <w:rStyle w:val="Hyperlink"/>
          </w:rPr>
          <w:t xml:space="preserve">Quam &amp; Swingley, 2023</w:t>
        </w:r>
      </w:hyperlink>
      <w:r>
        <w:t xml:space="preserve">)</w:t>
      </w:r>
      <w:r>
        <w:t xml:space="preserve">. Thirty-two additional children participated but were excluded from the final analyses due to refusal to wear the EyeLink target sticker or failure to complete calibration (</w:t>
      </w:r>
      <w:r>
        <w:rPr>
          <w:i/>
          <w:iCs/>
        </w:rPr>
        <w:t xml:space="preserve">N</w:t>
      </w:r>
      <w:r>
        <w:t xml:space="preserve"> </w:t>
      </w:r>
      <w:r>
        <w:t xml:space="preserve">= 9), significant interruption by a family member (</w:t>
      </w:r>
      <w:r>
        <w:rPr>
          <w:i/>
          <w:iCs/>
        </w:rPr>
        <w:t xml:space="preserve">N</w:t>
      </w:r>
      <w:r>
        <w:t xml:space="preserve"> </w:t>
      </w:r>
      <w:r>
        <w:t xml:space="preserve">= 4), contribution of too few usable trials based on pre-registered criteria due to fussiness or inattention (</w:t>
      </w:r>
      <w:r>
        <w:rPr>
          <w:i/>
          <w:iCs/>
        </w:rPr>
        <w:t xml:space="preserve">N</w:t>
      </w:r>
      <w:r>
        <w:t xml:space="preserve"> </w:t>
      </w:r>
      <w:r>
        <w:t xml:space="preserve">= 18), or failure to meet the language requirement (</w:t>
      </w:r>
      <w:r>
        <w:rPr>
          <w:i/>
          <w:iCs/>
        </w:rPr>
        <w:t xml:space="preserve">N</w:t>
      </w:r>
      <w:r>
        <w:t xml:space="preserve"> </w:t>
      </w:r>
      <w:r>
        <w:t xml:space="preserve">= 1).</w:t>
      </w:r>
    </w:p>
    <w:p>
      <w:pPr>
        <w:pStyle w:val="BodyText"/>
      </w:pPr>
      <w:r>
        <w:t xml:space="preserve">All experimental protocols, including procedures for obtaining informed consent, were approved by the Princeton University Institutional Review Board (Approval: 0000007117, Language Learning: Sounds, Words, and Grammar). Families received a $10 digital gift card and a small gift for participating.</w:t>
      </w:r>
    </w:p>
    <w:bookmarkEnd w:id="37"/>
    <w:bookmarkStart w:id="38" w:name="stimuli"/>
    <w:p>
      <w:pPr>
        <w:pStyle w:val="Heading2"/>
      </w:pPr>
      <w:r>
        <w:t xml:space="preserve">2.2 Stimuli</w:t>
      </w:r>
    </w:p>
    <w:p>
      <w:pPr>
        <w:pStyle w:val="FirstParagraph"/>
      </w:pPr>
      <w:r>
        <w:t xml:space="preserve">Auditory stimuli were recorded by a female native English speaker using naturalistic child-directed prosody in a sound-attenuated room. Each target word (see</w:t>
      </w:r>
      <w:r>
        <w:t xml:space="preserve"> </w:t>
      </w:r>
      <w:r>
        <w:rPr>
          <w:b/>
          <w:bCs/>
        </w:rPr>
        <w:t xml:space="preserve">Table 1</w:t>
      </w:r>
      <w:r>
        <w:t xml:space="preserve">) appeared in four different sentence frames for exposure trials (</w:t>
      </w:r>
      <w:r>
        <w:t xml:space="preserve">“</w:t>
      </w:r>
      <w:r>
        <w:t xml:space="preserve">Look, _____! That’s a _____. Do you see the ______? Yes, that’s a ______.</w:t>
      </w:r>
      <w:r>
        <w:t xml:space="preserve">”</w:t>
      </w:r>
      <w:r>
        <w:t xml:space="preserve">) and in two different sentence frames for test trials</w:t>
      </w:r>
      <w:r>
        <w:t xml:space="preserve"> </w:t>
      </w:r>
      <w:r>
        <w:t xml:space="preserve">(</w:t>
      </w:r>
      <w:r>
        <w:t xml:space="preserve">“</w:t>
      </w:r>
      <w:r>
        <w:t xml:space="preserve">Can you find the _____? See the _____?</w:t>
      </w:r>
      <w:r>
        <w:t xml:space="preserve">”</w:t>
      </w:r>
      <w:r>
        <w:t xml:space="preserve"> </w:t>
      </w:r>
      <w:r>
        <w:t xml:space="preserve">following the test trial structure of</w:t>
      </w:r>
      <w:r>
        <w:t xml:space="preserve"> </w:t>
      </w:r>
      <w:hyperlink w:anchor="ref-ota2016repulicated">
        <w:r>
          <w:rPr>
            <w:rStyle w:val="Hyperlink"/>
            <w:b/>
            <w:bCs/>
          </w:rPr>
          <w:t xml:space="preserve">ota2016repulicated?</w:t>
        </w:r>
      </w:hyperlink>
      <w:r>
        <w:t xml:space="preserve">)</w:t>
      </w:r>
      <w:r>
        <w:t xml:space="preserve">. Trials were created in Praat</w:t>
      </w:r>
      <w:r>
        <w:t xml:space="preserve"> </w:t>
      </w:r>
      <w:r>
        <w:t xml:space="preserve">(</w:t>
      </w:r>
      <w:hyperlink w:anchor="ref-praat">
        <w:r>
          <w:rPr>
            <w:rStyle w:val="Hyperlink"/>
          </w:rPr>
          <w:t xml:space="preserve">Boersma &amp; Weenink, 2025</w:t>
        </w:r>
      </w:hyperlink>
      <w:r>
        <w:t xml:space="preserve">)</w:t>
      </w:r>
      <w:r>
        <w:t xml:space="preserve"> </w:t>
      </w:r>
      <w:r>
        <w:t xml:space="preserve">by concatenating each target word onto the final position of each sentence frame. To avoid co-articulation artifacts in trials with articles preceding the target word, the target words were spliced along with the article. Exposure trials were 14,131 ms long, on average (range = 14,094–14,150ms), including 2,000 ms silent periods between exposure sentences. Test trials were all exactly 4,966 ms long, with target word durations ranging from 613 to 634 ms (</w:t>
      </w:r>
      <w:r>
        <w:rPr>
          <w:i/>
          <w:iCs/>
        </w:rPr>
        <w:t xml:space="preserve">M</w:t>
      </w:r>
      <w:r>
        <w:t xml:space="preserve"> </w:t>
      </w:r>
      <w:r>
        <w:t xml:space="preserve">= 624 ms), and including 2,000 ms of silence between target sentences. All auditory stimuli were normed to a standard mean intensity of 65dB</w:t>
      </w:r>
      <w:r>
        <w:t xml:space="preserve"> </w:t>
      </w:r>
      <w:r>
        <w:t xml:space="preserve">(</w:t>
      </w:r>
      <w:hyperlink w:anchor="ref-praat">
        <w:r>
          <w:rPr>
            <w:rStyle w:val="Hyperlink"/>
          </w:rPr>
          <w:t xml:space="preserve">Boersma &amp; Weenink, 2025</w:t>
        </w:r>
      </w:hyperlink>
      <w:r>
        <w:t xml:space="preserve">)</w:t>
      </w:r>
      <w:r>
        <w:t xml:space="preserve">. Minor acoustic edits were made on some sentences to ensure that all trials sounded naturally produced and had comparable loudness and pitch.</w:t>
      </w:r>
    </w:p>
    <w:p>
      <w:pPr>
        <w:pStyle w:val="TableCaption"/>
      </w:pPr>
      <w:r>
        <w:t xml:space="preserve">Table 1. Target word forms by variant type.</w:t>
      </w:r>
    </w:p>
    <w:tbl>
      <w:tblPr>
        <w:tblStyle w:val="Table"/>
        <w:tblW w:type="auto" w:w="0"/>
        <w:tblLook w:firstRow="1" w:lastRow="0" w:firstColumn="0" w:lastColumn="0" w:noHBand="0" w:noVBand="0" w:val="0020"/>
        <w:tblCaption w:val="Table 1. Target word forms by variant type."/>
      </w:tblPr>
      <w:tblGrid>
        <w:gridCol w:w="1584"/>
        <w:gridCol w:w="1584"/>
        <w:gridCol w:w="1584"/>
        <w:gridCol w:w="1584"/>
        <w:gridCol w:w="1584"/>
      </w:tblGrid>
      <w:tr>
        <w:trPr>
          <w:tblHeader w:val="on"/>
        </w:trPr>
        <w:tc>
          <w:tcPr/>
          <w:p>
            <w:pPr>
              <w:pStyle w:val="Compact"/>
              <w:jc w:val="left"/>
            </w:pPr>
            <w:r>
              <w:t xml:space="preserve">Standard</w:t>
            </w:r>
          </w:p>
        </w:tc>
        <w:tc>
          <w:tcPr/>
          <w:p>
            <w:pPr>
              <w:pStyle w:val="Compact"/>
              <w:jc w:val="left"/>
            </w:pPr>
            <w:r>
              <w:t xml:space="preserve">Reduplicated (Typical)</w:t>
            </w:r>
          </w:p>
        </w:tc>
        <w:tc>
          <w:tcPr/>
          <w:p>
            <w:pPr>
              <w:pStyle w:val="Compact"/>
              <w:jc w:val="left"/>
            </w:pPr>
            <w:r>
              <w:t xml:space="preserve">Reduplicated (Atypical)</w:t>
            </w:r>
          </w:p>
        </w:tc>
        <w:tc>
          <w:tcPr/>
          <w:p>
            <w:pPr>
              <w:pStyle w:val="Compact"/>
              <w:jc w:val="left"/>
            </w:pPr>
            <w:r>
              <w:t xml:space="preserve">Diminutivized (Typical)</w:t>
            </w:r>
          </w:p>
        </w:tc>
        <w:tc>
          <w:tcPr/>
          <w:p>
            <w:pPr>
              <w:pStyle w:val="Compact"/>
              <w:jc w:val="left"/>
            </w:pPr>
            <w:r>
              <w:t xml:space="preserve">Diminutivized (Atypical)</w:t>
            </w:r>
          </w:p>
        </w:tc>
      </w:tr>
      <w:tr>
        <w:tc>
          <w:tcPr/>
          <w:p>
            <w:pPr>
              <w:pStyle w:val="Compact"/>
              <w:jc w:val="left"/>
            </w:pPr>
            <w:r>
              <w:t xml:space="preserve">tanzer (/tæn.zɚ/)</w:t>
            </w:r>
          </w:p>
        </w:tc>
        <w:tc>
          <w:tcPr/>
          <w:p>
            <w:pPr>
              <w:pStyle w:val="Compact"/>
              <w:jc w:val="left"/>
            </w:pPr>
            <w:r>
              <w:t xml:space="preserve">tan-tan (/tæn.tæn/)</w:t>
            </w:r>
          </w:p>
        </w:tc>
        <w:tc>
          <w:tcPr/>
          <w:p>
            <w:pPr>
              <w:pStyle w:val="Compact"/>
              <w:jc w:val="left"/>
            </w:pPr>
            <w:r>
              <w:t xml:space="preserve">zer-zer (/zɚ.zɚ/)</w:t>
            </w:r>
          </w:p>
        </w:tc>
        <w:tc>
          <w:tcPr/>
          <w:p>
            <w:pPr>
              <w:pStyle w:val="Compact"/>
              <w:jc w:val="left"/>
            </w:pPr>
            <w:r>
              <w:t xml:space="preserve">tanny (/tæn.i/)</w:t>
            </w:r>
          </w:p>
        </w:tc>
        <w:tc>
          <w:tcPr/>
          <w:p>
            <w:pPr>
              <w:pStyle w:val="Compact"/>
              <w:jc w:val="left"/>
            </w:pPr>
            <w:r>
              <w:t xml:space="preserve">y-zer (/i.zɚ/)</w:t>
            </w:r>
          </w:p>
        </w:tc>
      </w:tr>
      <w:tr>
        <w:tc>
          <w:tcPr/>
          <w:p>
            <w:pPr>
              <w:pStyle w:val="Compact"/>
              <w:jc w:val="left"/>
            </w:pPr>
            <w:r>
              <w:t xml:space="preserve">bogdum (/bɑg.dʌm/)</w:t>
            </w:r>
          </w:p>
        </w:tc>
        <w:tc>
          <w:tcPr/>
          <w:p>
            <w:pPr>
              <w:pStyle w:val="Compact"/>
              <w:jc w:val="left"/>
            </w:pPr>
            <w:r>
              <w:t xml:space="preserve">bog-bog (/bɑg.bɑg/)</w:t>
            </w:r>
          </w:p>
        </w:tc>
        <w:tc>
          <w:tcPr/>
          <w:p>
            <w:pPr>
              <w:pStyle w:val="Compact"/>
              <w:jc w:val="left"/>
            </w:pPr>
            <w:r>
              <w:t xml:space="preserve">dum-dum (/dʌm.dʌm/)</w:t>
            </w:r>
          </w:p>
        </w:tc>
        <w:tc>
          <w:tcPr/>
          <w:p>
            <w:pPr>
              <w:pStyle w:val="Compact"/>
              <w:jc w:val="left"/>
            </w:pPr>
            <w:r>
              <w:t xml:space="preserve">boggy (/bɑg.i/)</w:t>
            </w:r>
          </w:p>
        </w:tc>
        <w:tc>
          <w:tcPr/>
          <w:p>
            <w:pPr>
              <w:pStyle w:val="Compact"/>
              <w:jc w:val="left"/>
            </w:pPr>
            <w:r>
              <w:t xml:space="preserve">y-dum (/i.dʌm/)</w:t>
            </w:r>
          </w:p>
        </w:tc>
      </w:tr>
      <w:tr>
        <w:tc>
          <w:tcPr/>
          <w:p>
            <w:pPr>
              <w:pStyle w:val="Compact"/>
              <w:jc w:val="left"/>
            </w:pPr>
            <w:r>
              <w:t xml:space="preserve">kaisol (/kaɪ.sɔl/)</w:t>
            </w:r>
          </w:p>
        </w:tc>
        <w:tc>
          <w:tcPr/>
          <w:p>
            <w:pPr>
              <w:pStyle w:val="Compact"/>
              <w:jc w:val="left"/>
            </w:pPr>
            <w:r>
              <w:t xml:space="preserve">kai-kai (/kaɪ.kaɪ/)</w:t>
            </w:r>
          </w:p>
        </w:tc>
        <w:tc>
          <w:tcPr/>
          <w:p>
            <w:pPr>
              <w:pStyle w:val="Compact"/>
              <w:jc w:val="left"/>
            </w:pPr>
            <w:r>
              <w:t xml:space="preserve">sol-sol (/sɔl.sɔl/)</w:t>
            </w:r>
          </w:p>
        </w:tc>
        <w:tc>
          <w:tcPr/>
          <w:p>
            <w:pPr>
              <w:pStyle w:val="Compact"/>
              <w:jc w:val="left"/>
            </w:pPr>
            <w:r>
              <w:t xml:space="preserve">kaisy (/kaɪ.si/)</w:t>
            </w:r>
          </w:p>
        </w:tc>
        <w:tc>
          <w:tcPr/>
          <w:p>
            <w:pPr>
              <w:pStyle w:val="Compact"/>
              <w:jc w:val="left"/>
            </w:pPr>
            <w:r>
              <w:t xml:space="preserve">y-sol (/i.sɔl/)</w:t>
            </w:r>
          </w:p>
        </w:tc>
      </w:tr>
      <w:tr>
        <w:tc>
          <w:tcPr/>
          <w:p>
            <w:pPr>
              <w:pStyle w:val="Compact"/>
              <w:jc w:val="left"/>
            </w:pPr>
            <w:r>
              <w:t xml:space="preserve">mobet (/moʊ.bɛt/)</w:t>
            </w:r>
          </w:p>
        </w:tc>
        <w:tc>
          <w:tcPr/>
          <w:p>
            <w:pPr>
              <w:pStyle w:val="Compact"/>
              <w:jc w:val="left"/>
            </w:pPr>
            <w:r>
              <w:t xml:space="preserve">mo-mo (/moʊ.moʊ/)</w:t>
            </w:r>
          </w:p>
        </w:tc>
        <w:tc>
          <w:tcPr/>
          <w:p>
            <w:pPr>
              <w:pStyle w:val="Compact"/>
              <w:jc w:val="left"/>
            </w:pPr>
            <w:r>
              <w:t xml:space="preserve">bet-bet (/bɛt.bɛt/)</w:t>
            </w:r>
          </w:p>
        </w:tc>
        <w:tc>
          <w:tcPr/>
          <w:p>
            <w:pPr>
              <w:pStyle w:val="Compact"/>
              <w:jc w:val="left"/>
            </w:pPr>
            <w:r>
              <w:t xml:space="preserve">moby (/moʊ.bi/)</w:t>
            </w:r>
          </w:p>
        </w:tc>
        <w:tc>
          <w:tcPr/>
          <w:p>
            <w:pPr>
              <w:pStyle w:val="Compact"/>
              <w:jc w:val="left"/>
            </w:pPr>
            <w:r>
              <w:t xml:space="preserve">y-bet (/i.bɛt/)</w:t>
            </w:r>
          </w:p>
        </w:tc>
      </w:tr>
      <w:tr>
        <w:tc>
          <w:tcPr/>
          <w:p>
            <w:pPr>
              <w:pStyle w:val="Compact"/>
              <w:jc w:val="left"/>
            </w:pPr>
            <w:r>
              <w:t xml:space="preserve">woifer (/wɔɪ.fɚ/)</w:t>
            </w:r>
          </w:p>
        </w:tc>
        <w:tc>
          <w:tcPr/>
          <w:p>
            <w:pPr>
              <w:pStyle w:val="Compact"/>
              <w:jc w:val="left"/>
            </w:pPr>
            <w:r>
              <w:t xml:space="preserve">woi-woi (/wɔɪ.wɔɪ/)</w:t>
            </w:r>
          </w:p>
        </w:tc>
        <w:tc>
          <w:tcPr/>
          <w:p>
            <w:pPr>
              <w:pStyle w:val="Compact"/>
              <w:jc w:val="left"/>
            </w:pPr>
            <w:r>
              <w:t xml:space="preserve">fer-fer (/fɚ.fɚ/)</w:t>
            </w:r>
          </w:p>
        </w:tc>
        <w:tc>
          <w:tcPr/>
          <w:p>
            <w:pPr>
              <w:pStyle w:val="Compact"/>
              <w:jc w:val="left"/>
            </w:pPr>
            <w:r>
              <w:t xml:space="preserve">woify (/wɔɪ.fi/)</w:t>
            </w:r>
          </w:p>
        </w:tc>
        <w:tc>
          <w:tcPr/>
          <w:p>
            <w:pPr>
              <w:pStyle w:val="Compact"/>
              <w:jc w:val="left"/>
            </w:pPr>
            <w:r>
              <w:t xml:space="preserve">y-fer (/i.fɚ/)</w:t>
            </w:r>
          </w:p>
        </w:tc>
      </w:tr>
      <w:tr>
        <w:tc>
          <w:tcPr/>
          <w:p>
            <w:pPr>
              <w:pStyle w:val="Compact"/>
              <w:jc w:val="left"/>
            </w:pPr>
            <w:r>
              <w:t xml:space="preserve">voopin (/vu.pɪn/)</w:t>
            </w:r>
          </w:p>
        </w:tc>
        <w:tc>
          <w:tcPr/>
          <w:p>
            <w:pPr>
              <w:pStyle w:val="Compact"/>
              <w:jc w:val="left"/>
            </w:pPr>
            <w:r>
              <w:t xml:space="preserve">voo-voo (/vu.vu/)</w:t>
            </w:r>
          </w:p>
        </w:tc>
        <w:tc>
          <w:tcPr/>
          <w:p>
            <w:pPr>
              <w:pStyle w:val="Compact"/>
              <w:jc w:val="left"/>
            </w:pPr>
            <w:r>
              <w:t xml:space="preserve">pin-pin (/pɪn.pɪn/)</w:t>
            </w:r>
          </w:p>
        </w:tc>
        <w:tc>
          <w:tcPr/>
          <w:p>
            <w:pPr>
              <w:pStyle w:val="Compact"/>
              <w:jc w:val="left"/>
            </w:pPr>
            <w:r>
              <w:t xml:space="preserve">voopy (/vu.pi/)</w:t>
            </w:r>
          </w:p>
        </w:tc>
        <w:tc>
          <w:tcPr/>
          <w:p>
            <w:pPr>
              <w:pStyle w:val="Compact"/>
              <w:jc w:val="left"/>
            </w:pPr>
            <w:r>
              <w:t xml:space="preserve">y-pin (/i.pɪn/)</w:t>
            </w:r>
          </w:p>
        </w:tc>
      </w:tr>
    </w:tbl>
    <w:p>
      <w:pPr>
        <w:pStyle w:val="BodyText"/>
      </w:pPr>
      <w:r>
        <w:t xml:space="preserve">The visual stimuli consisted of six isoluminant objects with 12 unique colors (two per object) that were modeled after</w:t>
      </w:r>
      <w:r>
        <w:t xml:space="preserve"> </w:t>
      </w:r>
      <w:r>
        <w:t xml:space="preserve">Nencheva et al. (</w:t>
      </w:r>
      <w:hyperlink w:anchor="ref-nencheva2021moment">
        <w:r>
          <w:rPr>
            <w:rStyle w:val="Hyperlink"/>
          </w:rPr>
          <w:t xml:space="preserve">2021</w:t>
        </w:r>
      </w:hyperlink>
      <w:r>
        <w:t xml:space="preserve">)</w:t>
      </w:r>
      <w:r>
        <w:t xml:space="preserve">’s stimuli and hand-drawn using Procreate software</w:t>
      </w:r>
      <w:r>
        <w:t xml:space="preserve"> </w:t>
      </w:r>
      <w:r>
        <w:t xml:space="preserve">(</w:t>
      </w:r>
      <w:hyperlink w:anchor="ref-procreate">
        <w:r>
          <w:rPr>
            <w:rStyle w:val="Hyperlink"/>
          </w:rPr>
          <w:t xml:space="preserve">Savage Interactive, 2025</w:t>
        </w:r>
      </w:hyperlink>
      <w:r>
        <w:t xml:space="preserve">)</w:t>
      </w:r>
      <w:r>
        <w:t xml:space="preserve">.</w:t>
      </w:r>
    </w:p>
    <w:bookmarkEnd w:id="38"/>
    <w:bookmarkStart w:id="39" w:name="procedure"/>
    <w:p>
      <w:pPr>
        <w:pStyle w:val="Heading2"/>
      </w:pPr>
      <w:r>
        <w:t xml:space="preserve">2.3 Procedure</w:t>
      </w:r>
    </w:p>
    <w:p>
      <w:pPr>
        <w:pStyle w:val="FirstParagraph"/>
      </w:pPr>
      <w:r>
        <w:t xml:space="preserve">Toddlers sat on their caregiver’s lap, approximately 60cm away from a 17-inch monitor equipped with an EyeLink 1000 Plus eye-tracker, in a dimly-lit testing room. Caregivers wore opague sunglasses to prevent them from influencing their children’s behavior. Participants wore a small EyeLink target sticker on their forehead. We used a three-point calibration procedure along the horizontal dimension (x-axis) of the screen.</w:t>
      </w:r>
    </w:p>
    <w:p>
      <w:pPr>
        <w:pStyle w:val="BodyText"/>
      </w:pPr>
      <w:r>
        <w:t xml:space="preserve">The experiment consisted of three blocks (one per condition). Each block consisted of two phases: an exposure phase, during which participants learned novel word-object pairings, and a test phase, during which toddlers were immediately tested on their recognition of the word-object mappings. An isoluminant, non-linguistic, attention-getting video was shown after every block.</w:t>
      </w:r>
    </w:p>
    <w:p>
      <w:pPr>
        <w:pStyle w:val="BodyText"/>
      </w:pPr>
      <w:r>
        <w:t xml:space="preserve">During the exposure phase (four trials per block), children learned two novel word-object mappings. Each exposure trial started after a short, variable-length ITI (mean = 500 ms, range = 250–750 ms) or when the participant looked at the screen. During each exposure trial, a single target object appeared silently on the screen for 1,500 ms or until the participant looked at the screen. Then, the exposure audio played (see stimulus details above). After the offset of the audio, the target object remained on the screen for an additional 1,500 ms.</w:t>
      </w:r>
    </w:p>
    <w:p>
      <w:pPr>
        <w:pStyle w:val="BodyText"/>
      </w:pPr>
      <w:r>
        <w:t xml:space="preserve">During the test phase (four trials per block), toddlers saw the two objects from the preceding exposure phase side-by-side on the screen. Each trial started with an ITI (same structure as training phase), followed by a 2,000 ms silent period with both objects on the screen. Then, the target audio played (see stimulus details above). After the offset of the audio, the side-by-side objects remained on the screen for an additional 2,000 ms.</w:t>
      </w:r>
    </w:p>
    <w:bookmarkEnd w:id="39"/>
    <w:bookmarkStart w:id="40" w:name="conditions"/>
    <w:p>
      <w:pPr>
        <w:pStyle w:val="Heading2"/>
      </w:pPr>
      <w:r>
        <w:t xml:space="preserve">2.4 Conditions</w:t>
      </w:r>
    </w:p>
    <w:p>
      <w:pPr>
        <w:pStyle w:val="FirstParagraph"/>
      </w:pPr>
      <w:r>
        <w:t xml:space="preserve">Participants learned words in three conditions (within-subjects manipulation). In all conditions, participants learned the names of two different novel objects across four alternating exposure trials (two per word). In the</w:t>
      </w:r>
      <w:r>
        <w:t xml:space="preserve"> </w:t>
      </w:r>
      <w:r>
        <w:rPr>
          <w:i/>
          <w:iCs/>
        </w:rPr>
        <w:t xml:space="preserve">consistent</w:t>
      </w:r>
      <w:r>
        <w:t xml:space="preserve"> </w:t>
      </w:r>
      <w:r>
        <w:t xml:space="preserve">condition, participants heard the standard form of the target word repeated 5x per trial (e.g.,</w:t>
      </w:r>
      <w:r>
        <w:t xml:space="preserve"> </w:t>
      </w:r>
      <w:r>
        <w:t xml:space="preserve">“</w:t>
      </w:r>
      <w:r>
        <w:t xml:space="preserve">Look, tanzer! That’s a tanzer…tanzer. Do you see the tanzer? Yes, that’s a tanzer.</w:t>
      </w:r>
      <w:r>
        <w:t xml:space="preserve">”</w:t>
      </w:r>
      <w:r>
        <w:t xml:space="preserve">). In the</w:t>
      </w:r>
      <w:r>
        <w:t xml:space="preserve"> </w:t>
      </w:r>
      <w:r>
        <w:rPr>
          <w:i/>
          <w:iCs/>
        </w:rPr>
        <w:t xml:space="preserve">typical variation</w:t>
      </w:r>
      <w:r>
        <w:t xml:space="preserve"> </w:t>
      </w:r>
      <w:r>
        <w:t xml:space="preserve">condition, participants heard the standard form of the target word repeated 2x per trial in addition to one reduplicated form and one diminutivized form per trial (e.g.,</w:t>
      </w:r>
      <w:r>
        <w:t xml:space="preserve"> </w:t>
      </w:r>
      <w:r>
        <w:t xml:space="preserve">“</w:t>
      </w:r>
      <w:r>
        <w:t xml:space="preserve">Look, tanzer! That’s a tan-tan. Do you see the tanny? Yes, that’s a tanzer.</w:t>
      </w:r>
      <w:r>
        <w:t xml:space="preserve">”</w:t>
      </w:r>
      <w:r>
        <w:t xml:space="preserve">). Critically, the number of exposures to the first syllable of the target word (i.e.,</w:t>
      </w:r>
      <w:r>
        <w:t xml:space="preserve"> </w:t>
      </w:r>
      <w:r>
        <w:t xml:space="preserve">“</w:t>
      </w:r>
      <w:r>
        <w:t xml:space="preserve">tan</w:t>
      </w:r>
      <w:r>
        <w:t xml:space="preserve">”</w:t>
      </w:r>
      <w:r>
        <w:t xml:space="preserve">) was equivalent across these two conditions. In the</w:t>
      </w:r>
      <w:r>
        <w:t xml:space="preserve"> </w:t>
      </w:r>
      <w:r>
        <w:rPr>
          <w:i/>
          <w:iCs/>
        </w:rPr>
        <w:t xml:space="preserve">atypical variation</w:t>
      </w:r>
      <w:r>
        <w:t xml:space="preserve"> </w:t>
      </w:r>
      <w:r>
        <w:t xml:space="preserve">condition, participants heard the standard form of the target word repeated 2x per trial in addition to 1x exposure each of reversed versions of the typical reduplicated and diminutivized forms (e.g.,</w:t>
      </w:r>
      <w:r>
        <w:t xml:space="preserve"> </w:t>
      </w:r>
      <w:r>
        <w:t xml:space="preserve">“</w:t>
      </w:r>
      <w:r>
        <w:t xml:space="preserve">Look, tanzer! That’s a zer-zer. Do you see the y-zer? Yes, that’s a tanzer.</w:t>
      </w:r>
      <w:r>
        <w:t xml:space="preserve">”</w:t>
      </w:r>
      <w:r>
        <w:t xml:space="preserve">). A full list of exposed word forms can be found in</w:t>
      </w:r>
      <w:r>
        <w:t xml:space="preserve"> </w:t>
      </w:r>
      <w:r>
        <w:rPr>
          <w:b/>
          <w:bCs/>
        </w:rPr>
        <w:t xml:space="preserve">Table 1</w:t>
      </w:r>
      <w:r>
        <w:t xml:space="preserve">.</w:t>
      </w:r>
    </w:p>
    <w:p>
      <w:pPr>
        <w:pStyle w:val="BodyText"/>
      </w:pPr>
      <w:r>
        <w:t xml:space="preserve">Participants were assigned to one of 18 pseudorandomized orders such that the order of presentation of blocks and the assignment of target labels to target objects was counterbalanced across conditions. Target locations were also counterbalanced such that the target object appeared 50% of time on the left and 50% of the time on the right.</w:t>
      </w:r>
    </w:p>
    <w:bookmarkEnd w:id="40"/>
    <w:bookmarkStart w:id="41" w:name="data-pre-processing"/>
    <w:p>
      <w:pPr>
        <w:pStyle w:val="Heading2"/>
      </w:pPr>
      <w:r>
        <w:t xml:space="preserve">2.5 Data pre-processing</w:t>
      </w:r>
    </w:p>
    <w:p>
      <w:pPr>
        <w:pStyle w:val="FirstParagraph"/>
      </w:pPr>
      <w:r>
        <w:t xml:space="preserve">Gaze behavior was used to determine toddlers’ recognition of novel word-object pairings during two critical windows of analysis</w:t>
      </w:r>
      <w:r>
        <w:t xml:space="preserve"> </w:t>
      </w:r>
      <w:r>
        <w:t xml:space="preserve">(300–2,000 ms following each target word onset,</w:t>
      </w:r>
      <w:r>
        <w:t xml:space="preserve"> </w:t>
      </w:r>
      <w:hyperlink w:anchor="ref-fernald2008looking">
        <w:r>
          <w:rPr>
            <w:rStyle w:val="Hyperlink"/>
          </w:rPr>
          <w:t xml:space="preserve">Fernald et al., 2008</w:t>
        </w:r>
      </w:hyperlink>
      <w:r>
        <w:t xml:space="preserve">;</w:t>
      </w:r>
      <w:r>
        <w:t xml:space="preserve"> </w:t>
      </w:r>
      <w:hyperlink w:anchor="ref-swingley2000spoken">
        <w:r>
          <w:rPr>
            <w:rStyle w:val="Hyperlink"/>
          </w:rPr>
          <w:t xml:space="preserve">Swingley &amp; Aslin, 2000</w:t>
        </w:r>
      </w:hyperlink>
      <w:r>
        <w:t xml:space="preserve">)</w:t>
      </w:r>
      <w:r>
        <w:t xml:space="preserve">. We included two instances of the target word during test trials to ensure that children had sufficient opportunity to demonstrate their recognition of novel word-object mappings. We calculated participants’ proportion looking to target objects during test trials as the measure of word-recognition accuracy. For any given test trial to be included in analyses, children must have looked to the target and/or distractor object at least once prior to the onset of the first label and for at least 1/3 of each critical post-labeling window. In order for a block to be included, children must have contributed usable data for at least two of four test trials. Finally, in order for a participant to be included, they must have contributed at least two of three blocks. On average, participants contributed 9.98 trials (median = 10.50, range = 4–12) across 2.81 conditions (median = 3).</w:t>
      </w:r>
    </w:p>
    <w:p>
      <w:pPr>
        <w:pStyle w:val="BodyText"/>
      </w:pPr>
      <w:r>
        <w:t xml:space="preserve">Following</w:t>
      </w:r>
      <w:r>
        <w:t xml:space="preserve"> </w:t>
      </w:r>
      <w:r>
        <w:t xml:space="preserve">Nencheva et al. (</w:t>
      </w:r>
      <w:hyperlink w:anchor="ref-nencheva2021moment">
        <w:r>
          <w:rPr>
            <w:rStyle w:val="Hyperlink"/>
          </w:rPr>
          <w:t xml:space="preserve">2021</w:t>
        </w:r>
      </w:hyperlink>
      <w:r>
        <w:t xml:space="preserve">)</w:t>
      </w:r>
      <w:r>
        <w:t xml:space="preserve">, we first converted toddlers’ raw pupil size values during exposure sentences (automatically recorded by the EyeLink eye-tracker) to percent change from the average pupil size for that trial. We removed potential artifacts due to partial blinks by excluding any 50ms intervals with more than 15% change in pupil size</w:t>
      </w:r>
      <w:r>
        <w:t xml:space="preserve"> </w:t>
      </w:r>
      <w:r>
        <w:t xml:space="preserve">(</w:t>
      </w:r>
      <w:hyperlink w:anchor="ref-merritt1994artifact">
        <w:r>
          <w:rPr>
            <w:rStyle w:val="Hyperlink"/>
          </w:rPr>
          <w:t xml:space="preserve">Merritt et al., 1994</w:t>
        </w:r>
      </w:hyperlink>
      <w:r>
        <w:t xml:space="preserve">)</w:t>
      </w:r>
      <w:r>
        <w:t xml:space="preserve">. We used Stineman interpolation to fill in gaps shorter than 100 ms</w:t>
      </w:r>
      <w:r>
        <w:t xml:space="preserve"> </w:t>
      </w:r>
      <w:r>
        <w:t xml:space="preserve">(</w:t>
      </w:r>
      <w:hyperlink w:anchor="ref-stinepack">
        <w:r>
          <w:rPr>
            <w:rStyle w:val="Hyperlink"/>
          </w:rPr>
          <w:t xml:space="preserve">Johannesson et al., 2009</w:t>
        </w:r>
      </w:hyperlink>
      <w:r>
        <w:t xml:space="preserve">)</w:t>
      </w:r>
      <w:r>
        <w:t xml:space="preserve">. Finally, we excluded participants’ data for exposure sentences where more than 50% of the pupil size data was missing (e.g., due to the child looking away from the screen or technical error).</w:t>
      </w:r>
    </w:p>
    <w:bookmarkEnd w:id="41"/>
    <w:bookmarkEnd w:id="42"/>
    <w:bookmarkStart w:id="54" w:name="results"/>
    <w:p>
      <w:pPr>
        <w:pStyle w:val="Heading1"/>
      </w:pPr>
      <w:r>
        <w:t xml:space="preserve">3. Results</w:t>
      </w:r>
    </w:p>
    <w:bookmarkStart w:id="47" w:name="X81d3246c4b93329a5d0d8f2a794f9a185512a61"/>
    <w:p>
      <w:pPr>
        <w:pStyle w:val="Heading2"/>
      </w:pPr>
      <w:r>
        <w:t xml:space="preserve">3.1 Word recognition measured by gaze behavior</w:t>
      </w:r>
    </w:p>
    <w:p>
      <w:pPr>
        <w:pStyle w:val="FirstParagraph"/>
      </w:pPr>
      <w:r>
        <w:t xml:space="preserve">Our primary analysis examined whether children successfully learned the novel-word object mappings across the three experimental conditions. Using the</w:t>
      </w:r>
      <w:r>
        <w:t xml:space="preserve"> </w:t>
      </w:r>
      <w:r>
        <w:rPr>
          <w:rStyle w:val="VerbatimChar"/>
        </w:rPr>
        <w:t xml:space="preserve">brms</w:t>
      </w:r>
      <w:r>
        <w:t xml:space="preserve"> </w:t>
      </w:r>
      <w:r>
        <w:t xml:space="preserve">package</w:t>
      </w:r>
      <w:r>
        <w:t xml:space="preserve"> </w:t>
      </w:r>
      <w:r>
        <w:t xml:space="preserve">(</w:t>
      </w:r>
      <w:hyperlink w:anchor="ref-brms">
        <w:r>
          <w:rPr>
            <w:rStyle w:val="Hyperlink"/>
          </w:rPr>
          <w:t xml:space="preserve">Bürkner, 2017</w:t>
        </w:r>
      </w:hyperlink>
      <w:r>
        <w:t xml:space="preserve">)</w:t>
      </w:r>
      <w:r>
        <w:t xml:space="preserve">, we fit a mixed-effects zero-one inflated beta regression model</w:t>
      </w:r>
      <w:r>
        <w:rPr>
          <w:rStyle w:val="FootnoteReference"/>
        </w:rPr>
        <w:footnoteReference w:id="43"/>
      </w:r>
      <w:r>
        <w:t xml:space="preserve"> </w:t>
      </w:r>
      <w:r>
        <w:t xml:space="preserve">to examine the effects of condition and age on children’s accuracy of novel word recognition (i.e., proportion looking to the target object). The model included fixed effects for condition (atypical variation vs. consistent vs. typical variation) and mean-centered age, along with the maximal random effects structure (by-participant and by-item random slopes and intercepts). We used weakly informative priors (standard normal distributions) and fitted the model using Hamiltonian Monte Carlo sampling (four chains, four cores) implemented in Stan</w:t>
      </w:r>
      <w:r>
        <w:t xml:space="preserve"> </w:t>
      </w:r>
      <w:r>
        <w:t xml:space="preserve">(</w:t>
      </w:r>
      <w:hyperlink w:anchor="ref-rstan">
        <w:r>
          <w:rPr>
            <w:rStyle w:val="Hyperlink"/>
          </w:rPr>
          <w:t xml:space="preserve">Stan Development Team, 2025</w:t>
        </w:r>
      </w:hyperlink>
      <w:r>
        <w:t xml:space="preserve">)</w:t>
      </w:r>
      <w:r>
        <w:t xml:space="preserve">. All</w:t>
      </w:r>
      <w:r>
        <w:t xml:space="preserve"> </w:t>
      </w:r>
      <m:oMath>
        <m:acc>
          <m:accPr>
            <m:chr m:val="̂"/>
          </m:accPr>
          <m:e>
            <m:r>
              <m:t>R</m:t>
            </m:r>
          </m:e>
        </m:acc>
      </m:oMath>
      <w:r>
        <w:t xml:space="preserve"> </w:t>
      </w:r>
      <w:r>
        <w:t xml:space="preserve">values were 1.00, indicating good convergence. Effective sample sizes (Bulk ESS: 614–6,520; Tail ESS: 999–3,586) were sufficiently large, indicating stable and reliable posterior estimates.</w:t>
      </w:r>
    </w:p>
    <w:p>
      <w:pPr>
        <w:pStyle w:val="BodyText"/>
      </w:pPr>
      <w:r>
        <w:t xml:space="preserve">Following our pre-registered analysis plan, we tested whether including an interaction between condition and age improved model fit—we compared the model with the interaction term to the simpler additive model using approximate leave-one-out cross-validation</w:t>
      </w:r>
      <w:r>
        <w:t xml:space="preserve"> </w:t>
      </w:r>
      <w:r>
        <w:t xml:space="preserve">(LOO,</w:t>
      </w:r>
      <w:r>
        <w:t xml:space="preserve"> </w:t>
      </w:r>
      <w:hyperlink w:anchor="ref-loo">
        <w:r>
          <w:rPr>
            <w:rStyle w:val="Hyperlink"/>
          </w:rPr>
          <w:t xml:space="preserve">Yao et al., 2017</w:t>
        </w:r>
      </w:hyperlink>
      <w:r>
        <w:t xml:space="preserve">)</w:t>
      </w:r>
      <w:r>
        <w:t xml:space="preserve">. This analysis suggested no reliable difference in predictive accuracy, providing no strong evidence that the interaction term improved model fit (ΔELPD = -1.35, ΔSE = 3.53).</w:t>
      </w:r>
    </w:p>
    <w:p>
      <w:pPr>
        <w:pStyle w:val="BodyText"/>
      </w:pPr>
      <w:r>
        <w:t xml:space="preserve">Children’s performance was reliably above chance overall and in both critical windows across all conditions, with one exception: in the first critical window for the atypical variation condition where children’s looking behavior was at chance level (</w:t>
      </w:r>
      <w:r>
        <w:rPr>
          <w:i/>
          <w:iCs/>
        </w:rPr>
        <w:t xml:space="preserve">M</w:t>
      </w:r>
      <w:r>
        <w:t xml:space="preserve"> </w:t>
      </w:r>
      <w:r>
        <w:t xml:space="preserve">= 0.54, 89% CrI [0.48, 0.6]). Across both critical windows, model-predicted accuracy was highest in the typical variation condition (</w:t>
      </w:r>
      <w:r>
        <w:rPr>
          <w:i/>
          <w:iCs/>
        </w:rPr>
        <w:t xml:space="preserve">M</w:t>
      </w:r>
      <w:r>
        <w:t xml:space="preserve"> </w:t>
      </w:r>
      <w:r>
        <w:t xml:space="preserve">= 0.62, 89% CrI [0.57, 0.67]), followed by the consistent condition (</w:t>
      </w:r>
      <w:r>
        <w:rPr>
          <w:i/>
          <w:iCs/>
        </w:rPr>
        <w:t xml:space="preserve">M</w:t>
      </w:r>
      <w:r>
        <w:t xml:space="preserve"> </w:t>
      </w:r>
      <w:r>
        <w:t xml:space="preserve">= 0.57, 89% CrI [0.52, 0.63]), and lowest in the atypical variation condition (</w:t>
      </w:r>
      <w:r>
        <w:rPr>
          <w:i/>
          <w:iCs/>
        </w:rPr>
        <w:t xml:space="preserve">M</w:t>
      </w:r>
      <w:r>
        <w:t xml:space="preserve"> </w:t>
      </w:r>
      <w:r>
        <w:t xml:space="preserve">= 0.56, 89% CrI [0.51, 0.61]).</w:t>
      </w:r>
      <w:r>
        <w:t xml:space="preserve"> </w:t>
      </w:r>
      <w:r>
        <w:rPr>
          <w:b/>
          <w:bCs/>
        </w:rPr>
        <w:t xml:space="preserve">Figure 1</w:t>
      </w:r>
      <w:r>
        <w:t xml:space="preserve"> </w:t>
      </w:r>
      <w:r>
        <w:t xml:space="preserve">shows model-predicted accuracy across conditions for the two critical windows.</w:t>
      </w:r>
      <w:r>
        <w:t xml:space="preserve"> </w:t>
      </w:r>
      <w:r>
        <w:rPr>
          <w:b/>
          <w:bCs/>
        </w:rPr>
        <w:t xml:space="preserve">Table 2</w:t>
      </w:r>
      <w:r>
        <w:t xml:space="preserve"> </w:t>
      </w:r>
      <w:r>
        <w:t xml:space="preserve">shows all model parameter estimates for fixed effects, and below, we break down the key results that are of theoretical interest.</w:t>
      </w:r>
    </w:p>
    <w:p>
      <w:pPr>
        <w:pStyle w:val="CaptionedFigure"/>
      </w:pPr>
      <w:r>
        <w:drawing>
          <wp:inline>
            <wp:extent cx="5943600" cy="3714749"/>
            <wp:effectExtent b="0" l="0" r="0" t="0"/>
            <wp:docPr descr="Figure 1. Posterior predicted accuracy by condition across both post-labeling time windows. Point ranges reflect posterior means with 89% credible intervals. Jittered dots show raw means for individual participants. Dotted line at 0.5 indicates chance looking." title="" id="45" name="Picture"/>
            <a:graphic>
              <a:graphicData uri="http://schemas.openxmlformats.org/drawingml/2006/picture">
                <pic:pic>
                  <pic:nvPicPr>
                    <pic:cNvPr descr="Figure1.png" id="46" name="Picture"/>
                    <pic:cNvPicPr>
                      <a:picLocks noChangeArrowheads="1" noChangeAspect="1"/>
                    </pic:cNvPicPr>
                  </pic:nvPicPr>
                  <pic:blipFill>
                    <a:blip r:embed="rId44"/>
                    <a:stretch>
                      <a:fillRect/>
                    </a:stretch>
                  </pic:blipFill>
                  <pic:spPr bwMode="auto">
                    <a:xfrm>
                      <a:off x="0" y="0"/>
                      <a:ext cx="5943600" cy="3714749"/>
                    </a:xfrm>
                    <a:prstGeom prst="rect">
                      <a:avLst/>
                    </a:prstGeom>
                    <a:noFill/>
                    <a:ln w="9525">
                      <a:noFill/>
                      <a:headEnd/>
                      <a:tailEnd/>
                    </a:ln>
                  </pic:spPr>
                </pic:pic>
              </a:graphicData>
            </a:graphic>
          </wp:inline>
        </w:drawing>
      </w:r>
    </w:p>
    <w:p>
      <w:pPr>
        <w:pStyle w:val="ImageCaption"/>
      </w:pPr>
      <w:r>
        <w:t xml:space="preserve">Figure 1. Posterior predicted accuracy by condition across both post-labeling time windows. Point ranges reflect posterior means with 89% credible intervals. Jittered dots show raw means for individual participants. Dotted line at 0.5 indicates chance looking.</w:t>
      </w:r>
    </w:p>
    <w:p>
      <w:pPr>
        <w:pStyle w:val="BodyText"/>
      </w:pPr>
      <w:r>
        <w:t xml:space="preserve">The beta (</w:t>
      </w:r>
      <m:oMath>
        <m:r>
          <m:t>μ</m:t>
        </m:r>
      </m:oMath>
      <w:r>
        <w:t xml:space="preserve">) component of the model, which estimates effects on the mean outcome for non-boundary values (i.e., proportions between but not including 0 or 1) showed positive effects for both the typical variation condition (</w:t>
      </w:r>
      <w:r>
        <w:rPr>
          <w:i/>
          <w:iCs/>
        </w:rPr>
        <w:t xml:space="preserve">β</w:t>
      </w:r>
      <w:r>
        <w:t xml:space="preserve"> </w:t>
      </w:r>
      <w:r>
        <w:t xml:space="preserve">= 0.07, 89% CrI: [-0.19, 0.32]) and the consistent condition (</w:t>
      </w:r>
      <w:r>
        <w:rPr>
          <w:i/>
          <w:iCs/>
        </w:rPr>
        <w:t xml:space="preserve">β</w:t>
      </w:r>
      <w:r>
        <w:t xml:space="preserve"> </w:t>
      </w:r>
      <w:r>
        <w:t xml:space="preserve">= 0.18, 89% CrI: [-0.04, 0.40]), relative to the atypical variation condition. Although the credible intervals include zero, the direction and magnitude of these effects suggest a possible learning advantage for both typical variation and consistency over atypical variation. The effect of mean-centered age was negligible (</w:t>
      </w:r>
      <w:r>
        <w:rPr>
          <w:i/>
          <w:iCs/>
        </w:rPr>
        <w:t xml:space="preserve">β</w:t>
      </w:r>
      <w:r>
        <w:t xml:space="preserve"> </w:t>
      </w:r>
      <w:r>
        <w:t xml:space="preserve">= 0.08, 89% CrI: [-0.03, 0.19]).</w:t>
      </w:r>
    </w:p>
    <w:p>
      <w:pPr>
        <w:pStyle w:val="BodyText"/>
      </w:pPr>
      <w:r>
        <w:t xml:space="preserve">The conditional one-inflation (coi) component, which estimates among boundary values only the probability of being 1 (vs. 0), also showed similar trends for the effect of condition. Results showed positive effects of both the typical variation condition (</w:t>
      </w:r>
      <w:r>
        <w:rPr>
          <w:i/>
          <w:iCs/>
        </w:rPr>
        <w:t xml:space="preserve">β</w:t>
      </w:r>
      <w:r>
        <w:t xml:space="preserve"> </w:t>
      </w:r>
      <w:r>
        <w:t xml:space="preserve">= 0.06, 89% CrI: [-0.36, 0.48]) and consistent condition (</w:t>
      </w:r>
      <w:r>
        <w:rPr>
          <w:i/>
          <w:iCs/>
        </w:rPr>
        <w:t xml:space="preserve">β</w:t>
      </w:r>
      <w:r>
        <w:t xml:space="preserve"> </w:t>
      </w:r>
      <w:r>
        <w:t xml:space="preserve">= 0.33, 89% CrI: [-0.11, 0.78]), relative to the atypical variation condition. While these effects remain uncertain given the credible interval overlap with zero, their alignment with the (</w:t>
      </w:r>
      <m:oMath>
        <m:r>
          <m:t>μ</m:t>
        </m:r>
      </m:oMath>
      <w:r>
        <w:t xml:space="preserve">) component estimates, suggests additional evidence for an advantage of both typical variation and consistency over atypical variation. The effect of age was clearly positive (</w:t>
      </w:r>
      <w:r>
        <w:rPr>
          <w:i/>
          <w:iCs/>
        </w:rPr>
        <w:t xml:space="preserve">β</w:t>
      </w:r>
      <w:r>
        <w:t xml:space="preserve"> </w:t>
      </w:r>
      <w:r>
        <w:t xml:space="preserve">= 0.34, 89% CrI: [0.15, 0.53]), indicating that older children were more likely to perform at ceiling (i.e., demonstrate 100% looking to the target object during the critical analysis windows).</w:t>
      </w:r>
    </w:p>
    <w:p>
      <w:pPr>
        <w:pStyle w:val="TableCaption"/>
      </w:pPr>
      <w:r>
        <w:t xml:space="preserve">Table 2. Posterior means and 89% credible intervals for each effect across models.</w:t>
      </w:r>
    </w:p>
    <w:tbl>
      <w:tblPr>
        <w:tblStyle w:val="Table"/>
        <w:tblW w:type="auto" w:w="0"/>
        <w:tblLook w:firstRow="1" w:lastRow="0" w:firstColumn="0" w:lastColumn="0" w:noHBand="0" w:noVBand="0" w:val="0020"/>
        <w:tblCaption w:val="Table 2. Posterior means and 89% credible intervals for each effect across models."/>
      </w:tblPr>
      <w:tblGrid>
        <w:gridCol w:w="1980"/>
        <w:gridCol w:w="1980"/>
        <w:gridCol w:w="1980"/>
        <w:gridCol w:w="1980"/>
      </w:tblGrid>
      <w:tr>
        <w:trPr>
          <w:tblHeader w:val="on"/>
        </w:trPr>
        <w:tc>
          <w:tcPr/>
          <w:p>
            <w:pPr>
              <w:pStyle w:val="Compact"/>
              <w:jc w:val="left"/>
            </w:pPr>
            <w:r>
              <w:t xml:space="preserve">Effect</w:t>
            </w:r>
          </w:p>
        </w:tc>
        <w:tc>
          <w:tcPr/>
          <w:p>
            <w:pPr>
              <w:pStyle w:val="Compact"/>
              <w:jc w:val="left"/>
            </w:pPr>
            <w:r>
              <w:t xml:space="preserve">Overall</w:t>
            </w:r>
          </w:p>
        </w:tc>
        <w:tc>
          <w:tcPr/>
          <w:p>
            <w:pPr>
              <w:pStyle w:val="Compact"/>
              <w:jc w:val="left"/>
            </w:pPr>
            <w:r>
              <w:t xml:space="preserve">Window 1</w:t>
            </w:r>
          </w:p>
        </w:tc>
        <w:tc>
          <w:tcPr/>
          <w:p>
            <w:pPr>
              <w:pStyle w:val="Compact"/>
              <w:jc w:val="left"/>
            </w:pPr>
            <w:r>
              <w:t xml:space="preserve">Window 2</w:t>
            </w:r>
          </w:p>
        </w:tc>
      </w:tr>
      <w:tr>
        <w:tc>
          <w:tcPr/>
          <w:p>
            <w:pPr>
              <w:pStyle w:val="Compact"/>
              <w:jc w:val="left"/>
            </w:pPr>
            <w:r>
              <w:t xml:space="preserve">μ: condition (typical variation)</w:t>
            </w:r>
          </w:p>
        </w:tc>
        <w:tc>
          <w:tcPr/>
          <w:p>
            <w:pPr>
              <w:pStyle w:val="Compact"/>
              <w:jc w:val="left"/>
            </w:pPr>
            <w:r>
              <w:t xml:space="preserve">0.07 [-0.19, 0.32]</w:t>
            </w:r>
          </w:p>
        </w:tc>
        <w:tc>
          <w:tcPr/>
          <w:p>
            <w:pPr>
              <w:pStyle w:val="Compact"/>
              <w:jc w:val="left"/>
            </w:pPr>
            <w:r>
              <w:t xml:space="preserve">0.11 [-0.10, 0.31]</w:t>
            </w:r>
          </w:p>
        </w:tc>
        <w:tc>
          <w:tcPr/>
          <w:p>
            <w:pPr>
              <w:pStyle w:val="Compact"/>
              <w:jc w:val="left"/>
            </w:pPr>
            <w:r>
              <w:t xml:space="preserve">-0.13 [-0.39, 0.17]</w:t>
            </w:r>
          </w:p>
        </w:tc>
      </w:tr>
      <w:tr>
        <w:tc>
          <w:tcPr/>
          <w:p>
            <w:pPr>
              <w:pStyle w:val="Compact"/>
              <w:jc w:val="left"/>
            </w:pPr>
            <w:r>
              <w:t xml:space="preserve">μ: condition (consistent)</w:t>
            </w:r>
          </w:p>
        </w:tc>
        <w:tc>
          <w:tcPr/>
          <w:p>
            <w:pPr>
              <w:pStyle w:val="Compact"/>
              <w:jc w:val="left"/>
            </w:pPr>
            <w:r>
              <w:t xml:space="preserve">0.18 [-0.04, 0.40]</w:t>
            </w:r>
          </w:p>
        </w:tc>
        <w:tc>
          <w:tcPr/>
          <w:p>
            <w:pPr>
              <w:pStyle w:val="Compact"/>
              <w:jc w:val="left"/>
            </w:pPr>
            <w:r>
              <w:t xml:space="preserve">0.12 [-0.07, 0.29]</w:t>
            </w:r>
          </w:p>
        </w:tc>
        <w:tc>
          <w:tcPr/>
          <w:p>
            <w:pPr>
              <w:pStyle w:val="Compact"/>
              <w:jc w:val="left"/>
            </w:pPr>
            <w:r>
              <w:t xml:space="preserve">0.15 [-0.10, 0.35]</w:t>
            </w:r>
          </w:p>
        </w:tc>
      </w:tr>
      <w:tr>
        <w:tc>
          <w:tcPr/>
          <w:p>
            <w:pPr>
              <w:pStyle w:val="Compact"/>
              <w:jc w:val="left"/>
            </w:pPr>
            <w:r>
              <w:t xml:space="preserve">μ: age</w:t>
            </w:r>
          </w:p>
        </w:tc>
        <w:tc>
          <w:tcPr/>
          <w:p>
            <w:pPr>
              <w:pStyle w:val="Compact"/>
              <w:jc w:val="left"/>
            </w:pPr>
            <w:r>
              <w:t xml:space="preserve">0.08 [-0.03, 0.19]</w:t>
            </w:r>
          </w:p>
        </w:tc>
        <w:tc>
          <w:tcPr/>
          <w:p>
            <w:pPr>
              <w:pStyle w:val="Compact"/>
              <w:jc w:val="left"/>
            </w:pPr>
            <w:r>
              <w:t xml:space="preserve">0.01 [-0.09, 0.12]</w:t>
            </w:r>
          </w:p>
        </w:tc>
        <w:tc>
          <w:tcPr/>
          <w:p>
            <w:pPr>
              <w:pStyle w:val="Compact"/>
              <w:jc w:val="left"/>
            </w:pPr>
            <w:r>
              <w:t xml:space="preserve">0.13 [0.01, 0.33]</w:t>
            </w:r>
          </w:p>
        </w:tc>
      </w:tr>
      <w:tr>
        <w:tc>
          <w:tcPr/>
          <w:p>
            <w:pPr>
              <w:pStyle w:val="Compact"/>
              <w:jc w:val="left"/>
            </w:pPr>
            <w:r>
              <w:t xml:space="preserve">zoi: condition (typical variation)</w:t>
            </w:r>
          </w:p>
        </w:tc>
        <w:tc>
          <w:tcPr/>
          <w:p>
            <w:pPr>
              <w:pStyle w:val="Compact"/>
              <w:jc w:val="left"/>
            </w:pPr>
            <w:r>
              <w:t xml:space="preserve">-0.21 [-0.56, 0.14]</w:t>
            </w:r>
          </w:p>
        </w:tc>
        <w:tc>
          <w:tcPr/>
          <w:p>
            <w:pPr>
              <w:pStyle w:val="Compact"/>
              <w:jc w:val="left"/>
            </w:pPr>
            <w:r>
              <w:t xml:space="preserve">0.22 [-0.27, 0.71]</w:t>
            </w:r>
          </w:p>
        </w:tc>
        <w:tc>
          <w:tcPr/>
          <w:p>
            <w:pPr>
              <w:pStyle w:val="Compact"/>
              <w:jc w:val="left"/>
            </w:pPr>
            <w:r>
              <w:t xml:space="preserve">0.17 [-0.56, 0.93]</w:t>
            </w:r>
          </w:p>
        </w:tc>
      </w:tr>
      <w:tr>
        <w:tc>
          <w:tcPr/>
          <w:p>
            <w:pPr>
              <w:pStyle w:val="Compact"/>
              <w:jc w:val="left"/>
            </w:pPr>
            <w:r>
              <w:t xml:space="preserve">zoi: condition (consistent)</w:t>
            </w:r>
          </w:p>
        </w:tc>
        <w:tc>
          <w:tcPr/>
          <w:p>
            <w:pPr>
              <w:pStyle w:val="Compact"/>
              <w:jc w:val="left"/>
            </w:pPr>
            <w:r>
              <w:t xml:space="preserve">-0.31 [-0.65, 0.03]</w:t>
            </w:r>
          </w:p>
        </w:tc>
        <w:tc>
          <w:tcPr/>
          <w:p>
            <w:pPr>
              <w:pStyle w:val="Compact"/>
              <w:jc w:val="left"/>
            </w:pPr>
            <w:r>
              <w:t xml:space="preserve">-0.33 [-0.78, 0.13]</w:t>
            </w:r>
          </w:p>
        </w:tc>
        <w:tc>
          <w:tcPr/>
          <w:p>
            <w:pPr>
              <w:pStyle w:val="Compact"/>
              <w:jc w:val="left"/>
            </w:pPr>
            <w:r>
              <w:t xml:space="preserve">-0.67 [-1.19, -0.11]</w:t>
            </w:r>
          </w:p>
        </w:tc>
      </w:tr>
      <w:tr>
        <w:tc>
          <w:tcPr/>
          <w:p>
            <w:pPr>
              <w:pStyle w:val="Compact"/>
              <w:jc w:val="left"/>
            </w:pPr>
            <w:r>
              <w:t xml:space="preserve">zoi: age</w:t>
            </w:r>
          </w:p>
        </w:tc>
        <w:tc>
          <w:tcPr/>
          <w:p>
            <w:pPr>
              <w:pStyle w:val="Compact"/>
              <w:jc w:val="left"/>
            </w:pPr>
            <w:r>
              <w:t xml:space="preserve">-0.33 [-0.48, -0.18]</w:t>
            </w:r>
          </w:p>
        </w:tc>
        <w:tc>
          <w:tcPr/>
          <w:p>
            <w:pPr>
              <w:pStyle w:val="Compact"/>
              <w:jc w:val="left"/>
            </w:pPr>
            <w:r>
              <w:t xml:space="preserve">-0.06 [-0.26, 0.13]</w:t>
            </w:r>
          </w:p>
        </w:tc>
        <w:tc>
          <w:tcPr/>
          <w:p>
            <w:pPr>
              <w:pStyle w:val="Compact"/>
              <w:jc w:val="left"/>
            </w:pPr>
            <w:r>
              <w:t xml:space="preserve">-0.28 [-0.48, -0.11]</w:t>
            </w:r>
          </w:p>
        </w:tc>
      </w:tr>
      <w:tr>
        <w:tc>
          <w:tcPr/>
          <w:p>
            <w:pPr>
              <w:pStyle w:val="Compact"/>
              <w:jc w:val="left"/>
            </w:pPr>
            <w:r>
              <w:t xml:space="preserve">coi: condition (typical variation)</w:t>
            </w:r>
          </w:p>
        </w:tc>
        <w:tc>
          <w:tcPr/>
          <w:p>
            <w:pPr>
              <w:pStyle w:val="Compact"/>
              <w:jc w:val="left"/>
            </w:pPr>
            <w:r>
              <w:t xml:space="preserve">0.06 [-0.36, 0.48]</w:t>
            </w:r>
          </w:p>
        </w:tc>
        <w:tc>
          <w:tcPr/>
          <w:p>
            <w:pPr>
              <w:pStyle w:val="Compact"/>
              <w:jc w:val="left"/>
            </w:pPr>
            <w:r>
              <w:t xml:space="preserve">0.09 [-0.32, 0.50]</w:t>
            </w:r>
          </w:p>
        </w:tc>
        <w:tc>
          <w:tcPr/>
          <w:p>
            <w:pPr>
              <w:pStyle w:val="Compact"/>
              <w:jc w:val="left"/>
            </w:pPr>
            <w:r>
              <w:t xml:space="preserve">-0.02 [-0.35, 0.33]</w:t>
            </w:r>
          </w:p>
        </w:tc>
      </w:tr>
      <w:tr>
        <w:tc>
          <w:tcPr/>
          <w:p>
            <w:pPr>
              <w:pStyle w:val="Compact"/>
              <w:jc w:val="left"/>
            </w:pPr>
            <w:r>
              <w:t xml:space="preserve">coi: condition (consistent)</w:t>
            </w:r>
          </w:p>
        </w:tc>
        <w:tc>
          <w:tcPr/>
          <w:p>
            <w:pPr>
              <w:pStyle w:val="Compact"/>
              <w:jc w:val="left"/>
            </w:pPr>
            <w:r>
              <w:t xml:space="preserve">0.33 [-0.11, 0.78]</w:t>
            </w:r>
          </w:p>
        </w:tc>
        <w:tc>
          <w:tcPr/>
          <w:p>
            <w:pPr>
              <w:pStyle w:val="Compact"/>
              <w:jc w:val="left"/>
            </w:pPr>
            <w:r>
              <w:t xml:space="preserve">0.40 [-0.02, 0.81]</w:t>
            </w:r>
          </w:p>
        </w:tc>
        <w:tc>
          <w:tcPr/>
          <w:p>
            <w:pPr>
              <w:pStyle w:val="Compact"/>
              <w:jc w:val="left"/>
            </w:pPr>
            <w:r>
              <w:t xml:space="preserve">0.15 [-0.29, 0.53]</w:t>
            </w:r>
          </w:p>
        </w:tc>
      </w:tr>
      <w:tr>
        <w:tc>
          <w:tcPr/>
          <w:p>
            <w:pPr>
              <w:pStyle w:val="Compact"/>
              <w:jc w:val="left"/>
            </w:pPr>
            <w:r>
              <w:t xml:space="preserve">coi: age</w:t>
            </w:r>
          </w:p>
        </w:tc>
        <w:tc>
          <w:tcPr/>
          <w:p>
            <w:pPr>
              <w:pStyle w:val="Compact"/>
              <w:jc w:val="left"/>
            </w:pPr>
            <w:r>
              <w:t xml:space="preserve">0.34 [0.15, 0.53]</w:t>
            </w:r>
          </w:p>
        </w:tc>
        <w:tc>
          <w:tcPr/>
          <w:p>
            <w:pPr>
              <w:pStyle w:val="Compact"/>
              <w:jc w:val="left"/>
            </w:pPr>
            <w:r>
              <w:t xml:space="preserve">0.40 [0.23, 0.57]</w:t>
            </w:r>
          </w:p>
        </w:tc>
        <w:tc>
          <w:tcPr/>
          <w:p>
            <w:pPr>
              <w:pStyle w:val="Compact"/>
              <w:jc w:val="left"/>
            </w:pPr>
            <w:r>
              <w:t xml:space="preserve">0.12 [-0.07, 0.25]</w:t>
            </w:r>
          </w:p>
        </w:tc>
      </w:tr>
    </w:tbl>
    <w:p>
      <w:pPr>
        <w:pStyle w:val="table-note"/>
      </w:pPr>
      <w:r>
        <w:rPr>
          <w:i/>
          <w:iCs/>
        </w:rPr>
        <w:t xml:space="preserve">Note.</w:t>
      </w:r>
      <w:r>
        <w:t xml:space="preserve"> </w:t>
      </w:r>
      <w:r>
        <w:t xml:space="preserve">The overall model includes both post-labeling windows (averaged accuracy) and the window-specific models include proportion estimates for 300–2,000 ms following each target word onset. The μ component models the predicted accuracy (i.e., proportion looking to the target object) for non-boundary values (values between but not including 0 or 1). The zoi (zero-one inflation) component models the likelihood of accuarcy being a boundary value—floor (0) or ceiling (1). The coi (conditional-one inflation) component models the probability of ceiling responses (1s) among boundary values.</w:t>
      </w:r>
    </w:p>
    <w:p>
      <w:pPr>
        <w:pStyle w:val="BodyText"/>
      </w:pPr>
      <w:r>
        <w:t xml:space="preserve"> </w:t>
      </w:r>
    </w:p>
    <w:bookmarkEnd w:id="47"/>
    <w:bookmarkStart w:id="53" w:name="X766ac349de9df7b6c7c4b96c9a4fd67a2087b79"/>
    <w:p>
      <w:pPr>
        <w:pStyle w:val="Heading2"/>
      </w:pPr>
      <w:r>
        <w:t xml:space="preserve">3.2 Moment-by-moment attention measured by pupil size synchrony</w:t>
      </w:r>
    </w:p>
    <w:bookmarkStart w:id="51" w:name="X29eb9cdab632aadf01b598ee0fac2a0355befc5"/>
    <w:p>
      <w:pPr>
        <w:pStyle w:val="Heading3"/>
      </w:pPr>
      <w:r>
        <w:t xml:space="preserve">3.2.1 Comparing pupil size synchrony across conditions</w:t>
      </w:r>
    </w:p>
    <w:p>
      <w:pPr>
        <w:pStyle w:val="FirstParagraph"/>
      </w:pPr>
      <w:r>
        <w:t xml:space="preserve">Following</w:t>
      </w:r>
      <w:r>
        <w:t xml:space="preserve"> </w:t>
      </w:r>
      <w:r>
        <w:t xml:space="preserve">Nencheva et al. (</w:t>
      </w:r>
      <w:hyperlink w:anchor="ref-nencheva2021moment">
        <w:r>
          <w:rPr>
            <w:rStyle w:val="Hyperlink"/>
          </w:rPr>
          <w:t xml:space="preserve">2021</w:t>
        </w:r>
      </w:hyperlink>
      <w:r>
        <w:t xml:space="preserve">)</w:t>
      </w:r>
      <w:r>
        <w:t xml:space="preserve">, we used dynamic time-warping distance</w:t>
      </w:r>
      <w:r>
        <w:t xml:space="preserve"> </w:t>
      </w:r>
      <w:r>
        <w:t xml:space="preserve">(DTW,</w:t>
      </w:r>
      <w:r>
        <w:t xml:space="preserve"> </w:t>
      </w:r>
      <w:hyperlink w:anchor="ref-tormene2009matching">
        <w:r>
          <w:rPr>
            <w:rStyle w:val="Hyperlink"/>
          </w:rPr>
          <w:t xml:space="preserve">Tormene et al., 2009</w:t>
        </w:r>
      </w:hyperlink>
      <w:r>
        <w:t xml:space="preserve">)</w:t>
      </w:r>
      <w:r>
        <w:t xml:space="preserve"> </w:t>
      </w:r>
      <w:r>
        <w:t xml:space="preserve">to quantify the temporal alignment of participants’ pupil responses when hearing individual exposure sentences (normalized for duration). This DTW measure quantifies the dissimilarity between two time series of pupil fluctuations. To transform these values into synchrony scores, we subtracted DTW distance scores from the maximum distance between two participants on each trial. To compare pupil size synchrony across conditions, we computed pairwise synchrony scores for all possible pairs of participants (for each exposure sentence per condition).</w:t>
      </w:r>
    </w:p>
    <w:p>
      <w:pPr>
        <w:pStyle w:val="BodyText"/>
      </w:pPr>
      <w:r>
        <w:t xml:space="preserve">We examined synchrony during the two types of critical exposure sentences that differed between conditions (see</w:t>
      </w:r>
      <w:r>
        <w:t xml:space="preserve"> </w:t>
      </w:r>
      <w:r>
        <w:rPr>
          <w:i/>
          <w:iCs/>
        </w:rPr>
        <w:t xml:space="preserve">Method</w:t>
      </w:r>
      <w:r>
        <w:t xml:space="preserve"> </w:t>
      </w:r>
      <w:r>
        <w:t xml:space="preserve">for details). A linear mixed-effects model</w:t>
      </w:r>
      <w:r>
        <w:t xml:space="preserve"> </w:t>
      </w:r>
      <w:r>
        <w:t xml:space="preserve">(</w:t>
      </w:r>
      <w:hyperlink w:anchor="ref-lme4">
        <w:r>
          <w:rPr>
            <w:rStyle w:val="Hyperlink"/>
          </w:rPr>
          <w:t xml:space="preserve">Bates et al., 2015</w:t>
        </w:r>
      </w:hyperlink>
      <w:r>
        <w:t xml:space="preserve">)</w:t>
      </w:r>
      <w:r>
        <w:t xml:space="preserve"> </w:t>
      </w:r>
      <w:r>
        <w:t xml:space="preserve">predicting average pupil size synchrony (z-scored) from condition, with a by-participant random intercept revealed a significant main effect of condition on pupil size synchrony [</w:t>
      </w:r>
      <w:r>
        <w:rPr>
          <w:i/>
          <w:iCs/>
        </w:rPr>
        <w:t xml:space="preserve">F</w:t>
      </w:r>
      <w:r>
        <w:t xml:space="preserve">(2, 246) = 26.66,</w:t>
      </w:r>
      <w:r>
        <w:t xml:space="preserve"> </w:t>
      </w:r>
      <w:r>
        <w:rPr>
          <w:i/>
          <w:iCs/>
        </w:rPr>
        <w:t xml:space="preserve">p</w:t>
      </w:r>
      <w:r>
        <w:t xml:space="preserve"> </w:t>
      </w:r>
      <w:r>
        <w:t xml:space="preserve">&lt; 0.001]. Follow-up pairwise comparisons using Tukey’s HSD correction indicated that there were statistically significant differences between all condition pairs. Pupil size synchrony was higher in the atypical variation condition (ΔM = 0.20,</w:t>
      </w:r>
      <w:r>
        <w:t xml:space="preserve"> </w:t>
      </w:r>
      <w:r>
        <w:rPr>
          <w:i/>
          <w:iCs/>
        </w:rPr>
        <w:t xml:space="preserve">p</w:t>
      </w:r>
      <w:r>
        <w:t xml:space="preserve"> </w:t>
      </w:r>
      <w:r>
        <w:t xml:space="preserve">= 0.006, Cohen’s</w:t>
      </w:r>
      <w:r>
        <w:t xml:space="preserve"> </w:t>
      </w:r>
      <w:r>
        <w:rPr>
          <w:i/>
          <w:iCs/>
        </w:rPr>
        <w:t xml:space="preserve">d</w:t>
      </w:r>
      <w:r>
        <w:t xml:space="preserve"> </w:t>
      </w:r>
      <w:r>
        <w:t xml:space="preserve">= 0.45) and the typical variation condition (ΔM = 0.47,</w:t>
      </w:r>
      <w:r>
        <w:t xml:space="preserve"> </w:t>
      </w:r>
      <w:r>
        <w:rPr>
          <w:i/>
          <w:iCs/>
        </w:rPr>
        <w:t xml:space="preserve">p</w:t>
      </w:r>
      <w:r>
        <w:t xml:space="preserve"> </w:t>
      </w:r>
      <w:r>
        <w:t xml:space="preserve">&lt; 0.001, Cohen’s</w:t>
      </w:r>
      <w:r>
        <w:t xml:space="preserve"> </w:t>
      </w:r>
      <w:r>
        <w:rPr>
          <w:i/>
          <w:iCs/>
        </w:rPr>
        <w:t xml:space="preserve">d</w:t>
      </w:r>
      <w:r>
        <w:t xml:space="preserve"> </w:t>
      </w:r>
      <w:r>
        <w:t xml:space="preserve">= 1.07), relative to the consistent condition. Pupil size synchrony was higher in the typical variation condition relative to the atypical variation condition (ΔM = 0.27,</w:t>
      </w:r>
      <w:r>
        <w:t xml:space="preserve"> </w:t>
      </w:r>
      <w:r>
        <w:rPr>
          <w:i/>
          <w:iCs/>
        </w:rPr>
        <w:t xml:space="preserve">p</w:t>
      </w:r>
      <w:r>
        <w:t xml:space="preserve"> </w:t>
      </w:r>
      <w:r>
        <w:t xml:space="preserve">&lt; 0.001, Cohen’s</w:t>
      </w:r>
      <w:r>
        <w:t xml:space="preserve"> </w:t>
      </w:r>
      <w:r>
        <w:rPr>
          <w:i/>
          <w:iCs/>
        </w:rPr>
        <w:t xml:space="preserve">d</w:t>
      </w:r>
      <w:r>
        <w:t xml:space="preserve"> </w:t>
      </w:r>
      <w:r>
        <w:t xml:space="preserve">= 0.62).</w:t>
      </w:r>
    </w:p>
    <w:p>
      <w:pPr>
        <w:pStyle w:val="CaptionedFigure"/>
      </w:pPr>
      <w:r>
        <w:drawing>
          <wp:inline>
            <wp:extent cx="5504749" cy="3669832"/>
            <wp:effectExtent b="0" l="0" r="0" t="0"/>
            <wp:docPr descr="Figure 2. Model-predicted pupil size synchrony (z-scored) across conditions with 95% confidence intervals. Jittered points represent participant means." title="" id="49" name="Picture"/>
            <a:graphic>
              <a:graphicData uri="http://schemas.openxmlformats.org/drawingml/2006/picture">
                <pic:pic>
                  <pic:nvPicPr>
                    <pic:cNvPr descr="Figure2.png" id="50" name="Picture"/>
                    <pic:cNvPicPr>
                      <a:picLocks noChangeArrowheads="1" noChangeAspect="1"/>
                    </pic:cNvPicPr>
                  </pic:nvPicPr>
                  <pic:blipFill>
                    <a:blip r:embed="rId48"/>
                    <a:stretch>
                      <a:fillRect/>
                    </a:stretch>
                  </pic:blipFill>
                  <pic:spPr bwMode="auto">
                    <a:xfrm>
                      <a:off x="0" y="0"/>
                      <a:ext cx="5504749" cy="3669832"/>
                    </a:xfrm>
                    <a:prstGeom prst="rect">
                      <a:avLst/>
                    </a:prstGeom>
                    <a:noFill/>
                    <a:ln w="9525">
                      <a:noFill/>
                      <a:headEnd/>
                      <a:tailEnd/>
                    </a:ln>
                  </pic:spPr>
                </pic:pic>
              </a:graphicData>
            </a:graphic>
          </wp:inline>
        </w:drawing>
      </w:r>
    </w:p>
    <w:p>
      <w:pPr>
        <w:pStyle w:val="ImageCaption"/>
      </w:pPr>
      <w:r>
        <w:t xml:space="preserve">Figure 2. Model-predicted pupil size synchrony (z-scored) across conditions with 95% confidence intervals. Jittered points represent participant means.</w:t>
      </w:r>
    </w:p>
    <w:bookmarkEnd w:id="51"/>
    <w:bookmarkStart w:id="52" w:name="X20e86439322970e0c80fc5aeaf7687084e37566"/>
    <w:p>
      <w:pPr>
        <w:pStyle w:val="Heading3"/>
      </w:pPr>
      <w:r>
        <w:t xml:space="preserve">3.2.2 Relating pupil size synchrony to word-recognition accuracy</w:t>
      </w:r>
    </w:p>
    <w:p>
      <w:pPr>
        <w:pStyle w:val="FirstParagraph"/>
      </w:pPr>
      <w:r>
        <w:t xml:space="preserve">To understand if toddlers’ moment-to-moment engagement with lexically consistent or variable input predicts their novel word learning, we tested whether or not a given participant’s proportion looking to a target object during test trials could be reliably predicted from their average pupil size synchrony for that target word during training trials.</w:t>
      </w:r>
    </w:p>
    <w:p>
      <w:pPr>
        <w:pStyle w:val="BodyText"/>
      </w:pPr>
      <w:r>
        <w:t xml:space="preserve">We added mean pupil size synchrony (z-scored) as an additional fixed effect, along with a condition by synchrony interaction term, to our main zero-one inflated beta regression model. Model comparison using leave-one-out cross-validation</w:t>
      </w:r>
      <w:r>
        <w:t xml:space="preserve"> </w:t>
      </w:r>
      <w:r>
        <w:t xml:space="preserve">(</w:t>
      </w:r>
      <w:hyperlink w:anchor="ref-loo">
        <w:r>
          <w:rPr>
            <w:rStyle w:val="Hyperlink"/>
          </w:rPr>
          <w:t xml:space="preserve">Yao et al., 2017</w:t>
        </w:r>
      </w:hyperlink>
      <w:r>
        <w:t xml:space="preserve">)</w:t>
      </w:r>
      <w:r>
        <w:t xml:space="preserve"> </w:t>
      </w:r>
      <w:r>
        <w:t xml:space="preserve">revealed a small improvement in predictive accuracy for the model including pupil size synchrony compared to a model with age and condition only (ΔELPD = -1.91,</w:t>
      </w:r>
      <w:r>
        <w:t xml:space="preserve"> </w:t>
      </w:r>
      <w:r>
        <w:rPr>
          <w:i/>
          <w:iCs/>
        </w:rPr>
        <w:t xml:space="preserve">SE</w:t>
      </w:r>
      <w:r>
        <w:t xml:space="preserve"> </w:t>
      </w:r>
      <w:r>
        <w:t xml:space="preserve">= 1.05), but the two models were nearly equivalent in overall fit.</w:t>
      </w:r>
    </w:p>
    <w:p>
      <w:pPr>
        <w:pStyle w:val="BodyText"/>
      </w:pPr>
      <w:r>
        <w:t xml:space="preserve">Results revealed no overall main effect of pupil size synchrony on participants’ word-recognition accuracy (</w:t>
      </w:r>
      <w:r>
        <w:rPr>
          <w:i/>
          <w:iCs/>
        </w:rPr>
        <w:t xml:space="preserve">b</w:t>
      </w:r>
      <w:r>
        <w:t xml:space="preserve"> </w:t>
      </w:r>
      <w:r>
        <w:t xml:space="preserve">= -0.06, 89% CrI [-0.26, 0.13]). The interaction between condition and synchrony was not statistically reliable (i.e., all 89% credible intervals included zero), but the direction of the effect in the typical variation condition suggested a possible trend toward increased word-recognition accuracy for participants with higher synchrony during critical exposure sentences (</w:t>
      </w:r>
      <w:r>
        <w:rPr>
          <w:i/>
          <w:iCs/>
        </w:rPr>
        <w:t xml:space="preserve">b</w:t>
      </w:r>
      <w:r>
        <w:t xml:space="preserve"> </w:t>
      </w:r>
      <w:r>
        <w:t xml:space="preserve">= 0.29, 89% CrI [-0.12, 0.74]).</w:t>
      </w:r>
    </w:p>
    <w:bookmarkEnd w:id="52"/>
    <w:bookmarkEnd w:id="53"/>
    <w:bookmarkEnd w:id="54"/>
    <w:bookmarkStart w:id="55" w:name="discussion"/>
    <w:p>
      <w:pPr>
        <w:pStyle w:val="Heading1"/>
      </w:pPr>
      <w:r>
        <w:t xml:space="preserve">4. Discussion</w:t>
      </w:r>
    </w:p>
    <w:p>
      <w:pPr>
        <w:pStyle w:val="FirstParagraph"/>
      </w:pPr>
      <w:r>
        <w:t xml:space="preserve">We tested how consistent versus variable labels impact English-hearing toddlers’ learning of novel-word object mappings. Specifically, we examined whether 18- to 36-month-olds showed better novel word recognition accuracy when they were exposed to consistent labels versus typical label variants (reduplicated + diminutivized word forms) versus atypical label variants (word forms unattested in US English).</w:t>
      </w:r>
    </w:p>
    <w:p>
      <w:pPr>
        <w:pStyle w:val="BodyText"/>
      </w:pPr>
      <w:r>
        <w:t xml:space="preserve">This is the first study to date to expose children to multiple label variants.</w:t>
      </w:r>
    </w:p>
    <w:p>
      <w:pPr>
        <w:pStyle w:val="BodyText"/>
      </w:pPr>
      <w:r>
        <w:t xml:space="preserve">By manipulating label variation in the input as a within-subjects factor, we</w:t>
      </w:r>
    </w:p>
    <w:p>
      <w:pPr>
        <w:pStyle w:val="BodyText"/>
      </w:pPr>
      <w:r>
        <w:t xml:space="preserve">Critically, our findings do not tell us whether OR An important question left unanswered is</w:t>
      </w:r>
    </w:p>
    <w:p>
      <w:pPr>
        <w:pStyle w:val="BodyText"/>
      </w:pPr>
      <w:r>
        <w:t xml:space="preserve">In conclusion, this is the first experimental study to provide evidence that English-hearing toddlers can successfully contend with label variants when learning new words.</w:t>
      </w:r>
    </w:p>
    <w:bookmarkEnd w:id="55"/>
    <w:bookmarkStart w:id="96" w:name="references"/>
    <w:p>
      <w:pPr>
        <w:pStyle w:val="Heading1"/>
      </w:pPr>
      <w:r>
        <w:t xml:space="preserve">5. References</w:t>
      </w:r>
    </w:p>
    <w:bookmarkStart w:id="95" w:name="refs"/>
    <w:bookmarkStart w:id="57" w:name="ref-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56">
        <w:r>
          <w:rPr>
            <w:rStyle w:val="Hyperlink"/>
          </w:rPr>
          <w:t xml:space="preserve">https://doi.org/10.18637/jss.v067.i01</w:t>
        </w:r>
      </w:hyperlink>
    </w:p>
    <w:bookmarkEnd w:id="57"/>
    <w:bookmarkStart w:id="58" w:name="ref-praat"/>
    <w:p>
      <w:pPr>
        <w:pStyle w:val="Bibliography"/>
      </w:pPr>
      <w:r>
        <w:t xml:space="preserve">Boersma, P., &amp; Weenink, D. (2025).</w:t>
      </w:r>
      <w:r>
        <w:t xml:space="preserve"> </w:t>
      </w:r>
      <w:r>
        <w:rPr>
          <w:i/>
          <w:iCs/>
        </w:rPr>
        <w:t xml:space="preserve">Praat: Doing phonetics by computer [computer program]</w:t>
      </w:r>
      <w:r>
        <w:t xml:space="preserve">.</w:t>
      </w:r>
    </w:p>
    <w:bookmarkEnd w:id="58"/>
    <w:bookmarkStart w:id="60" w:name="ref-glmmTMB"/>
    <w:p>
      <w:pPr>
        <w:pStyle w:val="Bibliography"/>
      </w:pPr>
      <w:r>
        <w:t xml:space="preserve">Brooks, M. E., Kristensen, K., van Benthem, K. J., Magnusson, A., Berg, C. W., Nielsen, A., Skaug, H. J., Maechler, M., &amp; Bolker, B. M. (2017).</w:t>
      </w:r>
      <w:r>
        <w:t xml:space="preserve"> </w:t>
      </w:r>
      <w:r>
        <w:t xml:space="preserve">glmmTMB</w:t>
      </w:r>
      <w:r>
        <w:t xml:space="preserve"> </w:t>
      </w:r>
      <w:r>
        <w:t xml:space="preserve">balances speed and flexibility among packages for zero-inflated generalized linear mixed modeling.</w:t>
      </w:r>
      <w:r>
        <w:t xml:space="preserve"> </w:t>
      </w:r>
      <w:r>
        <w:rPr>
          <w:i/>
          <w:iCs/>
        </w:rPr>
        <w:t xml:space="preserve">The R Journal</w:t>
      </w:r>
      <w:r>
        <w:t xml:space="preserve">,</w:t>
      </w:r>
      <w:r>
        <w:t xml:space="preserve"> </w:t>
      </w:r>
      <w:r>
        <w:rPr>
          <w:i/>
          <w:iCs/>
        </w:rPr>
        <w:t xml:space="preserve">9</w:t>
      </w:r>
      <w:r>
        <w:t xml:space="preserve">(2), 378–400.</w:t>
      </w:r>
      <w:r>
        <w:t xml:space="preserve"> </w:t>
      </w:r>
      <w:hyperlink r:id="rId59">
        <w:r>
          <w:rPr>
            <w:rStyle w:val="Hyperlink"/>
          </w:rPr>
          <w:t xml:space="preserve">https://doi.org/10.32614/RJ-2017-066</w:t>
        </w:r>
      </w:hyperlink>
    </w:p>
    <w:bookmarkEnd w:id="60"/>
    <w:bookmarkStart w:id="61" w:name="ref-brms"/>
    <w:p>
      <w:pPr>
        <w:pStyle w:val="Bibliography"/>
      </w:pPr>
      <w:r>
        <w:t xml:space="preserve">Bürkner, P.-C. (2017). Brms: An r package for bayesian multilevel models using stan.</w:t>
      </w:r>
      <w:r>
        <w:t xml:space="preserve"> </w:t>
      </w:r>
      <w:r>
        <w:rPr>
          <w:i/>
          <w:iCs/>
        </w:rPr>
        <w:t xml:space="preserve">Journal of Statistical Software</w:t>
      </w:r>
      <w:r>
        <w:t xml:space="preserve">,</w:t>
      </w:r>
      <w:r>
        <w:t xml:space="preserve"> </w:t>
      </w:r>
      <w:r>
        <w:rPr>
          <w:i/>
          <w:iCs/>
        </w:rPr>
        <w:t xml:space="preserve">80</w:t>
      </w:r>
      <w:r>
        <w:t xml:space="preserve">, 1–28.</w:t>
      </w:r>
    </w:p>
    <w:bookmarkEnd w:id="61"/>
    <w:bookmarkStart w:id="62" w:name="ref-bynon1968berber"/>
    <w:p>
      <w:pPr>
        <w:pStyle w:val="Bibliography"/>
      </w:pPr>
      <w:r>
        <w:t xml:space="preserve">Bynon, J. (1968). Berber nursery language.</w:t>
      </w:r>
      <w:r>
        <w:t xml:space="preserve"> </w:t>
      </w:r>
      <w:r>
        <w:rPr>
          <w:i/>
          <w:iCs/>
        </w:rPr>
        <w:t xml:space="preserve">Transactions of the Philological Society</w:t>
      </w:r>
      <w:r>
        <w:t xml:space="preserve">,</w:t>
      </w:r>
      <w:r>
        <w:t xml:space="preserve"> </w:t>
      </w:r>
      <w:r>
        <w:rPr>
          <w:i/>
          <w:iCs/>
        </w:rPr>
        <w:t xml:space="preserve">67</w:t>
      </w:r>
      <w:r>
        <w:t xml:space="preserve">(1), 107–161.</w:t>
      </w:r>
    </w:p>
    <w:bookmarkEnd w:id="62"/>
    <w:bookmarkStart w:id="63" w:name="ref-casagrande1948comanche"/>
    <w:p>
      <w:pPr>
        <w:pStyle w:val="Bibliography"/>
      </w:pPr>
      <w:r>
        <w:t xml:space="preserve">Casagrande, J. B. (1948). Comanche baby language.</w:t>
      </w:r>
      <w:r>
        <w:t xml:space="preserve"> </w:t>
      </w:r>
      <w:r>
        <w:rPr>
          <w:i/>
          <w:iCs/>
        </w:rPr>
        <w:t xml:space="preserve">International Journal of American Linguistics</w:t>
      </w:r>
      <w:r>
        <w:t xml:space="preserve">,</w:t>
      </w:r>
      <w:r>
        <w:t xml:space="preserve"> </w:t>
      </w:r>
      <w:r>
        <w:rPr>
          <w:i/>
          <w:iCs/>
        </w:rPr>
        <w:t xml:space="preserve">14</w:t>
      </w:r>
      <w:r>
        <w:t xml:space="preserve">(1), 11–14.</w:t>
      </w:r>
    </w:p>
    <w:bookmarkEnd w:id="63"/>
    <w:bookmarkStart w:id="64" w:name="ref-casey2022doggy"/>
    <w:p>
      <w:pPr>
        <w:pStyle w:val="Bibliography"/>
      </w:pPr>
      <w:r>
        <w:t xml:space="preserve">Casey, K., &amp; Casillas, M. (2022). From doggy to dog: Developmental shifts in children’s use of register-specific words.</w:t>
      </w:r>
      <w:r>
        <w:t xml:space="preserve"> </w:t>
      </w:r>
      <w:r>
        <w:rPr>
          <w:i/>
          <w:iCs/>
        </w:rPr>
        <w:t xml:space="preserve">Proceedings of the Annual Meeting of the Cognitive Science Society</w:t>
      </w:r>
      <w:r>
        <w:t xml:space="preserve">,</w:t>
      </w:r>
      <w:r>
        <w:t xml:space="preserve"> </w:t>
      </w:r>
      <w:r>
        <w:rPr>
          <w:i/>
          <w:iCs/>
        </w:rPr>
        <w:t xml:space="preserve">44</w:t>
      </w:r>
      <w:r>
        <w:t xml:space="preserve">.</w:t>
      </w:r>
    </w:p>
    <w:bookmarkEnd w:id="64"/>
    <w:bookmarkStart w:id="65" w:name="ref-caseyIPcorpus"/>
    <w:p>
      <w:pPr>
        <w:pStyle w:val="Bibliography"/>
      </w:pPr>
      <w:r>
        <w:t xml:space="preserve">Casey, K., Levitin, A., &amp; Lew-Williams, C. (in preparation).</w:t>
      </w:r>
      <w:r>
        <w:t xml:space="preserve"> </w:t>
      </w:r>
      <w:r>
        <w:rPr>
          <w:i/>
          <w:iCs/>
        </w:rPr>
        <w:t xml:space="preserve">Quantifying the amount and impact of label variation in early word learning environments.</w:t>
      </w:r>
    </w:p>
    <w:bookmarkEnd w:id="65"/>
    <w:bookmarkStart w:id="66" w:name="ref-cribari2010beta"/>
    <w:p>
      <w:pPr>
        <w:pStyle w:val="Bibliography"/>
      </w:pPr>
      <w:r>
        <w:t xml:space="preserve">Cribari-Neto, F., &amp; Zeileis, A. (2010). Beta regression in r.</w:t>
      </w:r>
      <w:r>
        <w:t xml:space="preserve"> </w:t>
      </w:r>
      <w:r>
        <w:rPr>
          <w:i/>
          <w:iCs/>
        </w:rPr>
        <w:t xml:space="preserve">Journal of Statistical Software</w:t>
      </w:r>
      <w:r>
        <w:t xml:space="preserve">,</w:t>
      </w:r>
      <w:r>
        <w:t xml:space="preserve"> </w:t>
      </w:r>
      <w:r>
        <w:rPr>
          <w:i/>
          <w:iCs/>
        </w:rPr>
        <w:t xml:space="preserve">34</w:t>
      </w:r>
      <w:r>
        <w:t xml:space="preserve">(1), 1–24.</w:t>
      </w:r>
    </w:p>
    <w:bookmarkEnd w:id="66"/>
    <w:bookmarkStart w:id="67" w:name="ref-damian2009exploring"/>
    <w:p>
      <w:pPr>
        <w:pStyle w:val="Bibliography"/>
      </w:pPr>
      <w:r>
        <w:t xml:space="preserve">Damian, M. F., &amp; Dumay, N. (2009). Exploring phonological encoding through repeated segments.</w:t>
      </w:r>
      <w:r>
        <w:t xml:space="preserve"> </w:t>
      </w:r>
      <w:r>
        <w:rPr>
          <w:i/>
          <w:iCs/>
        </w:rPr>
        <w:t xml:space="preserve">Language and Cognitive Processes</w:t>
      </w:r>
      <w:r>
        <w:t xml:space="preserve">,</w:t>
      </w:r>
      <w:r>
        <w:t xml:space="preserve"> </w:t>
      </w:r>
      <w:r>
        <w:rPr>
          <w:i/>
          <w:iCs/>
        </w:rPr>
        <w:t xml:space="preserve">24</w:t>
      </w:r>
      <w:r>
        <w:t xml:space="preserve">(5), 685–712.</w:t>
      </w:r>
    </w:p>
    <w:bookmarkEnd w:id="67"/>
    <w:bookmarkStart w:id="68" w:name="ref-faul2009statistical"/>
    <w:p>
      <w:pPr>
        <w:pStyle w:val="Bibliography"/>
      </w:pPr>
      <w:r>
        <w:t xml:space="preserve">Faul, F., Erdfelder, E., Buchner, A., &amp; Lang, A.-G. (2009). Statistical power analyses using g* power 3.1: Tests for correlation and regression analyses.</w:t>
      </w:r>
      <w:r>
        <w:t xml:space="preserve"> </w:t>
      </w:r>
      <w:r>
        <w:rPr>
          <w:i/>
          <w:iCs/>
        </w:rPr>
        <w:t xml:space="preserve">Behavior Research Methods</w:t>
      </w:r>
      <w:r>
        <w:t xml:space="preserve">,</w:t>
      </w:r>
      <w:r>
        <w:t xml:space="preserve"> </w:t>
      </w:r>
      <w:r>
        <w:rPr>
          <w:i/>
          <w:iCs/>
        </w:rPr>
        <w:t xml:space="preserve">41</w:t>
      </w:r>
      <w:r>
        <w:t xml:space="preserve">(4), 1149–1160.</w:t>
      </w:r>
    </w:p>
    <w:bookmarkEnd w:id="68"/>
    <w:bookmarkStart w:id="69" w:name="ref-ferguson1964baby"/>
    <w:p>
      <w:pPr>
        <w:pStyle w:val="Bibliography"/>
      </w:pPr>
      <w:r>
        <w:t xml:space="preserve">Ferguson, C. A. (1964). Baby talk in six languages.</w:t>
      </w:r>
      <w:r>
        <w:t xml:space="preserve"> </w:t>
      </w:r>
      <w:r>
        <w:rPr>
          <w:i/>
          <w:iCs/>
        </w:rPr>
        <w:t xml:space="preserve">American Anthropologist</w:t>
      </w:r>
      <w:r>
        <w:t xml:space="preserve">,</w:t>
      </w:r>
      <w:r>
        <w:t xml:space="preserve"> </w:t>
      </w:r>
      <w:r>
        <w:rPr>
          <w:i/>
          <w:iCs/>
        </w:rPr>
        <w:t xml:space="preserve">66</w:t>
      </w:r>
      <w:r>
        <w:t xml:space="preserve">(6), 103–114.</w:t>
      </w:r>
    </w:p>
    <w:bookmarkEnd w:id="69"/>
    <w:bookmarkStart w:id="70" w:name="ref-fernald2008looking"/>
    <w:p>
      <w:pPr>
        <w:pStyle w:val="Bibliography"/>
      </w:pPr>
      <w:r>
        <w:t xml:space="preserve">Fernald, A. E., Zangl, R., Portillo, A. L., &amp; Marchman, V. A. (2008). Looking while listening: Using eye movements to monitor spoken language comprehension by infants and young children. In</w:t>
      </w:r>
      <w:r>
        <w:t xml:space="preserve"> </w:t>
      </w:r>
      <w:r>
        <w:rPr>
          <w:i/>
          <w:iCs/>
        </w:rPr>
        <w:t xml:space="preserve">Developmental psycholinguistics: On-line methods in children’s language processing</w:t>
      </w:r>
      <w:r>
        <w:t xml:space="preserve"> </w:t>
      </w:r>
      <w:r>
        <w:t xml:space="preserve">(pp. 97–135). John Benjamins Publishing Company.</w:t>
      </w:r>
    </w:p>
    <w:bookmarkEnd w:id="70"/>
    <w:bookmarkStart w:id="71" w:name="ref-han2023che"/>
    <w:p>
      <w:pPr>
        <w:pStyle w:val="Bibliography"/>
      </w:pPr>
      <w:r>
        <w:t xml:space="preserve">Han, M., &amp; Gu, Y. (2023). Che-che (</w:t>
      </w:r>
      <w:r>
        <w:t xml:space="preserve">“car-car”</w:t>
      </w:r>
      <w:r>
        <w:t xml:space="preserve">) and chi-chi (</w:t>
      </w:r>
      <w:r>
        <w:t xml:space="preserve">“eat-eat”</w:t>
      </w:r>
      <w:r>
        <w:t xml:space="preserve">): Reduplication in mandarin chinese child-directed speech.</w:t>
      </w:r>
      <w:r>
        <w:t xml:space="preserve"> </w:t>
      </w:r>
      <w:r>
        <w:rPr>
          <w:i/>
          <w:iCs/>
        </w:rPr>
        <w:t xml:space="preserve">Proceedings of the Annual Meeting of the Cognitive Science Society</w:t>
      </w:r>
      <w:r>
        <w:t xml:space="preserve">,</w:t>
      </w:r>
      <w:r>
        <w:t xml:space="preserve"> </w:t>
      </w:r>
      <w:r>
        <w:rPr>
          <w:i/>
          <w:iCs/>
        </w:rPr>
        <w:t xml:space="preserve">45</w:t>
      </w:r>
      <w:r>
        <w:t xml:space="preserve">.</w:t>
      </w:r>
    </w:p>
    <w:bookmarkEnd w:id="71"/>
    <w:bookmarkStart w:id="72" w:name="ref-stinepack"/>
    <w:p>
      <w:pPr>
        <w:pStyle w:val="Bibliography"/>
      </w:pPr>
      <w:r>
        <w:t xml:space="preserve">Johannesson, T., Bjornsson, H., Grothendieck, G., &amp; Johannesson, M. T. (2009). Package</w:t>
      </w:r>
      <w:r>
        <w:t xml:space="preserve"> </w:t>
      </w:r>
      <w:r>
        <w:t xml:space="preserve">“stinepack.”</w:t>
      </w:r>
      <w:r>
        <w:t xml:space="preserve"> </w:t>
      </w:r>
      <w:r>
        <w:rPr>
          <w:i/>
          <w:iCs/>
        </w:rPr>
        <w:t xml:space="preserve">Icelandic Meteorological Office</w:t>
      </w:r>
      <w:r>
        <w:t xml:space="preserve">.</w:t>
      </w:r>
    </w:p>
    <w:bookmarkEnd w:id="72"/>
    <w:bookmarkStart w:id="73" w:name="ref-liu2018review"/>
    <w:p>
      <w:pPr>
        <w:pStyle w:val="Bibliography"/>
      </w:pPr>
      <w:r>
        <w:t xml:space="preserve">Liu, F., &amp; Eugenio, E. C. (2018). A review and comparison of bayesian and likelihood-based inferences in beta regression and zero-or-one-inflated beta regression.</w:t>
      </w:r>
      <w:r>
        <w:t xml:space="preserve"> </w:t>
      </w:r>
      <w:r>
        <w:rPr>
          <w:i/>
          <w:iCs/>
        </w:rPr>
        <w:t xml:space="preserve">Statistical Methods in Medical Research</w:t>
      </w:r>
      <w:r>
        <w:t xml:space="preserve">,</w:t>
      </w:r>
      <w:r>
        <w:t xml:space="preserve"> </w:t>
      </w:r>
      <w:r>
        <w:rPr>
          <w:i/>
          <w:iCs/>
        </w:rPr>
        <w:t xml:space="preserve">27</w:t>
      </w:r>
      <w:r>
        <w:t xml:space="preserve">(4), 1024–1044.</w:t>
      </w:r>
    </w:p>
    <w:bookmarkEnd w:id="73"/>
    <w:bookmarkStart w:id="74" w:name="ref-mazuka2008japanese"/>
    <w:p>
      <w:pPr>
        <w:pStyle w:val="Bibliography"/>
      </w:pPr>
      <w:r>
        <w:t xml:space="preserve">Mazuka, R., Kondo, T., &amp; Hayashi, A. (2008). Japanese mothers’ use of specialized vocabulary in infant-directed speech: Infant-directed vocabulary in japanese. In</w:t>
      </w:r>
      <w:r>
        <w:t xml:space="preserve"> </w:t>
      </w:r>
      <w:r>
        <w:rPr>
          <w:i/>
          <w:iCs/>
        </w:rPr>
        <w:t xml:space="preserve">The origins of language: Unraveling evolutionary forces</w:t>
      </w:r>
      <w:r>
        <w:t xml:space="preserve"> </w:t>
      </w:r>
      <w:r>
        <w:t xml:space="preserve">(pp. 39–58). Springer.</w:t>
      </w:r>
    </w:p>
    <w:bookmarkEnd w:id="74"/>
    <w:bookmarkStart w:id="75" w:name="ref-merritt1994artifact"/>
    <w:p>
      <w:pPr>
        <w:pStyle w:val="Bibliography"/>
      </w:pPr>
      <w:r>
        <w:t xml:space="preserve">Merritt, S. L., Keegan, A. P., &amp; Mercer, P. W. (1994). Artifact management in pupillometry.</w:t>
      </w:r>
      <w:r>
        <w:t xml:space="preserve"> </w:t>
      </w:r>
      <w:r>
        <w:rPr>
          <w:i/>
          <w:iCs/>
        </w:rPr>
        <w:t xml:space="preserve">Nursing Research</w:t>
      </w:r>
      <w:r>
        <w:t xml:space="preserve">,</w:t>
      </w:r>
      <w:r>
        <w:t xml:space="preserve"> </w:t>
      </w:r>
      <w:r>
        <w:rPr>
          <w:i/>
          <w:iCs/>
        </w:rPr>
        <w:t xml:space="preserve">43</w:t>
      </w:r>
      <w:r>
        <w:t xml:space="preserve">(1), 56–59.</w:t>
      </w:r>
    </w:p>
    <w:bookmarkEnd w:id="75"/>
    <w:bookmarkStart w:id="76" w:name="ref-moore2024wordform"/>
    <w:p>
      <w:pPr>
        <w:pStyle w:val="Bibliography"/>
      </w:pPr>
      <w:r>
        <w:t xml:space="preserve">Moore, C., &amp; Bergelson, E. (2024). Wordform variability in infants’ language environment and its effects on early word learning.</w:t>
      </w:r>
      <w:r>
        <w:t xml:space="preserve"> </w:t>
      </w:r>
      <w:r>
        <w:rPr>
          <w:i/>
          <w:iCs/>
        </w:rPr>
        <w:t xml:space="preserve">Cognition</w:t>
      </w:r>
      <w:r>
        <w:t xml:space="preserve">,</w:t>
      </w:r>
      <w:r>
        <w:t xml:space="preserve"> </w:t>
      </w:r>
      <w:r>
        <w:rPr>
          <w:i/>
          <w:iCs/>
        </w:rPr>
        <w:t xml:space="preserve">245</w:t>
      </w:r>
      <w:r>
        <w:t xml:space="preserve">, 105694.</w:t>
      </w:r>
    </w:p>
    <w:bookmarkEnd w:id="76"/>
    <w:bookmarkStart w:id="77" w:name="ref-nencheva2021moment"/>
    <w:p>
      <w:pPr>
        <w:pStyle w:val="Bibliography"/>
      </w:pPr>
      <w:r>
        <w:t xml:space="preserve">Nencheva, M. L., Piazza, E. A., &amp; Lew-Williams, C. (2021). The moment-to-moment pitch dynamics of child-directed speech shape toddlers’ attention and learning.</w:t>
      </w:r>
      <w:r>
        <w:t xml:space="preserve"> </w:t>
      </w:r>
      <w:r>
        <w:rPr>
          <w:i/>
          <w:iCs/>
        </w:rPr>
        <w:t xml:space="preserve">Developmental Science</w:t>
      </w:r>
      <w:r>
        <w:t xml:space="preserve">,</w:t>
      </w:r>
      <w:r>
        <w:t xml:space="preserve"> </w:t>
      </w:r>
      <w:r>
        <w:rPr>
          <w:i/>
          <w:iCs/>
        </w:rPr>
        <w:t xml:space="preserve">24</w:t>
      </w:r>
      <w:r>
        <w:t xml:space="preserve">(1), e12997.</w:t>
      </w:r>
    </w:p>
    <w:bookmarkEnd w:id="77"/>
    <w:bookmarkStart w:id="78" w:name="ref-ota2018choo"/>
    <w:p>
      <w:pPr>
        <w:pStyle w:val="Bibliography"/>
      </w:pPr>
      <w:r>
        <w:t xml:space="preserve">Ota, M., Davies-Jenkins, N., &amp; Skarabela, B. (2018). Why choo-choo is better than train: The role of register-specific words in early vocabulary growth.</w:t>
      </w:r>
      <w:r>
        <w:t xml:space="preserve"> </w:t>
      </w:r>
      <w:r>
        <w:rPr>
          <w:i/>
          <w:iCs/>
        </w:rPr>
        <w:t xml:space="preserve">Cognitive Science</w:t>
      </w:r>
      <w:r>
        <w:t xml:space="preserve">,</w:t>
      </w:r>
      <w:r>
        <w:t xml:space="preserve"> </w:t>
      </w:r>
      <w:r>
        <w:rPr>
          <w:i/>
          <w:iCs/>
        </w:rPr>
        <w:t xml:space="preserve">42</w:t>
      </w:r>
      <w:r>
        <w:t xml:space="preserve">(6), 1974–1999.</w:t>
      </w:r>
    </w:p>
    <w:bookmarkEnd w:id="78"/>
    <w:bookmarkStart w:id="79" w:name="ref-ota2016reduplicated"/>
    <w:p>
      <w:pPr>
        <w:pStyle w:val="Bibliography"/>
      </w:pPr>
      <w:r>
        <w:t xml:space="preserve">Ota, M., &amp; Skarabela, B. (2016). Reduplicated words are easier to learn.</w:t>
      </w:r>
      <w:r>
        <w:t xml:space="preserve"> </w:t>
      </w:r>
      <w:r>
        <w:rPr>
          <w:i/>
          <w:iCs/>
        </w:rPr>
        <w:t xml:space="preserve">Language Learning and Development</w:t>
      </w:r>
      <w:r>
        <w:t xml:space="preserve">,</w:t>
      </w:r>
      <w:r>
        <w:t xml:space="preserve"> </w:t>
      </w:r>
      <w:r>
        <w:rPr>
          <w:i/>
          <w:iCs/>
        </w:rPr>
        <w:t xml:space="preserve">12</w:t>
      </w:r>
      <w:r>
        <w:t xml:space="preserve">(4), 380–397.</w:t>
      </w:r>
    </w:p>
    <w:bookmarkEnd w:id="79"/>
    <w:bookmarkStart w:id="80" w:name="ref-ota2018reduplication"/>
    <w:p>
      <w:pPr>
        <w:pStyle w:val="Bibliography"/>
      </w:pPr>
      <w:r>
        <w:t xml:space="preserve">Ota, M., &amp; Skarabela, B. (2018). Reduplication facilitates early word segmentation.</w:t>
      </w:r>
      <w:r>
        <w:t xml:space="preserve"> </w:t>
      </w:r>
      <w:r>
        <w:rPr>
          <w:i/>
          <w:iCs/>
        </w:rPr>
        <w:t xml:space="preserve">Journal of Child Language</w:t>
      </w:r>
      <w:r>
        <w:t xml:space="preserve">,</w:t>
      </w:r>
      <w:r>
        <w:t xml:space="preserve"> </w:t>
      </w:r>
      <w:r>
        <w:rPr>
          <w:i/>
          <w:iCs/>
        </w:rPr>
        <w:t xml:space="preserve">45</w:t>
      </w:r>
      <w:r>
        <w:t xml:space="preserve">(1), 204–218.</w:t>
      </w:r>
    </w:p>
    <w:bookmarkEnd w:id="80"/>
    <w:bookmarkStart w:id="81" w:name="ref-pye1986quiche"/>
    <w:p>
      <w:pPr>
        <w:pStyle w:val="Bibliography"/>
      </w:pPr>
      <w:r>
        <w:t xml:space="preserve">Pye, C. (1986). Quich</w:t>
      </w:r>
      <w:r>
        <w:t xml:space="preserve">é</w:t>
      </w:r>
      <w:r>
        <w:t xml:space="preserve"> </w:t>
      </w:r>
      <w:r>
        <w:t xml:space="preserve">mayan speech to children.</w:t>
      </w:r>
      <w:r>
        <w:t xml:space="preserve"> </w:t>
      </w:r>
      <w:r>
        <w:rPr>
          <w:i/>
          <w:iCs/>
        </w:rPr>
        <w:t xml:space="preserve">Journal of Child Language</w:t>
      </w:r>
      <w:r>
        <w:t xml:space="preserve">,</w:t>
      </w:r>
      <w:r>
        <w:t xml:space="preserve"> </w:t>
      </w:r>
      <w:r>
        <w:rPr>
          <w:i/>
          <w:iCs/>
        </w:rPr>
        <w:t xml:space="preserve">13</w:t>
      </w:r>
      <w:r>
        <w:t xml:space="preserve">(1), 85–100.</w:t>
      </w:r>
    </w:p>
    <w:bookmarkEnd w:id="81"/>
    <w:bookmarkStart w:id="82" w:name="ref-quam2023protracted"/>
    <w:p>
      <w:pPr>
        <w:pStyle w:val="Bibliography"/>
      </w:pPr>
      <w:r>
        <w:t xml:space="preserve">Quam, C., &amp; Swingley, D. (2023). A protracted developmental trajectory for english-learning children’s detection of consonant mispronunciations in newly learned words.</w:t>
      </w:r>
      <w:r>
        <w:t xml:space="preserve"> </w:t>
      </w:r>
      <w:r>
        <w:rPr>
          <w:i/>
          <w:iCs/>
        </w:rPr>
        <w:t xml:space="preserve">Language Acquisition</w:t>
      </w:r>
      <w:r>
        <w:t xml:space="preserve">,</w:t>
      </w:r>
      <w:r>
        <w:t xml:space="preserve"> </w:t>
      </w:r>
      <w:r>
        <w:rPr>
          <w:i/>
          <w:iCs/>
        </w:rPr>
        <w:t xml:space="preserve">30</w:t>
      </w:r>
      <w:r>
        <w:t xml:space="preserve">(3-4), 256–276.</w:t>
      </w:r>
    </w:p>
    <w:bookmarkEnd w:id="82"/>
    <w:bookmarkStart w:id="83" w:name="ref-sarvasy2025child"/>
    <w:p>
      <w:pPr>
        <w:pStyle w:val="Bibliography"/>
      </w:pPr>
      <w:r>
        <w:t xml:space="preserve">Sarvasy, H., Rumsey, A., Dahmen, J., Onga, J., &amp; Yam, S. (2025). Child-directed speech in ku waru and nungon (papua new guinea).</w:t>
      </w:r>
      <w:r>
        <w:t xml:space="preserve"> </w:t>
      </w:r>
      <w:r>
        <w:rPr>
          <w:i/>
          <w:iCs/>
        </w:rPr>
        <w:t xml:space="preserve">Language Development Research</w:t>
      </w:r>
      <w:r>
        <w:t xml:space="preserve">,</w:t>
      </w:r>
      <w:r>
        <w:t xml:space="preserve"> </w:t>
      </w:r>
      <w:r>
        <w:rPr>
          <w:i/>
          <w:iCs/>
        </w:rPr>
        <w:t xml:space="preserve">5</w:t>
      </w:r>
      <w:r>
        <w:t xml:space="preserve">(3), 191–244.</w:t>
      </w:r>
    </w:p>
    <w:bookmarkEnd w:id="83"/>
    <w:bookmarkStart w:id="85" w:name="ref-procreate"/>
    <w:p>
      <w:pPr>
        <w:pStyle w:val="Bibliography"/>
      </w:pPr>
      <w:r>
        <w:t xml:space="preserve">Savage Interactive. (2025).</w:t>
      </w:r>
      <w:r>
        <w:t xml:space="preserve"> </w:t>
      </w:r>
      <w:r>
        <w:rPr>
          <w:i/>
          <w:iCs/>
        </w:rPr>
        <w:t xml:space="preserve">Procreate</w:t>
      </w:r>
      <w:r>
        <w:t xml:space="preserve"> </w:t>
      </w:r>
      <w:r>
        <w:t xml:space="preserve">(Version 5.3.15) [Computer software].</w:t>
      </w:r>
      <w:r>
        <w:t xml:space="preserve"> </w:t>
      </w:r>
      <w:r>
        <w:t xml:space="preserve">Savage Interactive Pty Ltd</w:t>
      </w:r>
      <w:r>
        <w:t xml:space="preserve">.</w:t>
      </w:r>
      <w:r>
        <w:t xml:space="preserve"> </w:t>
      </w:r>
      <w:hyperlink r:id="rId84">
        <w:r>
          <w:rPr>
            <w:rStyle w:val="Hyperlink"/>
          </w:rPr>
          <w:t xml:space="preserve">https://procreate.com/</w:t>
        </w:r>
      </w:hyperlink>
    </w:p>
    <w:bookmarkEnd w:id="85"/>
    <w:bookmarkStart w:id="86" w:name="ref-smith2008infant"/>
    <w:p>
      <w:pPr>
        <w:pStyle w:val="Bibliography"/>
      </w:pPr>
      <w:r>
        <w:t xml:space="preserve">Smith, N. A., &amp; Trainor, L. J. (2008). Infant-directed speech is modulated by infant feedback.</w:t>
      </w:r>
      <w:r>
        <w:t xml:space="preserve"> </w:t>
      </w:r>
      <w:r>
        <w:rPr>
          <w:i/>
          <w:iCs/>
        </w:rPr>
        <w:t xml:space="preserve">Infancy</w:t>
      </w:r>
      <w:r>
        <w:t xml:space="preserve">,</w:t>
      </w:r>
      <w:r>
        <w:t xml:space="preserve"> </w:t>
      </w:r>
      <w:r>
        <w:rPr>
          <w:i/>
          <w:iCs/>
        </w:rPr>
        <w:t xml:space="preserve">13</w:t>
      </w:r>
      <w:r>
        <w:t xml:space="preserve">(4), 410–420.</w:t>
      </w:r>
    </w:p>
    <w:bookmarkEnd w:id="86"/>
    <w:bookmarkStart w:id="87" w:name="ref-soderstrom2007beyond"/>
    <w:p>
      <w:pPr>
        <w:pStyle w:val="Bibliography"/>
      </w:pPr>
      <w:r>
        <w:t xml:space="preserve">Soderstrom, M. (2007). Beyond babytalk: Re-evaluating the nature and content of speech input to preverbal infants.</w:t>
      </w:r>
      <w:r>
        <w:t xml:space="preserve"> </w:t>
      </w:r>
      <w:r>
        <w:rPr>
          <w:i/>
          <w:iCs/>
        </w:rPr>
        <w:t xml:space="preserve">Developmental Review</w:t>
      </w:r>
      <w:r>
        <w:t xml:space="preserve">,</w:t>
      </w:r>
      <w:r>
        <w:t xml:space="preserve"> </w:t>
      </w:r>
      <w:r>
        <w:rPr>
          <w:i/>
          <w:iCs/>
        </w:rPr>
        <w:t xml:space="preserve">27</w:t>
      </w:r>
      <w:r>
        <w:t xml:space="preserve">(4), 501–532.</w:t>
      </w:r>
    </w:p>
    <w:bookmarkEnd w:id="87"/>
    <w:bookmarkStart w:id="89" w:name="ref-rstan"/>
    <w:p>
      <w:pPr>
        <w:pStyle w:val="Bibliography"/>
      </w:pPr>
      <w:r>
        <w:t xml:space="preserve">Stan Development Team. (2025).</w:t>
      </w:r>
      <w:r>
        <w:t xml:space="preserve"> </w:t>
      </w:r>
      <w:r>
        <w:rPr>
          <w:i/>
          <w:iCs/>
        </w:rPr>
        <w:t xml:space="preserve">RStan</w:t>
      </w:r>
      <w:r>
        <w:rPr>
          <w:i/>
          <w:iCs/>
        </w:rPr>
        <w:t xml:space="preserve">: The</w:t>
      </w:r>
      <w:r>
        <w:rPr>
          <w:i/>
          <w:iCs/>
        </w:rPr>
        <w:t xml:space="preserve"> </w:t>
      </w:r>
      <w:r>
        <w:rPr>
          <w:i/>
          <w:iCs/>
        </w:rPr>
        <w:t xml:space="preserve">R</w:t>
      </w:r>
      <w:r>
        <w:rPr>
          <w:i/>
          <w:iCs/>
        </w:rPr>
        <w:t xml:space="preserve"> </w:t>
      </w:r>
      <w:r>
        <w:rPr>
          <w:i/>
          <w:iCs/>
        </w:rPr>
        <w:t xml:space="preserve">interface to</w:t>
      </w:r>
      <w:r>
        <w:rPr>
          <w:i/>
          <w:iCs/>
        </w:rPr>
        <w:t xml:space="preserve"> </w:t>
      </w:r>
      <w:r>
        <w:rPr>
          <w:i/>
          <w:iCs/>
        </w:rPr>
        <w:t xml:space="preserve">Stan</w:t>
      </w:r>
      <w:r>
        <w:t xml:space="preserve">.</w:t>
      </w:r>
      <w:r>
        <w:t xml:space="preserve"> </w:t>
      </w:r>
      <w:hyperlink r:id="rId88">
        <w:r>
          <w:rPr>
            <w:rStyle w:val="Hyperlink"/>
          </w:rPr>
          <w:t xml:space="preserve">https://mc-stan.org/</w:t>
        </w:r>
      </w:hyperlink>
    </w:p>
    <w:bookmarkEnd w:id="89"/>
    <w:bookmarkStart w:id="90" w:name="ref-swingley2000spoken"/>
    <w:p>
      <w:pPr>
        <w:pStyle w:val="Bibliography"/>
      </w:pPr>
      <w:r>
        <w:t xml:space="preserve">Swingley, D., &amp; Aslin, R. N. (2000). Spoken word recognition and lexical representation in very young children.</w:t>
      </w:r>
      <w:r>
        <w:t xml:space="preserve"> </w:t>
      </w:r>
      <w:r>
        <w:rPr>
          <w:i/>
          <w:iCs/>
        </w:rPr>
        <w:t xml:space="preserve">Cognition</w:t>
      </w:r>
      <w:r>
        <w:t xml:space="preserve">,</w:t>
      </w:r>
      <w:r>
        <w:t xml:space="preserve"> </w:t>
      </w:r>
      <w:r>
        <w:rPr>
          <w:i/>
          <w:iCs/>
        </w:rPr>
        <w:t xml:space="preserve">76</w:t>
      </w:r>
      <w:r>
        <w:t xml:space="preserve">(2), 147–166.</w:t>
      </w:r>
    </w:p>
    <w:bookmarkEnd w:id="90"/>
    <w:bookmarkStart w:id="91" w:name="ref-tormene2009matching"/>
    <w:p>
      <w:pPr>
        <w:pStyle w:val="Bibliography"/>
      </w:pPr>
      <w:r>
        <w:t xml:space="preserve">Tormene, P., Giorgino, T., Quaglini, S., &amp; Stefanelli, M. (2009). Matching incomplete time series with dynamic time warping: An algorithm and an application to post-stroke rehabilitation.</w:t>
      </w:r>
      <w:r>
        <w:t xml:space="preserve"> </w:t>
      </w:r>
      <w:r>
        <w:rPr>
          <w:i/>
          <w:iCs/>
        </w:rPr>
        <w:t xml:space="preserve">Artificial Intelligence in Medicine</w:t>
      </w:r>
      <w:r>
        <w:t xml:space="preserve">,</w:t>
      </w:r>
      <w:r>
        <w:t xml:space="preserve"> </w:t>
      </w:r>
      <w:r>
        <w:rPr>
          <w:i/>
          <w:iCs/>
        </w:rPr>
        <w:t xml:space="preserve">45</w:t>
      </w:r>
      <w:r>
        <w:t xml:space="preserve">(1), 11–34.</w:t>
      </w:r>
    </w:p>
    <w:bookmarkEnd w:id="91"/>
    <w:bookmarkStart w:id="92" w:name="ref-wojcik2022map"/>
    <w:p>
      <w:pPr>
        <w:pStyle w:val="Bibliography"/>
      </w:pPr>
      <w:r>
        <w:t xml:space="preserve">Wojcik, E. H., Zettersten, M., &amp; Benitez, V. L. (2022). The map trap: Why and how word learning research should move beyond mapping.</w:t>
      </w:r>
      <w:r>
        <w:t xml:space="preserve"> </w:t>
      </w:r>
      <w:r>
        <w:rPr>
          <w:i/>
          <w:iCs/>
        </w:rPr>
        <w:t xml:space="preserve">Wiley Interdisciplinary Reviews: Cognitive Science</w:t>
      </w:r>
      <w:r>
        <w:t xml:space="preserve">,</w:t>
      </w:r>
      <w:r>
        <w:t xml:space="preserve"> </w:t>
      </w:r>
      <w:r>
        <w:rPr>
          <w:i/>
          <w:iCs/>
        </w:rPr>
        <w:t xml:space="preserve">13</w:t>
      </w:r>
      <w:r>
        <w:t xml:space="preserve">(4), e1596.</w:t>
      </w:r>
    </w:p>
    <w:bookmarkEnd w:id="92"/>
    <w:bookmarkStart w:id="94" w:name="ref-loo"/>
    <w:p>
      <w:pPr>
        <w:pStyle w:val="Bibliography"/>
      </w:pPr>
      <w:r>
        <w:t xml:space="preserve">Yao, Y., Vehtari, A., Simpson, D., &amp; Gelman, A. (2017). Using stacking to average bayesian predictive distributions.</w:t>
      </w:r>
      <w:r>
        <w:t xml:space="preserve"> </w:t>
      </w:r>
      <w:r>
        <w:rPr>
          <w:i/>
          <w:iCs/>
        </w:rPr>
        <w:t xml:space="preserve">Bayesian Analysis</w:t>
      </w:r>
      <w:r>
        <w:t xml:space="preserve">.</w:t>
      </w:r>
      <w:r>
        <w:t xml:space="preserve"> </w:t>
      </w:r>
      <w:hyperlink r:id="rId93">
        <w:r>
          <w:rPr>
            <w:rStyle w:val="Hyperlink"/>
          </w:rPr>
          <w:t xml:space="preserve">https://doi.org/10.1214/17-BA1091</w:t>
        </w:r>
      </w:hyperlink>
    </w:p>
    <w:bookmarkEnd w:id="94"/>
    <w:bookmarkEnd w:id="95"/>
    <w:bookmarkEnd w:id="96"/>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Beta regression was chosen to model the proportional dependent variable</w:t>
      </w:r>
      <w:r>
        <w:t xml:space="preserve"> </w:t>
      </w:r>
      <w:r>
        <w:t xml:space="preserve">(</w:t>
      </w:r>
      <w:hyperlink w:anchor="ref-cribari2010beta">
        <w:r>
          <w:rPr>
            <w:rStyle w:val="Hyperlink"/>
          </w:rPr>
          <w:t xml:space="preserve">Cribari-Neto &amp; Zeileis, 2010</w:t>
        </w:r>
      </w:hyperlink>
      <w:r>
        <w:t xml:space="preserve">)</w:t>
      </w:r>
      <w:r>
        <w:t xml:space="preserve">. Specifically, we used a zero-one-inflated model since 0s and 1s were common values in our data</w:t>
      </w:r>
      <w:r>
        <w:t xml:space="preserve"> </w:t>
      </w:r>
      <w:r>
        <w:t xml:space="preserve">(</w:t>
      </w:r>
      <w:hyperlink w:anchor="ref-liu2018review">
        <w:r>
          <w:rPr>
            <w:rStyle w:val="Hyperlink"/>
          </w:rPr>
          <w:t xml:space="preserve">Liu &amp; Eugenio, 2018</w:t>
        </w:r>
      </w:hyperlink>
      <w:r>
        <w:t xml:space="preserve">)</w:t>
      </w:r>
      <w:r>
        <w:t xml:space="preserve">. Note that this particular modeling approach requires a Bayesian framework to interpret. Importantly, this analytic approach allows us to quantify evidence in support of the null hypothesis, not simply against it. A frequentist beta regression using the</w:t>
      </w:r>
      <w:r>
        <w:t xml:space="preserve"> </w:t>
      </w:r>
      <w:r>
        <w:rPr>
          <w:rStyle w:val="VerbatimChar"/>
        </w:rPr>
        <w:t xml:space="preserve">glmmTMB</w:t>
      </w:r>
      <w:r>
        <w:t xml:space="preserve"> </w:t>
      </w:r>
      <w:r>
        <w:t xml:space="preserve">package</w:t>
      </w:r>
      <w:r>
        <w:t xml:space="preserve"> </w:t>
      </w:r>
      <w:r>
        <w:t xml:space="preserve">(</w:t>
      </w:r>
      <w:hyperlink w:anchor="ref-glmmTMB">
        <w:r>
          <w:rPr>
            <w:rStyle w:val="Hyperlink"/>
          </w:rPr>
          <w:t xml:space="preserve">Brooks et al., 2017</w:t>
        </w:r>
      </w:hyperlink>
      <w:r>
        <w:t xml:space="preserve">)</w:t>
      </w:r>
      <w:r>
        <w:t xml:space="preserve"> </w:t>
      </w:r>
      <w:r>
        <w:t xml:space="preserve">roughly approximated the same trend, but this approach is limited in two key ways: (a) this model cannot accurately capture boundary values</w:t>
      </w:r>
      <w:r>
        <w:t xml:space="preserve"> </w:t>
      </w:r>
      <w:r>
        <w:t xml:space="preserve">(see</w:t>
      </w:r>
      <w:r>
        <w:t xml:space="preserve"> </w:t>
      </w:r>
      <w:hyperlink w:anchor="ref-liu2018review">
        <w:r>
          <w:rPr>
            <w:rStyle w:val="Hyperlink"/>
          </w:rPr>
          <w:t xml:space="preserve">Liu &amp; Eugenio, 2018</w:t>
        </w:r>
      </w:hyperlink>
      <w:r>
        <w:t xml:space="preserve"> </w:t>
      </w:r>
      <w:r>
        <w:t xml:space="preserve">for relevant discussion)</w:t>
      </w:r>
      <w:r>
        <w:t xml:space="preserve">, and (b) the model fails to converge with the maximal random effects structure, which forced us to remove the random slope for condition and thus reduced our ability to detect within-subject effects of condition.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type="paragraph" w:customStyle="1" w:styleId="table-note">
    <w:name w:val="table-note"/>
    <w:basedOn w:val="BodyText"/>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21" Target="media/rId21.svg" /><Relationship Type="http://schemas.openxmlformats.org/officeDocument/2006/relationships/hyperlink" Id="rId93" Target="https://doi.org/10.1214/17-BA1091" TargetMode="External" /><Relationship Type="http://schemas.openxmlformats.org/officeDocument/2006/relationships/hyperlink" Id="rId56" Target="https://doi.org/10.18637/jss.v067.i01" TargetMode="External" /><Relationship Type="http://schemas.openxmlformats.org/officeDocument/2006/relationships/hyperlink" Id="rId59" Target="https://doi.org/10.32614/RJ-2017-066" TargetMode="External" /><Relationship Type="http://schemas.openxmlformats.org/officeDocument/2006/relationships/hyperlink" Id="rId88" Target="https://mc-stan.org/" TargetMode="External" /><Relationship Type="http://schemas.openxmlformats.org/officeDocument/2006/relationships/hyperlink" Id="rId25" Target="https://orcid.org/0000-0001-5326-3080" TargetMode="External" /><Relationship Type="http://schemas.openxmlformats.org/officeDocument/2006/relationships/hyperlink" Id="rId29" Target="https://orcid.org/0000-0002-8781-4458" TargetMode="External" /><Relationship Type="http://schemas.openxmlformats.org/officeDocument/2006/relationships/hyperlink" Id="rId30" Target="https://osf.io/uqz6d" TargetMode="External" /><Relationship Type="http://schemas.openxmlformats.org/officeDocument/2006/relationships/hyperlink" Id="rId84" Target="https://procreate.com/" TargetMode="External" /><Relationship Type="http://schemas.openxmlformats.org/officeDocument/2006/relationships/hyperlink" Id="rId31" Target="mailto:kcasey@princeton.edu" TargetMode="External" /></Relationships>
</file>

<file path=word/_rels/footnotes.xml.rels><?xml version="1.0" encoding="UTF-8"?><Relationships xmlns="http://schemas.openxmlformats.org/package/2006/relationships"><Relationship Type="http://schemas.openxmlformats.org/officeDocument/2006/relationships/hyperlink" Id="rId93" Target="https://doi.org/10.1214/17-BA1091" TargetMode="External" /><Relationship Type="http://schemas.openxmlformats.org/officeDocument/2006/relationships/hyperlink" Id="rId56" Target="https://doi.org/10.18637/jss.v067.i01" TargetMode="External" /><Relationship Type="http://schemas.openxmlformats.org/officeDocument/2006/relationships/hyperlink" Id="rId59" Target="https://doi.org/10.32614/RJ-2017-066" TargetMode="External" /><Relationship Type="http://schemas.openxmlformats.org/officeDocument/2006/relationships/hyperlink" Id="rId88" Target="https://mc-stan.org/" TargetMode="External" /><Relationship Type="http://schemas.openxmlformats.org/officeDocument/2006/relationships/hyperlink" Id="rId25" Target="https://orcid.org/0000-0001-5326-3080" TargetMode="External" /><Relationship Type="http://schemas.openxmlformats.org/officeDocument/2006/relationships/hyperlink" Id="rId29" Target="https://orcid.org/0000-0002-8781-4458" TargetMode="External" /><Relationship Type="http://schemas.openxmlformats.org/officeDocument/2006/relationships/hyperlink" Id="rId30" Target="https://osf.io/uqz6d" TargetMode="External" /><Relationship Type="http://schemas.openxmlformats.org/officeDocument/2006/relationships/hyperlink" Id="rId84" Target="https://procreate.com/" TargetMode="External" /><Relationship Type="http://schemas.openxmlformats.org/officeDocument/2006/relationships/hyperlink" Id="rId31" Target="mailto:kcasey@princeton.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LEARNING FROM CONSISTENT AND VARIABLE LABELS</dc:description>
  <cp:keywords>word learning, child-directed speech, wordplay, eye-tracking</cp:keywords>
  <dcterms:created xsi:type="dcterms:W3CDTF">2025-08-12T18:17:13Z</dcterms:created>
  <dcterms:modified xsi:type="dcterms:W3CDTF">2025-08-12T18:17:13Z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This document is a template.</vt:lpwstr>
  </property>
  <property fmtid="{D5CDD505-2E9C-101B-9397-08002B2CF9AE}" pid="5" name="apaauthor">
    <vt:lpwstr/>
  </property>
  <property fmtid="{D5CDD505-2E9C-101B-9397-08002B2CF9AE}" pid="6" name="apatitle">
    <vt:lpwstr>English-hearing toddlers learn words from consistent and variable labels</vt:lpwstr>
  </property>
  <property fmtid="{D5CDD505-2E9C-101B-9397-08002B2CF9AE}" pid="7" name="apatitledisplay">
    <vt:lpwstr>English-hearing toddlers learn words from consistent and variable labels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number-depth">
    <vt:lpwstr>3</vt:lpwstr>
  </property>
  <property fmtid="{D5CDD505-2E9C-101B-9397-08002B2CF9AE}" pid="28" name="numbersections">
    <vt:lpwstr>True</vt:lpwstr>
  </property>
  <property fmtid="{D5CDD505-2E9C-101B-9397-08002B2CF9AE}" pid="29" name="oneaffiliation">
    <vt:lpwstr>True</vt:lpwstr>
  </property>
  <property fmtid="{D5CDD505-2E9C-101B-9397-08002B2CF9AE}" pid="30" name="oneauthor">
    <vt:lpwstr>False</vt:lpwstr>
  </property>
  <property fmtid="{D5CDD505-2E9C-101B-9397-08002B2CF9AE}" pid="31" name="references">
    <vt:lpwstr/>
  </property>
  <property fmtid="{D5CDD505-2E9C-101B-9397-08002B2CF9AE}" pid="32" name="revealjs-plugins">
    <vt:lpwstr/>
  </property>
  <property fmtid="{D5CDD505-2E9C-101B-9397-08002B2CF9AE}" pid="33" name="shorttitle">
    <vt:lpwstr>LEARNING FROM CONSISTENT AND VARIABLE LABELS</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3134</vt:lpwstr>
  </property>
  <property fmtid="{D5CDD505-2E9C-101B-9397-08002B2CF9AE}" pid="61" name="zerocitations">
    <vt:lpwstr>False</vt:lpwstr>
  </property>
</Properties>
</file>