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9.png" ContentType="image/png"/>
  <Override PartName="/word/media/rId43.png" ContentType="image/png"/>
  <Override PartName="/word/media/rId48.png" ContentType="image/png"/>
  <Override PartName="/word/media/rId51.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Supplemental Materials for 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Correspondence concerning this article should be addressed to Kennedy Casey, Department of Psychology, Princeton University, 40 Woodlands Way, Princeton, NJ 08544, Email:</w:t>
      </w:r>
      <w:r>
        <w:t xml:space="preserve"> </w:t>
      </w:r>
      <w:hyperlink r:id="rId30">
        <w:r>
          <w:rPr>
            <w:rStyle w:val="Hyperlink"/>
          </w:rPr>
          <w:t xml:space="preserve">kcasey@princeton.edu</w:t>
        </w:r>
      </w:hyperlink>
    </w:p>
    <w:p>
      <w:r>
        <w:br w:type="page"/>
      </w:r>
    </w:p>
    <w:bookmarkEnd w:id="31"/>
    <w:bookmarkStart w:id="32" w:name="firstheader"/>
    <w:p>
      <w:pPr>
        <w:pStyle w:val="Heading1"/>
      </w:pPr>
      <w:r>
        <w:t xml:space="preserve">Supplemental Materials for English-hearing toddlers learn words from consistent and variable labels</w:t>
      </w:r>
    </w:p>
    <w:bookmarkEnd w:id="32"/>
    <w:bookmarkStart w:id="36" w:name="X2d3f67e0867a7b5f8b74bee4b87db45a20b3864"/>
    <w:p>
      <w:pPr>
        <w:pStyle w:val="Heading1"/>
      </w:pPr>
      <w:r>
        <w:t xml:space="preserve">1. Re-analyzing LWL accuracy: Zero-one-inflated beta regression analyses</w:t>
      </w:r>
    </w:p>
    <w:p>
      <w:pPr>
        <w:pStyle w:val="FirstParagraph"/>
      </w:pPr>
      <w:r>
        <w:t xml:space="preserve">Our primary analysis examined whether children successfully learned novel word–object mappings across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mixed-effects zero-one-inflated beta regression models to examine the effects of condition and age on children’s novel word-recognition accuracy (i.e., proportion looking to the target object). 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zero-one-inflated models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Models included fixed effects for condition (atypical variation vs. consistent vs. typical variation) and mean-centered age, along with the maximal random effects structure (by-participant and by-item random slopes and intercepts). Following our pre-registered analyses reported in the main text,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(ΔELPD=-1.35, ΔSE=3.53).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Results revealed that children’s performance was reliably above chance overall as well as in both critical windows across all conditions, except for the first critical window—the primary target of analysis in the vast majority of LWL studies</w:t>
      </w:r>
      <w:r>
        <w:t xml:space="preserve"> </w:t>
      </w:r>
      <w:r>
        <w:t xml:space="preserve">(e.g.,</w:t>
      </w:r>
      <w:r>
        <w:t xml:space="preserve"> </w:t>
      </w:r>
      <w:hyperlink w:anchor="ref-fernald2008looking">
        <w:r>
          <w:rPr>
            <w:rStyle w:val="Hyperlink"/>
          </w:rPr>
          <w:t xml:space="preserve">Fernald et al., 2008</w:t>
        </w:r>
      </w:hyperlink>
      <w:r>
        <w:t xml:space="preserve">)</w:t>
      </w:r>
      <w:r>
        <w:t xml:space="preserve">—for the atypical variation condition, where children’s looking behavior was at chance level (</w:t>
      </w:r>
      <w:r>
        <w:rPr>
          <w:i/>
          <w:iCs/>
        </w:rPr>
        <w:t xml:space="preserve">M</w:t>
      </w:r>
      <w:r>
        <w:t xml:space="preserve">=0.54, 89% CrI [0.48, 0.60]). This result replicates the key findings reported in the main text.</w:t>
      </w:r>
    </w:p>
    <w:p>
      <w:pPr>
        <w:pStyle w:val="BodyText"/>
      </w:pPr>
      <w:r>
        <w:t xml:space="preserve">Across both critical windows, model-predicted accuracy was highest in the typical variation condition (</w:t>
      </w:r>
      <w:r>
        <w:rPr>
          <w:i/>
          <w:iCs/>
        </w:rPr>
        <w:t xml:space="preserve">M</w:t>
      </w:r>
      <w:r>
        <w:t xml:space="preserve">=0.62, 89% CrI [0.57, 0.67]), followed by the consistent condition (</w:t>
      </w:r>
      <w:r>
        <w:rPr>
          <w:i/>
          <w:iCs/>
        </w:rPr>
        <w:t xml:space="preserve">M</w:t>
      </w:r>
      <w:r>
        <w:t xml:space="preserve">=0.57, 89% CrI [0.52, 0.63]), and lowest in the atypical variation condition (</w:t>
      </w:r>
      <w:r>
        <w:rPr>
          <w:i/>
          <w:iCs/>
        </w:rPr>
        <w:t xml:space="preserve">M</w:t>
      </w:r>
      <w:r>
        <w:t xml:space="preserve">=0.56, 89% CrI [0.51, 0.61]). The relative order of performance across conditions varies compared to the results reported in the main text, in part because</w:t>
      </w:r>
      <w:r>
        <w:t xml:space="preserve"> </w:t>
      </w:r>
      <w:r>
        <w:rPr>
          <w:rStyle w:val="VerbatimChar"/>
        </w:rPr>
        <w:t xml:space="preserve">brms</w:t>
      </w:r>
      <w:r>
        <w:t xml:space="preserve"> </w:t>
      </w:r>
      <w:r>
        <w:t xml:space="preserve">allows for model convergence with the maximal random effects structure.</w:t>
      </w:r>
      <w:r>
        <w:t xml:space="preserve"> </w:t>
      </w:r>
      <w:r>
        <w:rPr>
          <w:b/>
          <w:bCs/>
        </w:rPr>
        <w:t xml:space="preserve">Figure S1</w:t>
      </w:r>
      <w:r>
        <w:t xml:space="preserve"> </w:t>
      </w:r>
      <w:r>
        <w:t xml:space="preserve">shows model-predicted accuracy across conditions for the two critical windows.</w:t>
      </w:r>
      <w:r>
        <w:t xml:space="preserve"> </w:t>
      </w:r>
      <w:r>
        <w:rPr>
          <w:b/>
          <w:bCs/>
        </w:rPr>
        <w:t xml:space="preserve">Table S1</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S1. Posterior predicted accuracy by condition across both post-labeling time windows. Point ranges reflect posterior means with 89% credible intervals. Jittered dots show raw means for individual participants. Dotted line at 0.50 indicates chance looking." title="" id="34" name="Picture"/>
            <a:graphic>
              <a:graphicData uri="http://schemas.openxmlformats.org/drawingml/2006/picture">
                <pic:pic>
                  <pic:nvPicPr>
                    <pic:cNvPr descr="FigureS1.png" id="35" name="Picture"/>
                    <pic:cNvPicPr>
                      <a:picLocks noChangeArrowheads="1" noChangeAspect="1"/>
                    </pic:cNvPicPr>
                  </pic:nvPicPr>
                  <pic:blipFill>
                    <a:blip r:embed="rId3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S1. Posterior predicted accuracy by condition across both post-labeling time windows. Point ranges reflect posterior means with 89% credible intervals. Jittered dots show raw means for individual participants. Dotted line at 0.50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=0.07, 89% CrI: [-0.19, 0.32]) and the consistent condition (</w:t>
      </w:r>
      <w:r>
        <w:rPr>
          <w:i/>
          <w:iCs/>
        </w:rPr>
        <w:t xml:space="preserve">β</w:t>
      </w:r>
      <w:r>
        <w:t xml:space="preserve">=0.18,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=0.08, 89% CrI: [-0.03, 0.19]).</w:t>
      </w:r>
    </w:p>
    <w:p>
      <w:pPr>
        <w:pStyle w:val="BodyText"/>
      </w:pPr>
      <w:r>
        <w:t xml:space="preserve">The conditional one-inflation (coi) component, which estimates, among boundary values, the probability of being 1 (vs. 0), also showed similar trends for the effect of condition. Participants were more likely to respond at ceiling for both the typical variation condition (</w:t>
      </w:r>
      <w:r>
        <w:rPr>
          <w:i/>
          <w:iCs/>
        </w:rPr>
        <w:t xml:space="preserve">β</w:t>
      </w:r>
      <w:r>
        <w:t xml:space="preserve">=0.06, 89% CrI: [-0.36, 0.48]) and consistent condition (</w:t>
      </w:r>
      <w:r>
        <w:rPr>
          <w:i/>
          <w:iCs/>
        </w:rPr>
        <w:t xml:space="preserve">β</w:t>
      </w:r>
      <w:r>
        <w:t xml:space="preserve">=0.33, 89% CrI: [-0.11, 0.78]), relative to the atypical variation condition. While these condition effects remain uncertain given the credible interval overlap with zero, their alignment with estimates from the</w:t>
      </w:r>
      <w:r>
        <w:t xml:space="preserve"> </w:t>
      </w:r>
      <m:oMath>
        <m:r>
          <m:t>μ</m:t>
        </m:r>
      </m:oMath>
      <w:r>
        <w:t xml:space="preserve"> </w:t>
      </w:r>
      <w:r>
        <w:t xml:space="preserve">component suggests additional evidence for an advantage of both typical variation and consistency over atypical variation. The effect of age was clearly positive (</w:t>
      </w:r>
      <w:r>
        <w:rPr>
          <w:i/>
          <w:iCs/>
        </w:rPr>
        <w:t xml:space="preserve">β</w:t>
      </w:r>
      <w:r>
        <w:t xml:space="preserve">=0.34, 89% CrI: [0.15, 0.53]), indicating that older children were more likely to demonstrate 100% looking to the target object during the critical analysis windows.</w:t>
      </w:r>
    </w:p>
    <w:p>
      <w:pPr>
        <w:pStyle w:val="TableCaption"/>
      </w:pPr>
      <w:r>
        <w:t xml:space="preserve">Table S1. Posterior means and 89% credible intervals for each effect across models.</w:t>
      </w:r>
    </w:p>
    <w:tbl>
      <w:tblPr>
        <w:tblStyle w:val="Table"/>
        <w:tblW w:type="auto" w:w="0"/>
        <w:tblLook w:firstRow="1" w:lastRow="0" w:firstColumn="0" w:lastColumn="0" w:noHBand="0" w:noVBand="0" w:val="0020"/>
        <w:tblCaption w:val="Table S1.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300–2,000ms following each target word onset. The μ component models the predicted accuracy (i.e., proportion looking to the target object) for non-boundary values (values between but not including 0 or 1). The zoi (zero-one inflation) component models the likelihood of accuracy being a boundary value—floor (0) or ceiling (1). The coi (conditional-one inflation) component models the probability of ceiling responses (1s) among boundary values.</w:t>
      </w:r>
    </w:p>
    <w:p>
      <w:pPr>
        <w:pStyle w:val="BodyText"/>
      </w:pPr>
      <w:r>
        <w:t xml:space="preserve"> </w:t>
      </w:r>
    </w:p>
    <w:p>
      <w:pPr>
        <w:pStyle w:val="BodyText"/>
      </w:pPr>
      <w:r>
        <w:t xml:space="preserve">Condition effects were weakly positive but uncertain. For the typical variation condition, the estimated effect was 0.105, SD = 0.134, with a 89% credible interval from -0.109 to 0.319. For the consistent condition, the estimate was 0.117, SD = 0.12, 89% CI [-0.075, 0.309]. The effect of age was small (0.012, SD = 0.069), 89% CI [-0.099, 0.122].</w:t>
      </w:r>
    </w:p>
    <w:p>
      <w:pPr>
        <w:pStyle w:val="BodyText"/>
      </w:pPr>
      <w:r>
        <w:t xml:space="preserve">Posterior probabilities that each effect was greater than zero were: 0.81 for the effect of the typical variation condition (relative to atypical variation condition), 0.86 for the effect of the consistent condition (relative to the atypical variation condition), and 0.56 for the effect of age. These results suggest limited evidence that either input condition or age significantly affected performance, though the posterior distributions for all three predictors leaned slightly positive.</w:t>
      </w:r>
    </w:p>
    <w:bookmarkEnd w:id="36"/>
    <w:bookmarkStart w:id="47" w:name="lwl-window-effects"/>
    <w:p>
      <w:pPr>
        <w:pStyle w:val="Heading1"/>
      </w:pPr>
      <w:r>
        <w:t xml:space="preserve">2. LWL window effects</w:t>
      </w:r>
    </w:p>
    <w:bookmarkStart w:id="37" w:name="X184e3e3478f17ede81813de3834d75ff7f0546f"/>
    <w:p>
      <w:pPr>
        <w:pStyle w:val="Heading2"/>
      </w:pPr>
      <w:r>
        <w:t xml:space="preserve">2.1 Zero-one-inflated beta regression analyses</w:t>
      </w:r>
    </w:p>
    <w:p>
      <w:pPr>
        <w:pStyle w:val="FirstParagraph"/>
      </w:pPr>
      <w:r>
        <w:t xml:space="preserve">We fit separate models for each post-labeling window. In the early time window (following the first label), there were no strong condition effects. The posterior estimate for the typical variation condition relative to atypical variation was</w:t>
      </w:r>
      <w:r>
        <w:t xml:space="preserve"> </w:t>
      </w:r>
      <w:r>
        <w:rPr>
          <w:i/>
          <w:iCs/>
        </w:rPr>
        <w:t xml:space="preserve">β</w:t>
      </w:r>
      <w:r>
        <w:t xml:space="preserve"> </w:t>
      </w:r>
      <w:r>
        <w:t xml:space="preserve">= 0.11 (89% CrI: [-0.10, 0.31]). Similarly, the consistent condition estimate was</w:t>
      </w:r>
      <w:r>
        <w:t xml:space="preserve"> </w:t>
      </w:r>
      <w:r>
        <w:rPr>
          <w:i/>
          <w:iCs/>
        </w:rPr>
        <w:t xml:space="preserve">β</w:t>
      </w:r>
      <w:r>
        <w:t xml:space="preserve"> </w:t>
      </w:r>
      <w:r>
        <w:t xml:space="preserve">= 0.12 (89% CrI: [-0.07, 0.29]). These effects were small, and their credible intervals included zero.</w:t>
      </w:r>
    </w:p>
    <w:p>
      <w:pPr>
        <w:pStyle w:val="BodyText"/>
      </w:pPr>
      <w:r>
        <w:t xml:space="preserve">In the later window (following the second label), condition effects were also relatively weak. The estimate for the typical variation condition relative to atypical variation was</w:t>
      </w:r>
      <w:r>
        <w:t xml:space="preserve"> </w:t>
      </w:r>
      <w:r>
        <w:rPr>
          <w:i/>
          <w:iCs/>
        </w:rPr>
        <w:t xml:space="preserve">β</w:t>
      </w:r>
      <w:r>
        <w:t xml:space="preserve"> </w:t>
      </w:r>
      <w:r>
        <w:t xml:space="preserve">= -0.13 (89% CrI: [-0.39, 0.17]), and for the consistent condition:</w:t>
      </w:r>
      <w:r>
        <w:t xml:space="preserve"> </w:t>
      </w:r>
      <w:r>
        <w:rPr>
          <w:i/>
          <w:iCs/>
        </w:rPr>
        <w:t xml:space="preserve">β</w:t>
      </w:r>
      <w:r>
        <w:t xml:space="preserve"> </w:t>
      </w:r>
      <w:r>
        <w:t xml:space="preserve">= 0.15 (89% CrI: [-0.10, 0.35]).</w:t>
      </w:r>
    </w:p>
    <w:bookmarkEnd w:id="37"/>
    <w:bookmarkStart w:id="42" w:name="linear-mixed-effects-regression-analyses"/>
    <w:p>
      <w:pPr>
        <w:pStyle w:val="Heading2"/>
      </w:pPr>
      <w:r>
        <w:t xml:space="preserve">2.2 Linear mixed-effects regression analyses</w:t>
      </w:r>
    </w:p>
    <w:p>
      <w:pPr>
        <w:pStyle w:val="FirstParagraph"/>
      </w:pPr>
      <w:r>
        <w:t xml:space="preserve">In the main text, we reported effects from mixed-effects logistic regression models</w:t>
      </w:r>
      <w:r>
        <w:t xml:space="preserve"> </w:t>
      </w:r>
      <w:r>
        <w:t xml:space="preserve">(</w:t>
      </w:r>
      <w:hyperlink w:anchor="ref-lme4">
        <w:r>
          <w:rPr>
            <w:rStyle w:val="Hyperlink"/>
          </w:rPr>
          <w:t xml:space="preserve">Bates et al., 2015</w:t>
        </w:r>
      </w:hyperlink>
      <w:r>
        <w:t xml:space="preserve">)</w:t>
      </w:r>
      <w:r>
        <w:t xml:space="preserve"> </w:t>
      </w:r>
      <w:r>
        <w:t xml:space="preserve">predicting the average proportion of target looking across the two post-labeling windows (following our pre-registration). Adding post-labeling window to the base model</w:t>
      </w:r>
      <w:r>
        <w:rPr>
          <w:rStyle w:val="FootnoteReference"/>
        </w:rPr>
        <w:footnoteReference w:id="38"/>
      </w:r>
      <w:r>
        <w:t xml:space="preserve"> </w:t>
      </w:r>
      <w:r>
        <w:t xml:space="preserve">revealed no effect of window (</w:t>
      </w:r>
      <w:r>
        <w:rPr>
          <w:i/>
          <w:iCs/>
        </w:rPr>
        <w:t xml:space="preserve">β</w:t>
      </w:r>
      <w:r>
        <w:t xml:space="preserve"> </w:t>
      </w:r>
      <w:r>
        <w:t xml:space="preserve">= 0.10,</w:t>
      </w:r>
      <w:r>
        <w:t xml:space="preserve"> </w:t>
      </w:r>
      <w:r>
        <w:rPr>
          <w:i/>
          <w:iCs/>
        </w:rPr>
        <w:t xml:space="preserve">SE</w:t>
      </w:r>
      <w:r>
        <w:t xml:space="preserve"> </w:t>
      </w:r>
      <w:r>
        <w:t xml:space="preserve">= 0.14,</w:t>
      </w:r>
      <w:r>
        <w:t xml:space="preserve"> </w:t>
      </w:r>
      <w:r>
        <w:rPr>
          <w:i/>
          <w:iCs/>
        </w:rPr>
        <w:t xml:space="preserve">p</w:t>
      </w:r>
      <w:r>
        <w:t xml:space="preserve"> </w:t>
      </w:r>
      <w:r>
        <w:t xml:space="preserve">= 0.482). In addition, adding an interaction between window and condition did not significantly improve the model fit (</w:t>
      </w:r>
      <m:oMath>
        <m:sSup>
          <m:e>
            <m:r>
              <m:t>χ</m:t>
            </m:r>
          </m:e>
          <m:sup>
            <m:r>
              <m:t>2</m:t>
            </m:r>
          </m:sup>
        </m:sSup>
      </m:oMath>
      <w:r>
        <w:t xml:space="preserve">(2) = 0.54,</w:t>
      </w:r>
      <w:r>
        <w:t xml:space="preserve"> </w:t>
      </w:r>
      <w:r>
        <w:rPr>
          <w:i/>
          <w:iCs/>
        </w:rPr>
        <w:t xml:space="preserve">p</w:t>
      </w:r>
      <w:r>
        <w:t xml:space="preserve"> </w:t>
      </w:r>
      <w:r>
        <w:t xml:space="preserve">= 0.765).</w:t>
      </w:r>
      <w:r>
        <w:t xml:space="preserve"> </w:t>
      </w:r>
      <w:r>
        <w:rPr>
          <w:b/>
          <w:bCs/>
        </w:rPr>
        <w:t xml:space="preserve">Figure S2</w:t>
      </w:r>
      <w:r>
        <w:t xml:space="preserve"> </w:t>
      </w:r>
      <w:r>
        <w:t xml:space="preserve">shows model-predicted accuracy across conditions, separately for the two post-labeling windows.</w:t>
      </w:r>
    </w:p>
    <w:p>
      <w:pPr>
        <w:pStyle w:val="CaptionedFigure"/>
      </w:pPr>
      <w:r>
        <w:drawing>
          <wp:inline>
            <wp:extent cx="5943600" cy="3714749"/>
            <wp:effectExtent b="0" l="0" r="0" t="0"/>
            <wp:docPr descr="Figure S2. Model-predicted accuracy by condition across both post-labeling windows. Point ranges reflect estimated marginal means with 95% confidence intervals. Jittered dots show raw means for individual participants. The dashed line at 0.50 indicates chance performance." title="" id="40" name="Picture"/>
            <a:graphic>
              <a:graphicData uri="http://schemas.openxmlformats.org/drawingml/2006/picture">
                <pic:pic>
                  <pic:nvPicPr>
                    <pic:cNvPr descr="FigureS2.png" id="41" name="Picture"/>
                    <pic:cNvPicPr>
                      <a:picLocks noChangeArrowheads="1" noChangeAspect="1"/>
                    </pic:cNvPicPr>
                  </pic:nvPicPr>
                  <pic:blipFill>
                    <a:blip r:embed="rId39"/>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S2. Model-predicted accuracy by condition across both post-labeling windows. Point ranges reflect estimated marginal means with 95% confidence intervals. Jittered dots show raw means for individual participants. The dashed line at 0.50 indicates chance performance.</w:t>
      </w:r>
    </w:p>
    <w:bookmarkEnd w:id="42"/>
    <w:bookmarkStart w:id="46" w:name="cluster-based-permutation-analyses"/>
    <w:p>
      <w:pPr>
        <w:pStyle w:val="Heading2"/>
      </w:pPr>
      <w:r>
        <w:t xml:space="preserve">2.3 Cluster-based permutation analyses</w:t>
      </w:r>
    </w:p>
    <w:p>
      <w:pPr>
        <w:pStyle w:val="FirstParagraph"/>
      </w:pPr>
      <w:r>
        <w:t xml:space="preserve">A cluster-based permutation test</w:t>
      </w:r>
      <w:r>
        <w:t xml:space="preserve"> </w:t>
      </w:r>
      <w:r>
        <w:t xml:space="preserve">(</w:t>
      </w:r>
      <w:hyperlink w:anchor="ref-maris2007nonparametric">
        <w:r>
          <w:rPr>
            <w:rStyle w:val="Hyperlink"/>
          </w:rPr>
          <w:t xml:space="preserve">Maris &amp; Oostenveld, 2007</w:t>
        </w:r>
      </w:hyperlink>
      <w:r>
        <w:t xml:space="preserve">)</w:t>
      </w:r>
      <w:r>
        <w:t xml:space="preserve"> </w:t>
      </w:r>
      <w:r>
        <w:t xml:space="preserve">identified a marginal cluster from 350 to 400ms (AUC = 2.92), but this cluster did not reach significance compared to the permutation-based null distribution (p = 0.997), suggesting at most a weak and transient effect of condition.</w:t>
      </w:r>
      <w:r>
        <w:t xml:space="preserve"> </w:t>
      </w:r>
      <w:r>
        <w:rPr>
          <w:b/>
          <w:bCs/>
        </w:rPr>
        <w:t xml:space="preserve">Figure S3</w:t>
      </w:r>
      <w:r>
        <w:t xml:space="preserve"> </w:t>
      </w:r>
      <w:r>
        <w:t xml:space="preserve">shows the full timecourse of participants’ looks to the target object during test trials.</w:t>
      </w:r>
    </w:p>
    <w:p>
      <w:pPr>
        <w:pStyle w:val="CaptionedFigure"/>
      </w:pPr>
      <w:r>
        <w:drawing>
          <wp:inline>
            <wp:extent cx="5943600" cy="3714749"/>
            <wp:effectExtent b="0" l="0" r="0" t="0"/>
            <wp:docPr descr="Figure S3: Timecourse of participants’ looks during test trials with shaded standard error regions. The black dashed line at 0.50 represents chance looking. The gray shaded regions indicate the critical analysis windows (300-2000ms) following target word onset." title="" id="44" name="Picture"/>
            <a:graphic>
              <a:graphicData uri="http://schemas.openxmlformats.org/drawingml/2006/picture">
                <pic:pic>
                  <pic:nvPicPr>
                    <pic:cNvPr descr="FigureS3.png" id="45" name="Picture"/>
                    <pic:cNvPicPr>
                      <a:picLocks noChangeArrowheads="1" noChangeAspect="1"/>
                    </pic:cNvPicPr>
                  </pic:nvPicPr>
                  <pic:blipFill>
                    <a:blip r:embed="rId43"/>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S3: Timecourse of participants’ looks during test trials with shaded standard error regions. The black dashed line at 0.50 represents chance looking. The gray shaded regions indicate the critical analysis windows (300-2000ms) following target word onset.</w:t>
      </w:r>
    </w:p>
    <w:bookmarkEnd w:id="46"/>
    <w:bookmarkEnd w:id="47"/>
    <w:bookmarkStart w:id="54" w:name="alternative-pupillometry-analyses"/>
    <w:p>
      <w:pPr>
        <w:pStyle w:val="Heading1"/>
      </w:pPr>
      <w:r>
        <w:t xml:space="preserve">3. Alternative pupillometry analyses</w:t>
      </w:r>
    </w:p>
    <w:p>
      <w:pPr>
        <w:pStyle w:val="FirstParagraph"/>
      </w:pPr>
      <w:r>
        <w:t xml:space="preserve">Our main analyses compared toddlers’ pupil size synchrony during the two types of exposure sentences that differed between conditions. We include below effects taking into account all four types of exposure sentences, in which synchrony is highest for the consistent condition.</w:t>
      </w:r>
    </w:p>
    <w:p>
      <w:pPr>
        <w:pStyle w:val="CaptionedFigure"/>
      </w:pPr>
      <w:r>
        <w:drawing>
          <wp:inline>
            <wp:extent cx="5943600" cy="3714749"/>
            <wp:effectExtent b="0" l="0" r="0" t="0"/>
            <wp:docPr descr="Figure S4: Model-predicted sentence-level mean pupil size synchrony (z-scored) across conditions for all exposure sentences with 95% confidence intervals. Jittered points represent participant means." title="" id="49" name="Picture"/>
            <a:graphic>
              <a:graphicData uri="http://schemas.openxmlformats.org/drawingml/2006/picture">
                <pic:pic>
                  <pic:nvPicPr>
                    <pic:cNvPr descr="FigureS4.png" id="50" name="Picture"/>
                    <pic:cNvPicPr>
                      <a:picLocks noChangeArrowheads="1" noChangeAspect="1"/>
                    </pic:cNvPicPr>
                  </pic:nvPicPr>
                  <pic:blipFill>
                    <a:blip r:embed="rId48"/>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S4: Model-predicted sentence-level mean pupil size synchrony (z-scored) across conditions for all exposure sentences with 95% confidence intervals. Jittered points represent participant means.</w:t>
      </w:r>
    </w:p>
    <w:p>
      <w:pPr>
        <w:pStyle w:val="BodyText"/>
      </w:pPr>
      <w:r>
        <w:t xml:space="preserve">A one-way ANOVA revealed a significant main effect of condition on pupil size synchrony [</w:t>
      </w:r>
      <w:r>
        <w:rPr>
          <w:i/>
          <w:iCs/>
        </w:rPr>
        <w:t xml:space="preserve">F</w:t>
      </w:r>
      <w:r>
        <w:t xml:space="preserve">(2, 283) = 20.96,</w:t>
      </w:r>
      <w:r>
        <w:t xml:space="preserve"> </w:t>
      </w:r>
      <w:r>
        <w:rPr>
          <w:i/>
          <w:iCs/>
        </w:rPr>
        <w:t xml:space="preserve">p</w:t>
      </w:r>
      <w:r>
        <w:t xml:space="preserve"> </w:t>
      </w:r>
      <w:r>
        <w:t xml:space="preserve">&lt; 0.001]. Follow-up pairwise comparisons using Tukey’s HSD correction indicated that pupil size synchrony was significantly higher in the consistent condition compared to the typical variation (ΔM = 0.69,</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0.83) and atypical variation conditions (ΔM = 0.53,</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0.64;</w:t>
      </w:r>
      <w:r>
        <w:t xml:space="preserve"> </w:t>
      </w:r>
      <w:r>
        <w:rPr>
          <w:b/>
          <w:bCs/>
        </w:rPr>
        <w:t xml:space="preserve">Figure S4</w:t>
      </w:r>
      <w:r>
        <w:t xml:space="preserve">). No other pairwise comparisons were statistically significant (</w:t>
      </w:r>
      <w:r>
        <w:rPr>
          <w:i/>
          <w:iCs/>
        </w:rPr>
        <w:t xml:space="preserve">p</w:t>
      </w:r>
      <w:r>
        <w:t xml:space="preserve">s &gt; 0.05).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diagnostics indicated mild deviations from linearity and homogeneity of variance, as well as a cluster of influential observations, so results should be interpreted with caution.</w:t>
      </w:r>
    </w:p>
    <w:p>
      <w:pPr>
        <w:pStyle w:val="CaptionedFigure"/>
      </w:pPr>
      <w:r>
        <w:drawing>
          <wp:inline>
            <wp:extent cx="5943600" cy="3714749"/>
            <wp:effectExtent b="0" l="0" r="0" t="0"/>
            <wp:docPr descr="Figure S5: Model-predicted mean word-level pupil size synchrony (z-scored) across conditions with 95% confidence intervals. Jittered points represent participant means." title="" id="52" name="Picture"/>
            <a:graphic>
              <a:graphicData uri="http://schemas.openxmlformats.org/drawingml/2006/picture">
                <pic:pic>
                  <pic:nvPicPr>
                    <pic:cNvPr descr="FigureS5.png" id="53" name="Picture"/>
                    <pic:cNvPicPr>
                      <a:picLocks noChangeArrowheads="1" noChangeAspect="1"/>
                    </pic:cNvPicPr>
                  </pic:nvPicPr>
                  <pic:blipFill>
                    <a:blip r:embed="rId51"/>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S5: Model-predicted mean word-level pupil size synchrony (z-scored) across conditions with 95% confidence intervals. Jittered points represent participant means.</w:t>
      </w:r>
    </w:p>
    <w:p>
      <w:pPr>
        <w:pStyle w:val="BodyText"/>
      </w:pPr>
      <w:r>
        <w:t xml:space="preserve">We also examined pupil size synchrony at the word level, focusing on the same exposure sentences as the main text. A one-way ANOVA revealed a significant main effect of condition on pupil size synchrony [</w:t>
      </w:r>
      <w:r>
        <w:rPr>
          <w:i/>
          <w:iCs/>
        </w:rPr>
        <w:t xml:space="preserve">F</w:t>
      </w:r>
      <w:r>
        <w:t xml:space="preserve">(2, 314) = 20.22,</w:t>
      </w:r>
      <w:r>
        <w:t xml:space="preserve"> </w:t>
      </w:r>
      <w:r>
        <w:rPr>
          <w:i/>
          <w:iCs/>
        </w:rPr>
        <w:t xml:space="preserve">p</w:t>
      </w:r>
      <w:r>
        <w:t xml:space="preserve"> </w:t>
      </w:r>
      <w:r>
        <w:t xml:space="preserve">&lt; 0.001]. Follow-up pairwise comparisons using Tukey’s HSD correction indicated that, relative to the consistent condition, pupil size synchrony was significantly higher in the atypical variation condition condition (ΔM = 0.52,</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0.82) and descriptively higher (but not significantly higher) in the typical variation condition (ΔM = 0.11,</w:t>
      </w:r>
      <w:r>
        <w:t xml:space="preserve"> </w:t>
      </w:r>
      <w:r>
        <w:rPr>
          <w:i/>
          <w:iCs/>
        </w:rPr>
        <w:t xml:space="preserve">p</w:t>
      </w:r>
      <w:r>
        <w:t xml:space="preserve"> </w:t>
      </w:r>
      <w:r>
        <w:t xml:space="preserve">= 0.433, Cohen’s</w:t>
      </w:r>
      <w:r>
        <w:t xml:space="preserve"> </w:t>
      </w:r>
      <w:r>
        <w:rPr>
          <w:i/>
          <w:iCs/>
        </w:rPr>
        <w:t xml:space="preserve">d</w:t>
      </w:r>
      <w:r>
        <w:t xml:space="preserve"> </w:t>
      </w:r>
      <w:r>
        <w:t xml:space="preserve">= -0.17). Synchrony was also significantly higher in the atypical variation condition relative to the typical variation condition (ΔM = 0.41,</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0.65;</w:t>
      </w:r>
      <w:r>
        <w:t xml:space="preserve"> </w:t>
      </w:r>
      <w:r>
        <w:rPr>
          <w:b/>
          <w:bCs/>
        </w:rPr>
        <w:t xml:space="preserve">Figure S5</w:t>
      </w:r>
      <w:r>
        <w:t xml:space="preserve">).</w:t>
      </w:r>
    </w:p>
    <w:bookmarkEnd w:id="54"/>
    <w:bookmarkStart w:id="72" w:name="references"/>
    <w:p>
      <w:pPr>
        <w:pStyle w:val="Heading1"/>
      </w:pPr>
      <w:r>
        <w:t xml:space="preserve">4. References</w:t>
      </w:r>
    </w:p>
    <w:bookmarkStart w:id="71" w:name="refs"/>
    <w:bookmarkStart w:id="56"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5">
        <w:r>
          <w:rPr>
            <w:rStyle w:val="Hyperlink"/>
          </w:rPr>
          <w:t xml:space="preserve">https://doi.org/10.18637/jss.v067.i01</w:t>
        </w:r>
      </w:hyperlink>
    </w:p>
    <w:bookmarkEnd w:id="56"/>
    <w:bookmarkStart w:id="58" w:name="ref-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57">
        <w:r>
          <w:rPr>
            <w:rStyle w:val="Hyperlink"/>
          </w:rPr>
          <w:t xml:space="preserve">https://doi.org/10.18637/jss.v080.i01</w:t>
        </w:r>
      </w:hyperlink>
    </w:p>
    <w:bookmarkEnd w:id="58"/>
    <w:bookmarkStart w:id="60" w:name="ref-cribari2010beta"/>
    <w:p>
      <w:pPr>
        <w:pStyle w:val="Bibliography"/>
      </w:pPr>
      <w:r>
        <w:t xml:space="preserve">Cribari-Neto, F., &amp; Zeileis, A. (2010). Beta regression in</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34</w:t>
      </w:r>
      <w:r>
        <w:t xml:space="preserve">(1), 1–24.</w:t>
      </w:r>
      <w:r>
        <w:t xml:space="preserve"> </w:t>
      </w:r>
      <w:hyperlink r:id="rId59">
        <w:r>
          <w:rPr>
            <w:rStyle w:val="Hyperlink"/>
          </w:rPr>
          <w:t xml:space="preserve">https://doi.org/10.18637/jss.v034.i02</w:t>
        </w:r>
      </w:hyperlink>
    </w:p>
    <w:bookmarkEnd w:id="60"/>
    <w:bookmarkStart w:id="62"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r>
        <w:t xml:space="preserve"> </w:t>
      </w:r>
      <w:hyperlink r:id="rId61">
        <w:r>
          <w:rPr>
            <w:rStyle w:val="Hyperlink"/>
          </w:rPr>
          <w:t xml:space="preserve">https://doi.org/10.1075/lald.44.06fer</w:t>
        </w:r>
      </w:hyperlink>
    </w:p>
    <w:bookmarkEnd w:id="62"/>
    <w:bookmarkStart w:id="64" w:name="ref-liu2018review"/>
    <w:p>
      <w:pPr>
        <w:pStyle w:val="Bibliography"/>
      </w:pPr>
      <w:r>
        <w:t xml:space="preserve">Liu, F., &amp; Eugenio, E. C. (2018). A review and comparison of</w:t>
      </w:r>
      <w:r>
        <w:t xml:space="preserve"> </w:t>
      </w:r>
      <w:r>
        <w:t xml:space="preserve">B</w:t>
      </w:r>
      <w:r>
        <w:t xml:space="preserve">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r>
        <w:t xml:space="preserve"> </w:t>
      </w:r>
      <w:hyperlink r:id="rId63">
        <w:r>
          <w:rPr>
            <w:rStyle w:val="Hyperlink"/>
          </w:rPr>
          <w:t xml:space="preserve">https://doi.org/10.1177/0962280216650699</w:t>
        </w:r>
      </w:hyperlink>
    </w:p>
    <w:bookmarkEnd w:id="64"/>
    <w:bookmarkStart w:id="66" w:name="ref-maris2007nonparametric"/>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65">
        <w:r>
          <w:rPr>
            <w:rStyle w:val="Hyperlink"/>
          </w:rPr>
          <w:t xml:space="preserve">https://doi.org/10.1016/j.jneumeth.2007.03.024</w:t>
        </w:r>
      </w:hyperlink>
    </w:p>
    <w:bookmarkEnd w:id="66"/>
    <w:bookmarkStart w:id="68"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67">
        <w:r>
          <w:rPr>
            <w:rStyle w:val="Hyperlink"/>
          </w:rPr>
          <w:t xml:space="preserve">https://mc-stan.org/</w:t>
        </w:r>
      </w:hyperlink>
    </w:p>
    <w:bookmarkEnd w:id="68"/>
    <w:bookmarkStart w:id="70" w:name="ref-loo"/>
    <w:p>
      <w:pPr>
        <w:pStyle w:val="Bibliography"/>
      </w:pPr>
      <w:r>
        <w:t xml:space="preserve">Yao, Y., Vehtari, A., Simpson, D., &amp; Gelman, A. (2017). Using stacking to average</w:t>
      </w:r>
      <w:r>
        <w:t xml:space="preserve"> </w:t>
      </w:r>
      <w:r>
        <w:t xml:space="preserve">B</w:t>
      </w:r>
      <w:r>
        <w:t xml:space="preserve">ayesian predictive distributions.</w:t>
      </w:r>
      <w:r>
        <w:t xml:space="preserve"> </w:t>
      </w:r>
      <w:r>
        <w:rPr>
          <w:i/>
          <w:iCs/>
        </w:rPr>
        <w:t xml:space="preserve">Bayesian Analysis</w:t>
      </w:r>
      <w:r>
        <w:t xml:space="preserve">.</w:t>
      </w:r>
      <w:r>
        <w:t xml:space="preserve"> </w:t>
      </w:r>
      <w:hyperlink r:id="rId69">
        <w:r>
          <w:rPr>
            <w:rStyle w:val="Hyperlink"/>
          </w:rPr>
          <w:t xml:space="preserve">https://doi.org/10.1214/17-BA1091</w:t>
        </w:r>
      </w:hyperlink>
    </w:p>
    <w:bookmarkEnd w:id="70"/>
    <w:bookmarkEnd w:id="71"/>
    <w:bookmarkEnd w:id="7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glmer(prop. target looking ~ condition + window + age + (1 | id), family = binomial)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hyperlink" Id="rId65" Target="https://doi.org/10.1016/j.jneumeth.2007.03.024" TargetMode="External" /><Relationship Type="http://schemas.openxmlformats.org/officeDocument/2006/relationships/hyperlink" Id="rId61" Target="https://doi.org/10.1075/lald.44.06fer" TargetMode="External" /><Relationship Type="http://schemas.openxmlformats.org/officeDocument/2006/relationships/hyperlink" Id="rId63" Target="https://doi.org/10.1177/0962280216650699" TargetMode="External" /><Relationship Type="http://schemas.openxmlformats.org/officeDocument/2006/relationships/hyperlink" Id="rId69" Target="https://doi.org/10.1214/17-BA1091" TargetMode="External" /><Relationship Type="http://schemas.openxmlformats.org/officeDocument/2006/relationships/hyperlink" Id="rId59" Target="https://doi.org/10.18637/jss.v034.i02" TargetMode="External" /><Relationship Type="http://schemas.openxmlformats.org/officeDocument/2006/relationships/hyperlink" Id="rId55" Target="https://doi.org/10.18637/jss.v067.i01" TargetMode="External" /><Relationship Type="http://schemas.openxmlformats.org/officeDocument/2006/relationships/hyperlink" Id="rId57" Target="https://doi.org/10.18637/jss.v080.i01" TargetMode="External" /><Relationship Type="http://schemas.openxmlformats.org/officeDocument/2006/relationships/hyperlink" Id="rId67"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16/j.jneumeth.2007.03.024" TargetMode="External" /><Relationship Type="http://schemas.openxmlformats.org/officeDocument/2006/relationships/hyperlink" Id="rId61" Target="https://doi.org/10.1075/lald.44.06fer" TargetMode="External" /><Relationship Type="http://schemas.openxmlformats.org/officeDocument/2006/relationships/hyperlink" Id="rId63" Target="https://doi.org/10.1177/0962280216650699" TargetMode="External" /><Relationship Type="http://schemas.openxmlformats.org/officeDocument/2006/relationships/hyperlink" Id="rId69" Target="https://doi.org/10.1214/17-BA1091" TargetMode="External" /><Relationship Type="http://schemas.openxmlformats.org/officeDocument/2006/relationships/hyperlink" Id="rId59" Target="https://doi.org/10.18637/jss.v034.i02" TargetMode="External" /><Relationship Type="http://schemas.openxmlformats.org/officeDocument/2006/relationships/hyperlink" Id="rId55" Target="https://doi.org/10.18637/jss.v067.i01" TargetMode="External" /><Relationship Type="http://schemas.openxmlformats.org/officeDocument/2006/relationships/hyperlink" Id="rId57" Target="https://doi.org/10.18637/jss.v080.i01" TargetMode="External" /><Relationship Type="http://schemas.openxmlformats.org/officeDocument/2006/relationships/hyperlink" Id="rId67"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SM: LEARNING FROM CONSISTENT AND VARIABLE LABELS</dc:description>
  <cp:keywords/>
  <dcterms:created xsi:type="dcterms:W3CDTF">2026-01-27T22:39:01Z</dcterms:created>
  <dcterms:modified xsi:type="dcterms:W3CDTF">2026-01-27T22:39:01Z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 for English-hearing toddlers learn words from consistent and variable labels</vt:lpwstr>
  </property>
  <property fmtid="{D5CDD505-2E9C-101B-9397-08002B2CF9AE}" pid="6" name="apatitledisplay">
    <vt:lpwstr>Supplemental Materials for English-hearing toddlers learn words from consistent and variable labels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execute">
    <vt:lpwstr/>
  </property>
  <property fmtid="{D5CDD505-2E9C-101B-9397-08002B2CF9AE}" pid="16" name="fig-cap-location">
    <vt:lpwstr>top</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anguage">
    <vt:lpwstr/>
  </property>
  <property fmtid="{D5CDD505-2E9C-101B-9397-08002B2CF9AE}" pid="23" name="link-citations">
    <vt:lpwstr>True</vt:lpwstr>
  </property>
  <property fmtid="{D5CDD505-2E9C-101B-9397-08002B2CF9AE}" pid="24" name="no-ampersand-parenthetical">
    <vt:lpwstr>False</vt:lpwstr>
  </property>
  <property fmtid="{D5CDD505-2E9C-101B-9397-08002B2CF9AE}" pid="25" name="number-depth">
    <vt:lpwstr>3</vt:lpwstr>
  </property>
  <property fmtid="{D5CDD505-2E9C-101B-9397-08002B2CF9AE}" pid="26" name="numbersections">
    <vt:lpwstr>True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horttitle">
    <vt:lpwstr>SM: LEARNING FROM CONSISTENT AND VARIABLE LABELS</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1393</vt:lpwstr>
  </property>
  <property fmtid="{D5CDD505-2E9C-101B-9397-08002B2CF9AE}" pid="59" name="zerocitations">
    <vt:lpwstr>False</vt:lpwstr>
  </property>
</Properties>
</file>