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1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Facilitative effects of label variation on young children’s word learning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Kennedy Casey and Casey Lew-Williams</w:t>
      </w:r>
    </w:p>
    <w:p>
      <w:pPr>
        <w:pStyle w:val="Author"/>
      </w:pPr>
      <w:r>
        <w:t xml:space="preserve">Department of Psychology, Princeton University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8" w:name="author-note"/>
    <w:p>
      <w:pPr>
        <w:pStyle w:val="Heading1"/>
      </w:pPr>
      <w:r>
        <w:t xml:space="preserve">Author Note</w:t>
      </w:r>
    </w:p>
    <w:p>
      <w:pPr>
        <w:pStyle w:val="FirstParagraph"/>
      </w:pPr>
      <w:r>
        <w:t xml:space="preserve">Kennedy Casey</w:t>
      </w:r>
      <w:r>
        <w:t xml:space="preserve"> </w:t>
      </w:r>
      <w:bookmarkStart w:id="24" w:name="orchid"/>
      <w:r>
        <w:drawing>
          <wp:inline>
            <wp:extent cx="152279" cy="152279"/>
            <wp:effectExtent b="0" l="0" r="0" t="0"/>
            <wp:docPr descr="Orcid ID Logo: A green circle with white letters ID" title="" id="22" name="Picture"/>
            <a:graphic>
              <a:graphicData uri="http://schemas.openxmlformats.org/drawingml/2006/picture">
                <pic:pic>
                  <pic:nvPicPr>
                    <pic:cNvPr descr="_extensions/wjschne/apaquarto/ORCID-iD_icon-vector.svg" id="2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79" cy="152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4"/>
      <w:r>
        <w:t xml:space="preserve"> </w:t>
      </w:r>
      <w:r>
        <w:t xml:space="preserve">https://orcid.org/0000-0001-5326-3080</w:t>
      </w:r>
    </w:p>
    <w:p>
      <w:pPr>
        <w:pStyle w:val="BodyText"/>
      </w:pPr>
      <w:r>
        <w:t xml:space="preserve">Casey Lew-Williams</w:t>
      </w:r>
      <w:r>
        <w:t xml:space="preserve"> </w:t>
      </w:r>
      <w:bookmarkStart w:id="27" w:name="orchid"/>
      <w:r>
        <w:drawing>
          <wp:inline>
            <wp:extent cx="152279" cy="152279"/>
            <wp:effectExtent b="0" l="0" r="0" t="0"/>
            <wp:docPr descr="Orcid ID Logo: A green circle with white letters ID" title="" id="25" name="Picture"/>
            <a:graphic>
              <a:graphicData uri="http://schemas.openxmlformats.org/drawingml/2006/picture">
                <pic:pic>
                  <pic:nvPicPr>
                    <pic:cNvPr descr="_extensions/wjschne/apaquarto/ORCID-iD_icon-vector.svg" id="2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79" cy="152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7"/>
      <w:r>
        <w:t xml:space="preserve"> </w:t>
      </w:r>
      <w:r>
        <w:t xml:space="preserve">https://orcid.org/0000-0002-8781-4458</w:t>
      </w:r>
    </w:p>
    <w:p>
      <w:pPr>
        <w:pStyle w:val="BodyText"/>
      </w:pPr>
      <w:r>
        <w:t xml:space="preserve">Correspondence concerning this article should be addressed to Kennedy Casey, Department of Psychology, Princeton University, 40 Woodlands Way, Princeton, NJ 8544, USA, Email: kcasey@princeton.edu</w:t>
      </w:r>
    </w:p>
    <w:p>
      <w:r>
        <w:br w:type="page"/>
      </w:r>
    </w:p>
    <w:bookmarkEnd w:id="28"/>
    <w:bookmarkStart w:id="29" w:name="abstract"/>
    <w:p>
      <w:pPr>
        <w:pStyle w:val="Heading1"/>
      </w:pPr>
      <w:r>
        <w:t xml:space="preserve">Abstract</w:t>
      </w:r>
    </w:p>
    <w:p>
      <w:pPr>
        <w:pStyle w:val="AbstractFirstParagraph"/>
      </w:pPr>
      <w:r>
        <w:t xml:space="preserve">This document is a template.</w:t>
      </w:r>
    </w:p>
    <w:p>
      <w:pPr>
        <w:pStyle w:val="BodyText"/>
      </w:pPr>
      <w:r>
        <w:rPr>
          <w:i/>
          <w:iCs/>
        </w:rPr>
        <w:t xml:space="preserve">Keywords</w:t>
      </w:r>
      <w:r>
        <w:t xml:space="preserve">: word learning, child-directed speech, wordplay, eye-tracking</w:t>
      </w:r>
    </w:p>
    <w:p>
      <w:r>
        <w:br w:type="page"/>
      </w:r>
    </w:p>
    <w:bookmarkEnd w:id="29"/>
    <w:bookmarkStart w:id="30" w:name="firstheader"/>
    <w:p>
      <w:pPr>
        <w:pStyle w:val="Heading1"/>
      </w:pPr>
      <w:r>
        <w:t xml:space="preserve">Facilitative effects of label variation on young children’s word learning</w:t>
      </w:r>
    </w:p>
    <w:bookmarkEnd w:id="30"/>
    <w:bookmarkStart w:id="36" w:name="method"/>
    <w:p>
      <w:pPr>
        <w:pStyle w:val="Heading1"/>
      </w:pPr>
      <w:r>
        <w:t xml:space="preserve">Method</w:t>
      </w:r>
    </w:p>
    <w:p>
      <w:pPr>
        <w:pStyle w:val="FirstParagraph"/>
      </w:pPr>
      <w:r>
        <w:t xml:space="preserve">Pre-registered (</w:t>
      </w:r>
      <w:hyperlink r:id="rId31">
        <w:r>
          <w:rPr>
            <w:rStyle w:val="Hyperlink"/>
          </w:rPr>
          <w:t xml:space="preserve">(https://osf.io/uqz6d)</w:t>
        </w:r>
      </w:hyperlink>
      <w:r>
        <w:t xml:space="preserve">)</w:t>
      </w:r>
    </w:p>
    <w:bookmarkStart w:id="32" w:name="participants"/>
    <w:p>
      <w:pPr>
        <w:pStyle w:val="Heading2"/>
      </w:pPr>
      <w:r>
        <w:t xml:space="preserve">Participants</w:t>
      </w:r>
    </w:p>
    <w:p>
      <w:pPr>
        <w:pStyle w:val="FirstParagraph"/>
      </w:pPr>
      <w:r>
        <w:t xml:space="preserve">Participants (</w:t>
      </w:r>
      <w:r>
        <w:rPr>
          <w:i/>
          <w:iCs/>
        </w:rPr>
        <w:t xml:space="preserve">N</w:t>
      </w:r>
      <w:r>
        <w:t xml:space="preserve"> </w:t>
      </w:r>
      <w:r>
        <w:t xml:space="preserve">= 58, age range = 18–36 months,</w:t>
      </w:r>
      <w:r>
        <w:t xml:space="preserve"> </w:t>
      </w:r>
      <w:r>
        <w:rPr>
          <w:i/>
          <w:iCs/>
        </w:rPr>
        <w:t xml:space="preserve">M</w:t>
      </w:r>
      <w:r>
        <w:rPr>
          <w:vertAlign w:val="subscript"/>
        </w:rPr>
        <w:t xml:space="preserve">age</w:t>
      </w:r>
      <w:r>
        <w:t xml:space="preserve"> </w:t>
      </w:r>
      <w:r>
        <w:t xml:space="preserve">= 27.81) were full-term, monolingual English-hearing children (&gt;80% reported exposure) with no known hearing, vision, language, and/or developmental delays. Caregivers self-reported race/ethnicity information for their children in an open-ended format when they initially signed up for our volunteer database. Eleven (18.97% of the final sample) caregivers chose not to report this information. Participants were primarily Non-Latinx white (</w:t>
      </w:r>
      <w:r>
        <w:rPr>
          <w:i/>
          <w:iCs/>
        </w:rPr>
        <w:t xml:space="preserve">N</w:t>
      </w:r>
      <w:r>
        <w:t xml:space="preserve"> </w:t>
      </w:r>
      <w:r>
        <w:t xml:space="preserve">= 28, 48.28%) with some representation of other races/ethnicities: Mixed race (</w:t>
      </w:r>
      <w:r>
        <w:rPr>
          <w:i/>
          <w:iCs/>
        </w:rPr>
        <w:t xml:space="preserve">N</w:t>
      </w:r>
      <w:r>
        <w:t xml:space="preserve"> </w:t>
      </w:r>
      <w:r>
        <w:t xml:space="preserve">= 11, 18.97%), Asian (</w:t>
      </w:r>
      <w:r>
        <w:rPr>
          <w:i/>
          <w:iCs/>
        </w:rPr>
        <w:t xml:space="preserve">N</w:t>
      </w:r>
      <w:r>
        <w:t xml:space="preserve"> </w:t>
      </w:r>
      <w:r>
        <w:t xml:space="preserve">= 7, 12.07%), Black (</w:t>
      </w:r>
      <w:r>
        <w:rPr>
          <w:i/>
          <w:iCs/>
        </w:rPr>
        <w:t xml:space="preserve">N</w:t>
      </w:r>
      <w:r>
        <w:t xml:space="preserve"> </w:t>
      </w:r>
      <w:r>
        <w:t xml:space="preserve">= 1, 1.72%), 1 (</w:t>
      </w:r>
      <w:r>
        <w:rPr>
          <w:i/>
          <w:iCs/>
        </w:rPr>
        <w:t xml:space="preserve">N</w:t>
      </w:r>
      <w:r>
        <w:t xml:space="preserve"> </w:t>
      </w:r>
      <w:r>
        <w:t xml:space="preserve">= 1, 1.72%).</w:t>
      </w:r>
    </w:p>
    <w:p>
      <w:pPr>
        <w:pStyle w:val="BodyText"/>
      </w:pPr>
      <w:r>
        <w:t xml:space="preserve">The final sample size was pre-registered and determined using an a priori power analysis conducted in G*Power</w:t>
      </w:r>
      <w:r>
        <w:t xml:space="preserve"> </w:t>
      </w:r>
      <w:r>
        <w:t xml:space="preserve">(</w:t>
      </w:r>
      <w:hyperlink w:anchor="ref-faul2009statistical">
        <w:r>
          <w:rPr>
            <w:rStyle w:val="Hyperlink"/>
          </w:rPr>
          <w:t xml:space="preserve">Faul et al., 2009</w:t>
        </w:r>
      </w:hyperlink>
      <w:r>
        <w:t xml:space="preserve">)</w:t>
      </w:r>
      <w:r>
        <w:t xml:space="preserve"> </w:t>
      </w:r>
      <w:r>
        <w:t xml:space="preserve">and informed by prior eye-tracking studies with a similar age range</w:t>
      </w:r>
      <w:r>
        <w:t xml:space="preserve"> </w:t>
      </w:r>
      <w:r>
        <w:t xml:space="preserve">(</w:t>
      </w:r>
      <w:hyperlink w:anchor="ref-nencheva2021moment">
        <w:r>
          <w:rPr>
            <w:rStyle w:val="Hyperlink"/>
          </w:rPr>
          <w:t xml:space="preserve">Nencheva et al., 2021</w:t>
        </w:r>
      </w:hyperlink>
      <w:r>
        <w:t xml:space="preserve">;</w:t>
      </w:r>
      <w:r>
        <w:t xml:space="preserve"> </w:t>
      </w:r>
      <w:hyperlink w:anchor="ref-quam2023protracted">
        <w:r>
          <w:rPr>
            <w:rStyle w:val="Hyperlink"/>
          </w:rPr>
          <w:t xml:space="preserve">Quam &amp; Swingley, 2023</w:t>
        </w:r>
      </w:hyperlink>
      <w:r>
        <w:t xml:space="preserve">)</w:t>
      </w:r>
      <w:r>
        <w:t xml:space="preserve">. Thirty-three additional children participated but were excluded from the final analyses due to failure to meet the language requirement (</w:t>
      </w:r>
      <w:r>
        <w:rPr>
          <w:i/>
          <w:iCs/>
        </w:rPr>
        <w:t xml:space="preserve">N</w:t>
      </w:r>
      <w:r>
        <w:t xml:space="preserve"> </w:t>
      </w:r>
      <w:r>
        <w:t xml:space="preserve">= 1), refusal to wear sticker or complete calibration (</w:t>
      </w:r>
      <w:r>
        <w:rPr>
          <w:i/>
          <w:iCs/>
        </w:rPr>
        <w:t xml:space="preserve">N</w:t>
      </w:r>
      <w:r>
        <w:t xml:space="preserve"> </w:t>
      </w:r>
      <w:r>
        <w:t xml:space="preserve">= 7), significant interruption by family member (</w:t>
      </w:r>
      <w:r>
        <w:rPr>
          <w:i/>
          <w:iCs/>
        </w:rPr>
        <w:t xml:space="preserve">N</w:t>
      </w:r>
      <w:r>
        <w:t xml:space="preserve"> </w:t>
      </w:r>
      <w:r>
        <w:t xml:space="preserve">= 2), or contribution of too few usable trials based on pre-registered criteria (</w:t>
      </w:r>
      <w:r>
        <w:rPr>
          <w:i/>
          <w:iCs/>
        </w:rPr>
        <w:t xml:space="preserve">N</w:t>
      </w:r>
      <w:r>
        <w:t xml:space="preserve"> </w:t>
      </w:r>
      <w:r>
        <w:t xml:space="preserve">= 23).</w:t>
      </w:r>
    </w:p>
    <w:bookmarkEnd w:id="32"/>
    <w:bookmarkStart w:id="33" w:name="stimuli"/>
    <w:p>
      <w:pPr>
        <w:pStyle w:val="Heading2"/>
      </w:pPr>
      <w:r>
        <w:t xml:space="preserve">Stimuli</w:t>
      </w:r>
    </w:p>
    <w:p>
      <w:pPr>
        <w:pStyle w:val="FirstParagraph"/>
      </w:pPr>
      <w:r>
        <w:t xml:space="preserve">A female native English speaker recorded the auditory stimuli using child-directed prosody in a sound-attenuated room.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Standard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Redup_Typical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Redup_Atypical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Dim_Typical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Dim_Atypical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tanzer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/tæn.zɚ/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tan-tan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/tæn.tæn/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zer-zer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/zɚ.zɚ/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tanny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/tæn.i/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y-zer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/i.zɚ/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bogdum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/bɑg.dʌm/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bog-bog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/bɑg.bɑg/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dum-dum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/dʌm.dʌm/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boggy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/bɑg.i/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y-dum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/i.dʌm/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kaisol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/kaɪ.sɔl/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kai-kai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/kaɪ.kaɪ/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sol-sol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/sɔl.sɔl/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kaisy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/kaɪ.si/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y-sol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/i.sɔl/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mobet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/moʊ.bɪt/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mo-mo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/moʊ.moʊ/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bet-bet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/bɪt.bɪt/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moby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/moʊ.bi/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y-bet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/i.bɪt/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woifer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/wɔɪ.fɚ/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woi-woi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/wɔɪ.wɔɪ/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fer-fer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/fɚ.fɚ/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woify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/wɔɪ.fi/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y-fer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/i.fɚ/</w:t>
            </w:r>
          </w:p>
        </w:tc>
      </w:tr>
      <w:tr>
        <w:trPr>
          <w:trHeight w:val="360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voopin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/vu.pɪn/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voo-voo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/vu.vu/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pin-pin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/pɪn.pɪn/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voopy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/vu.pi/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y-pin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/i.pɪn/</w:t>
            </w:r>
          </w:p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624"/>
        <w:gridCol w:w="1760"/>
        <w:gridCol w:w="1760"/>
        <w:gridCol w:w="18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Reduplicated (typical)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Reduplicated (atypical)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Diminutivized (typical)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Diminutivized (atypical)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tanzer</w:t>
            </w:r>
            <w:r>
              <w:t xml:space="preserve">/tæn.zɚ/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tan-tan</w:t>
            </w:r>
            <w:r>
              <w:t xml:space="preserve">/tæn.tæn/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zer-zer</w:t>
            </w:r>
            <w:r>
              <w:t xml:space="preserve">/zɚ.zɚ/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tanny</w:t>
            </w:r>
            <w:r>
              <w:t xml:space="preserve">/tæn.i/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y-zer</w:t>
            </w:r>
            <w:r>
              <w:t xml:space="preserve">/i.zɚ/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bogdum</w:t>
            </w:r>
            <w:r>
              <w:t xml:space="preserve">/bɑg.dʌm/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bog-bog</w:t>
            </w:r>
            <w:r>
              <w:t xml:space="preserve">/bɑg.bɑg/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dum-dum</w:t>
            </w:r>
            <w:r>
              <w:t xml:space="preserve">/dʌm.dʌm/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boggy</w:t>
            </w:r>
            <w:r>
              <w:t xml:space="preserve">/bɑg.i/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y-dum</w:t>
            </w:r>
            <w:r>
              <w:t xml:space="preserve">/i.dʌm/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kaisol</w:t>
            </w:r>
            <w:r>
              <w:t xml:space="preserve">/kaɪ.sɔl/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kai-kai</w:t>
            </w:r>
            <w:r>
              <w:t xml:space="preserve">/kaɪ.kaɪ/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sol-sol</w:t>
            </w:r>
            <w:r>
              <w:t xml:space="preserve">/sɔl.sɔl/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kaisy</w:t>
            </w:r>
            <w:r>
              <w:t xml:space="preserve">/kaɪ.si/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y-sol</w:t>
            </w:r>
            <w:r>
              <w:t xml:space="preserve">/i.sɔl/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mobet</w:t>
            </w:r>
            <w:r>
              <w:t xml:space="preserve">/moʊ.bɪt/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mo-mo</w:t>
            </w:r>
            <w:r>
              <w:t xml:space="preserve">/moʊ.moʊ/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bet-bet</w:t>
            </w:r>
            <w:r>
              <w:t xml:space="preserve">/bɪt.bɪt/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moby</w:t>
            </w:r>
            <w:r>
              <w:t xml:space="preserve">/moʊ.bi/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y-bet</w:t>
            </w:r>
            <w:r>
              <w:t xml:space="preserve">/i.bɪt/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woifer</w:t>
            </w:r>
            <w:r>
              <w:t xml:space="preserve">/wɔɪ.fɚ/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woi-woi</w:t>
            </w:r>
            <w:r>
              <w:t xml:space="preserve">/wɔɪ.wɔɪ/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fer-fer</w:t>
            </w:r>
            <w:r>
              <w:t xml:space="preserve">/fɚ.fɚ/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woify</w:t>
            </w:r>
            <w:r>
              <w:t xml:space="preserve">/wɔɪ.fi/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y-fer</w:t>
            </w:r>
            <w:r>
              <w:t xml:space="preserve">/i.fɚ/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voopin</w:t>
            </w:r>
            <w:r>
              <w:t xml:space="preserve">/vu.pɪn/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voo-voo</w:t>
            </w:r>
            <w:r>
              <w:t xml:space="preserve">/vu.vu/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pin-pin</w:t>
            </w:r>
            <w:r>
              <w:t xml:space="preserve">/pɪn.pɪn/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voopy</w:t>
            </w:r>
            <w:r>
              <w:t xml:space="preserve">/vu.pi/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y-pin</w:t>
            </w:r>
            <w:r>
              <w:t xml:space="preserve">/i.pɪn/</w:t>
            </w:r>
          </w:p>
        </w:tc>
      </w:tr>
    </w:tbl>
    <w:p>
      <w:pPr>
        <w:pStyle w:val="BodyText"/>
      </w:pPr>
      <w:r>
        <w:t xml:space="preserve">The visual stimuli consisted of six isoluminant objects with 12 unique colors (two per object) that were modeled after</w:t>
      </w:r>
      <w:r>
        <w:t xml:space="preserve"> </w:t>
      </w:r>
      <w:r>
        <w:t xml:space="preserve">Nencheva et al. (</w:t>
      </w:r>
      <w:hyperlink w:anchor="ref-nencheva2021moment">
        <w:r>
          <w:rPr>
            <w:rStyle w:val="Hyperlink"/>
          </w:rPr>
          <w:t xml:space="preserve">2021</w:t>
        </w:r>
      </w:hyperlink>
      <w:r>
        <w:t xml:space="preserve">)</w:t>
      </w:r>
      <w:r>
        <w:t xml:space="preserve">’s stimuli and hand-drawn using Procreate software</w:t>
      </w:r>
      <w:r>
        <w:t xml:space="preserve"> </w:t>
      </w:r>
      <w:r>
        <w:t xml:space="preserve">(</w:t>
      </w:r>
      <w:hyperlink w:anchor="ref-procreate">
        <w:r>
          <w:rPr>
            <w:rStyle w:val="Hyperlink"/>
          </w:rPr>
          <w:t xml:space="preserve">Savage Interactive, 2025</w:t>
        </w:r>
      </w:hyperlink>
      <w:r>
        <w:t xml:space="preserve">)</w:t>
      </w:r>
      <w:r>
        <w:t xml:space="preserve">.</w:t>
      </w:r>
    </w:p>
    <w:bookmarkEnd w:id="33"/>
    <w:bookmarkStart w:id="34" w:name="procedure"/>
    <w:p>
      <w:pPr>
        <w:pStyle w:val="Heading2"/>
      </w:pPr>
      <w:r>
        <w:t xml:space="preserve">Procedure</w:t>
      </w:r>
    </w:p>
    <w:p>
      <w:pPr>
        <w:pStyle w:val="FirstParagraph"/>
      </w:pPr>
      <w:r>
        <w:t xml:space="preserve">Toddlers sat on their caregiver’s lap, approximately 60cm away from an EyeLink 1000 Plus eye-tracker, in a dimly-lit experiment room. Caregivers wore opague sunglasses to prevent them from influencing their children’s behavior. We used a simple 3-point calibration procedure.</w:t>
      </w:r>
    </w:p>
    <w:p>
      <w:pPr>
        <w:pStyle w:val="BodyText"/>
      </w:pPr>
      <w:r>
        <w:t xml:space="preserve">The experiment consisted of 3 blocks (one for each condition).</w:t>
      </w:r>
    </w:p>
    <w:p>
      <w:pPr>
        <w:pStyle w:val="BodyText"/>
      </w:pPr>
      <w:r>
        <w:t xml:space="preserve">During the training trials (4 per block), children saw</w:t>
      </w:r>
    </w:p>
    <w:p>
      <w:pPr>
        <w:pStyle w:val="BodyText"/>
      </w:pPr>
      <w:r>
        <w:t xml:space="preserve">During the test trials (4 per block)</w:t>
      </w:r>
    </w:p>
    <w:bookmarkEnd w:id="34"/>
    <w:bookmarkStart w:id="35" w:name="data-analysis"/>
    <w:p>
      <w:pPr>
        <w:pStyle w:val="Heading2"/>
      </w:pPr>
      <w:r>
        <w:t xml:space="preserve">Data analysis</w:t>
      </w:r>
    </w:p>
    <w:bookmarkEnd w:id="35"/>
    <w:bookmarkEnd w:id="36"/>
    <w:bookmarkStart w:id="37" w:name="results"/>
    <w:p>
      <w:pPr>
        <w:pStyle w:val="Heading1"/>
      </w:pPr>
      <w:r>
        <w:t xml:space="preserve">Results</w:t>
      </w:r>
    </w:p>
    <w:bookmarkEnd w:id="37"/>
    <w:bookmarkStart w:id="38" w:name="discussion"/>
    <w:p>
      <w:pPr>
        <w:pStyle w:val="Heading1"/>
      </w:pPr>
      <w:r>
        <w:t xml:space="preserve">Discussion</w:t>
      </w:r>
    </w:p>
    <w:bookmarkEnd w:id="38"/>
    <w:bookmarkStart w:id="39" w:name="conclusion"/>
    <w:p>
      <w:pPr>
        <w:pStyle w:val="Heading1"/>
      </w:pPr>
      <w:r>
        <w:t xml:space="preserve">Conclusion</w:t>
      </w:r>
    </w:p>
    <w:bookmarkEnd w:id="39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Start w:id="40" w:name="ref-faul2009statistical"/>
    <w:p>
      <w:pPr>
        <w:pStyle w:val="Bibliography"/>
      </w:pPr>
      <w:r>
        <w:t xml:space="preserve">Faul, F., Erdfelder, E., Buchner, A., &amp; Lang, A.-G. (2009). Statistical power analyses using g* power 3.1: Tests for correlation and regression analyses.</w:t>
      </w:r>
      <w:r>
        <w:t xml:space="preserve"> </w:t>
      </w:r>
      <w:r>
        <w:rPr>
          <w:i/>
          <w:iCs/>
        </w:rPr>
        <w:t xml:space="preserve">Behavior Research Methods</w:t>
      </w:r>
      <w:r>
        <w:t xml:space="preserve">,</w:t>
      </w:r>
      <w:r>
        <w:t xml:space="preserve"> </w:t>
      </w:r>
      <w:r>
        <w:rPr>
          <w:i/>
          <w:iCs/>
        </w:rPr>
        <w:t xml:space="preserve">41</w:t>
      </w:r>
      <w:r>
        <w:t xml:space="preserve">(4), 1149–1160.</w:t>
      </w:r>
    </w:p>
    <w:bookmarkEnd w:id="40"/>
    <w:bookmarkStart w:id="41" w:name="ref-nencheva2021moment"/>
    <w:p>
      <w:pPr>
        <w:pStyle w:val="Bibliography"/>
      </w:pPr>
      <w:r>
        <w:t xml:space="preserve">Nencheva, M. L., Piazza, E. A., &amp; Lew-Williams, C. (2021). The moment-to-moment pitch dynamics of child-directed speech shape toddlers’ attention and learning.</w:t>
      </w:r>
      <w:r>
        <w:t xml:space="preserve"> </w:t>
      </w:r>
      <w:r>
        <w:rPr>
          <w:i/>
          <w:iCs/>
        </w:rPr>
        <w:t xml:space="preserve">Developmental Science</w:t>
      </w:r>
      <w:r>
        <w:t xml:space="preserve">,</w:t>
      </w:r>
      <w:r>
        <w:t xml:space="preserve"> </w:t>
      </w:r>
      <w:r>
        <w:rPr>
          <w:i/>
          <w:iCs/>
        </w:rPr>
        <w:t xml:space="preserve">24</w:t>
      </w:r>
      <w:r>
        <w:t xml:space="preserve">(1), e12997.</w:t>
      </w:r>
    </w:p>
    <w:bookmarkEnd w:id="41"/>
    <w:bookmarkStart w:id="42" w:name="ref-quam2023protracted"/>
    <w:p>
      <w:pPr>
        <w:pStyle w:val="Bibliography"/>
      </w:pPr>
      <w:r>
        <w:t xml:space="preserve">Quam, C., &amp; Swingley, D. (2023). A protracted developmental trajectory for english-learning children’s detection of consonant mispronunciations in newly learned words.</w:t>
      </w:r>
      <w:r>
        <w:t xml:space="preserve"> </w:t>
      </w:r>
      <w:r>
        <w:rPr>
          <w:i/>
          <w:iCs/>
        </w:rPr>
        <w:t xml:space="preserve">Language Acquisition</w:t>
      </w:r>
      <w:r>
        <w:t xml:space="preserve">,</w:t>
      </w:r>
      <w:r>
        <w:t xml:space="preserve"> </w:t>
      </w:r>
      <w:r>
        <w:rPr>
          <w:i/>
          <w:iCs/>
        </w:rPr>
        <w:t xml:space="preserve">30</w:t>
      </w:r>
      <w:r>
        <w:t xml:space="preserve">(3-4), 256–276.</w:t>
      </w:r>
    </w:p>
    <w:bookmarkEnd w:id="42"/>
    <w:bookmarkStart w:id="44" w:name="ref-procreate"/>
    <w:p>
      <w:pPr>
        <w:pStyle w:val="Bibliography"/>
      </w:pPr>
      <w:r>
        <w:t xml:space="preserve">Savage Interactive. (2025).</w:t>
      </w:r>
      <w:r>
        <w:t xml:space="preserve"> </w:t>
      </w:r>
      <w:r>
        <w:rPr>
          <w:i/>
          <w:iCs/>
        </w:rPr>
        <w:t xml:space="preserve">Procreate</w:t>
      </w:r>
      <w:r>
        <w:t xml:space="preserve"> </w:t>
      </w:r>
      <w:r>
        <w:t xml:space="preserve">(Version 5.3.15) [Computer software].</w:t>
      </w:r>
      <w:r>
        <w:t xml:space="preserve"> </w:t>
      </w:r>
      <w:r>
        <w:t xml:space="preserve">Savage Interactive Pty Ltd</w:t>
      </w:r>
      <w:r>
        <w:t xml:space="preserve">.</w:t>
      </w:r>
      <w:r>
        <w:t xml:space="preserve"> </w:t>
      </w:r>
      <w:hyperlink r:id="rId43">
        <w:r>
          <w:rPr>
            <w:rStyle w:val="Hyperlink"/>
          </w:rPr>
          <w:t xml:space="preserve">https://procreate.com/</w:t>
        </w:r>
      </w:hyperlink>
    </w:p>
    <w:bookmarkEnd w:id="44"/>
    <w:bookmarkEnd w:id="45"/>
    <w:bookmarkEnd w:id="46"/>
    <w:bookmarkStart w:id="47" w:name="funding"/>
    <w:p>
      <w:pPr>
        <w:pStyle w:val="Heading1"/>
      </w:pPr>
      <w:r>
        <w:t xml:space="preserve">Funding</w:t>
      </w:r>
    </w:p>
    <w:p>
      <w:pPr>
        <w:pStyle w:val="FirstParagraph"/>
      </w:pPr>
      <w:r>
        <w:t xml:space="preserve">This research was supported by a XXX awarded to CLW (XXX) and a National Science Foundation Graduate Research Fellowship awarded to KC. Additional personnel support was provided by the Princeton University Office of Undergraduate Research.</w:t>
      </w:r>
    </w:p>
    <w:bookmarkEnd w:id="47"/>
    <w:bookmarkStart w:id="48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We are grateful to the participating families as well as the members of the Princeton Baby Lab for their feedback on this work.</w:t>
      </w:r>
    </w:p>
    <w:bookmarkEnd w:id="48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image" Id="rId21" Target="media/rId21.svg" /><Relationship Type="http://schemas.openxmlformats.org/officeDocument/2006/relationships/hyperlink" Id="rId31" Target="https://osf.io/uqz6d" TargetMode="External" /><Relationship Type="http://schemas.openxmlformats.org/officeDocument/2006/relationships/hyperlink" Id="rId43" Target="https://procreate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osf.io/uqz6d" TargetMode="External" /><Relationship Type="http://schemas.openxmlformats.org/officeDocument/2006/relationships/hyperlink" Id="rId43" Target="https://procreate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EFFECTS OF LABEL VARIATION ON WORD LEARNING</dc:description>
  <cp:keywords>word learning, child-directed speech, wordplay, eye-tracking</cp:keywords>
  <dcterms:created xsi:type="dcterms:W3CDTF">2025-07-21T19:58:36Z</dcterms:created>
  <dcterms:modified xsi:type="dcterms:W3CDTF">2025-07-21T19:58:36Z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ffiliationsdifferent">
    <vt:lpwstr>False</vt:lpwstr>
  </property>
  <property fmtid="{D5CDD505-2E9C-101B-9397-08002B2CF9AE}" pid="4" name="apaabstract">
    <vt:lpwstr>This document is a template.</vt:lpwstr>
  </property>
  <property fmtid="{D5CDD505-2E9C-101B-9397-08002B2CF9AE}" pid="5" name="apaauthor">
    <vt:lpwstr/>
  </property>
  <property fmtid="{D5CDD505-2E9C-101B-9397-08002B2CF9AE}" pid="6" name="apatitle">
    <vt:lpwstr>Facilitative effects of label variation on young children’s word learning</vt:lpwstr>
  </property>
  <property fmtid="{D5CDD505-2E9C-101B-9397-08002B2CF9AE}" pid="7" name="apatitledisplay">
    <vt:lpwstr>Facilitative effects of label variation on young children’s word learning</vt:lpwstr>
  </property>
  <property fmtid="{D5CDD505-2E9C-101B-9397-08002B2CF9AE}" pid="8" name="author-note">
    <vt:lpwstr/>
  </property>
  <property fmtid="{D5CDD505-2E9C-101B-9397-08002B2CF9AE}" pid="9" name="authors">
    <vt:lpwstr/>
  </property>
  <property fmtid="{D5CDD505-2E9C-101B-9397-08002B2CF9AE}" pid="10" name="biblio-config">
    <vt:lpwstr>True</vt:lpwstr>
  </property>
  <property fmtid="{D5CDD505-2E9C-101B-9397-08002B2CF9AE}" pid="11" name="by-affiliation">
    <vt:lpwstr/>
  </property>
  <property fmtid="{D5CDD505-2E9C-101B-9397-08002B2CF9AE}" pid="12" name="by-author">
    <vt:lpwstr/>
  </property>
  <property fmtid="{D5CDD505-2E9C-101B-9397-08002B2CF9AE}" pid="13" name="cap-location">
    <vt:lpwstr>top</vt:lpwstr>
  </property>
  <property fmtid="{D5CDD505-2E9C-101B-9397-08002B2CF9AE}" pid="14" name="csl">
    <vt:lpwstr>_extensions/wjschne/apaquarto/apa.csl</vt:lpwstr>
  </property>
  <property fmtid="{D5CDD505-2E9C-101B-9397-08002B2CF9AE}" pid="15" name="documentmode">
    <vt:lpwstr>man</vt:lpwstr>
  </property>
  <property fmtid="{D5CDD505-2E9C-101B-9397-08002B2CF9AE}" pid="16" name="execute">
    <vt:lpwstr/>
  </property>
  <property fmtid="{D5CDD505-2E9C-101B-9397-08002B2CF9AE}" pid="17" name="fig-cap-location">
    <vt:lpwstr>top</vt:lpwstr>
  </property>
  <property fmtid="{D5CDD505-2E9C-101B-9397-08002B2CF9AE}" pid="18" name="header-includes">
    <vt:lpwstr/>
  </property>
  <property fmtid="{D5CDD505-2E9C-101B-9397-08002B2CF9AE}" pid="19" name="include-after">
    <vt:lpwstr/>
  </property>
  <property fmtid="{D5CDD505-2E9C-101B-9397-08002B2CF9AE}" pid="20" name="include-before">
    <vt:lpwstr/>
  </property>
  <property fmtid="{D5CDD505-2E9C-101B-9397-08002B2CF9AE}" pid="21" name="knitr">
    <vt:lpwstr/>
  </property>
  <property fmtid="{D5CDD505-2E9C-101B-9397-08002B2CF9AE}" pid="22" name="labels">
    <vt:lpwstr/>
  </property>
  <property fmtid="{D5CDD505-2E9C-101B-9397-08002B2CF9AE}" pid="23" name="language">
    <vt:lpwstr/>
  </property>
  <property fmtid="{D5CDD505-2E9C-101B-9397-08002B2CF9AE}" pid="24" name="link-citations">
    <vt:lpwstr>True</vt:lpwstr>
  </property>
  <property fmtid="{D5CDD505-2E9C-101B-9397-08002B2CF9AE}" pid="25" name="no-ampersand-parenthetical">
    <vt:lpwstr>False</vt:lpwstr>
  </property>
  <property fmtid="{D5CDD505-2E9C-101B-9397-08002B2CF9AE}" pid="26" name="oneaffiliation">
    <vt:lpwstr>True</vt:lpwstr>
  </property>
  <property fmtid="{D5CDD505-2E9C-101B-9397-08002B2CF9AE}" pid="27" name="oneauthor">
    <vt:lpwstr>False</vt:lpwstr>
  </property>
  <property fmtid="{D5CDD505-2E9C-101B-9397-08002B2CF9AE}" pid="28" name="references">
    <vt:lpwstr/>
  </property>
  <property fmtid="{D5CDD505-2E9C-101B-9397-08002B2CF9AE}" pid="29" name="revealjs-plugins">
    <vt:lpwstr/>
  </property>
  <property fmtid="{D5CDD505-2E9C-101B-9397-08002B2CF9AE}" pid="30" name="shorttitle">
    <vt:lpwstr>EFFECTS OF LABEL VARIATION ON WORD LEARNING</vt:lpwstr>
  </property>
  <property fmtid="{D5CDD505-2E9C-101B-9397-08002B2CF9AE}" pid="31" name="suppress-abstract">
    <vt:lpwstr>False</vt:lpwstr>
  </property>
  <property fmtid="{D5CDD505-2E9C-101B-9397-08002B2CF9AE}" pid="32" name="suppress-affiliation">
    <vt:lpwstr>False</vt:lpwstr>
  </property>
  <property fmtid="{D5CDD505-2E9C-101B-9397-08002B2CF9AE}" pid="33" name="suppress-author">
    <vt:lpwstr>False</vt:lpwstr>
  </property>
  <property fmtid="{D5CDD505-2E9C-101B-9397-08002B2CF9AE}" pid="34" name="suppress-author-note">
    <vt:lpwstr>False</vt:lpwstr>
  </property>
  <property fmtid="{D5CDD505-2E9C-101B-9397-08002B2CF9AE}" pid="35" name="suppress-corresponding-address">
    <vt:lpwstr>False</vt:lpwstr>
  </property>
  <property fmtid="{D5CDD505-2E9C-101B-9397-08002B2CF9AE}" pid="36" name="suppress-corresponding-affiliation-name">
    <vt:lpwstr>False</vt:lpwstr>
  </property>
  <property fmtid="{D5CDD505-2E9C-101B-9397-08002B2CF9AE}" pid="37" name="suppress-corresponding-city">
    <vt:lpwstr>False</vt:lpwstr>
  </property>
  <property fmtid="{D5CDD505-2E9C-101B-9397-08002B2CF9AE}" pid="38" name="suppress-corresponding-department">
    <vt:lpwstr>False</vt:lpwstr>
  </property>
  <property fmtid="{D5CDD505-2E9C-101B-9397-08002B2CF9AE}" pid="39" name="suppress-corresponding-email">
    <vt:lpwstr>False</vt:lpwstr>
  </property>
  <property fmtid="{D5CDD505-2E9C-101B-9397-08002B2CF9AE}" pid="40" name="suppress-corresponding-group">
    <vt:lpwstr>False</vt:lpwstr>
  </property>
  <property fmtid="{D5CDD505-2E9C-101B-9397-08002B2CF9AE}" pid="41" name="suppress-corresponding-paragraph">
    <vt:lpwstr>False</vt:lpwstr>
  </property>
  <property fmtid="{D5CDD505-2E9C-101B-9397-08002B2CF9AE}" pid="42" name="suppress-corresponding-postal-code">
    <vt:lpwstr>False</vt:lpwstr>
  </property>
  <property fmtid="{D5CDD505-2E9C-101B-9397-08002B2CF9AE}" pid="43" name="suppress-corresponding-region">
    <vt:lpwstr>False</vt:lpwstr>
  </property>
  <property fmtid="{D5CDD505-2E9C-101B-9397-08002B2CF9AE}" pid="44" name="suppress-credit-statement">
    <vt:lpwstr>False</vt:lpwstr>
  </property>
  <property fmtid="{D5CDD505-2E9C-101B-9397-08002B2CF9AE}" pid="45" name="suppress-disclosures-paragraph">
    <vt:lpwstr>False</vt:lpwstr>
  </property>
  <property fmtid="{D5CDD505-2E9C-101B-9397-08002B2CF9AE}" pid="46" name="suppress-impact-statement">
    <vt:lpwstr>False</vt:lpwstr>
  </property>
  <property fmtid="{D5CDD505-2E9C-101B-9397-08002B2CF9AE}" pid="47" name="suppress-keywords">
    <vt:lpwstr>False</vt:lpwstr>
  </property>
  <property fmtid="{D5CDD505-2E9C-101B-9397-08002B2CF9AE}" pid="48" name="suppress-orcid">
    <vt:lpwstr>False</vt:lpwstr>
  </property>
  <property fmtid="{D5CDD505-2E9C-101B-9397-08002B2CF9AE}" pid="49" name="suppress-short-title">
    <vt:lpwstr>False</vt:lpwstr>
  </property>
  <property fmtid="{D5CDD505-2E9C-101B-9397-08002B2CF9AE}" pid="50" name="suppress-status-change-paragraph">
    <vt:lpwstr>False</vt:lpwstr>
  </property>
  <property fmtid="{D5CDD505-2E9C-101B-9397-08002B2CF9AE}" pid="51" name="suppress-title">
    <vt:lpwstr>False</vt:lpwstr>
  </property>
  <property fmtid="{D5CDD505-2E9C-101B-9397-08002B2CF9AE}" pid="52" name="suppress-title-introduction">
    <vt:lpwstr>False</vt:lpwstr>
  </property>
  <property fmtid="{D5CDD505-2E9C-101B-9397-08002B2CF9AE}" pid="53" name="suppress-title-page">
    <vt:lpwstr>False</vt:lpwstr>
  </property>
  <property fmtid="{D5CDD505-2E9C-101B-9397-08002B2CF9AE}" pid="54" name="suppress-title-page-number">
    <vt:lpwstr>False</vt:lpwstr>
  </property>
  <property fmtid="{D5CDD505-2E9C-101B-9397-08002B2CF9AE}" pid="55" name="tbl-cap-location">
    <vt:lpwstr>top</vt:lpwstr>
  </property>
  <property fmtid="{D5CDD505-2E9C-101B-9397-08002B2CF9AE}" pid="56" name="toc-title">
    <vt:lpwstr>Table of contents</vt:lpwstr>
  </property>
  <property fmtid="{D5CDD505-2E9C-101B-9397-08002B2CF9AE}" pid="57" name="zerocitations">
    <vt:lpwstr>False</vt:lpwstr>
  </property>
</Properties>
</file>