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4332"/>
          <w:sz w:val="38"/>
        </w:rPr>
        <w:t>SharePoint / Microsoft 365 setup for the kitchen apps</w:t>
      </w:r>
    </w:p>
    <w:p>
      <w:pPr>
        <w:spacing w:after="240"/>
      </w:pPr>
      <w:r>
        <w:rPr>
          <w:color w:val="6D7C73"/>
          <w:sz w:val="18"/>
        </w:rPr>
        <w:t>From: Jason Kennedy, Kitchen Operations   ·   For: CONC IT   ·   July 7, 2026</w:t>
      </w:r>
    </w:p>
    <w:p>
      <w:pPr>
        <w:spacing w:before="240" w:after="80"/>
      </w:pPr>
      <w:r>
        <w:rPr>
          <w:b/>
          <w:color w:val="2F7A52"/>
          <w:sz w:val="26"/>
        </w:rPr>
        <w:t>What we're trying to do</w:t>
      </w:r>
    </w:p>
    <w:p>
      <w:r>
        <w:t>The kitchen runs on HOUSE — five in-house browser apps covering recipes, resident meal routing, production scheduling, the daily staff board, and board/funder reporting. They are single HTML files with no servers, currently hosted on GitHub under a personal account, and their shared files move through GitHub as well.</w:t>
      </w:r>
    </w:p>
    <w:p>
      <w:r>
        <w:t>We want to bring the data home to CONC's Microsoft 365 tenant in stages: first the ability for the apps to put their files on the shared drive (the reporting workbooks and the compliance, ordering, and schedule outputs), then direct in-app reads/writes, with app hosting moving last. Two of the apps already contain finished Microsoft sign-in and Graph API code — it is dormant only because no Entra app registration exists yet.</w:t>
      </w:r>
    </w:p>
    <w:p>
      <w:r>
        <w:t>Nothing here asks IT to run, host, or maintain software. We maintain the apps; we're asking for standard Microsoft 365 setup — a governed home for the files, and identity.</w:t>
      </w:r>
    </w:p>
    <w:p>
      <w:pPr>
        <w:spacing w:before="240" w:after="80"/>
      </w:pPr>
      <w:r>
        <w:rPr>
          <w:b/>
          <w:color w:val="2F7A52"/>
          <w:sz w:val="26"/>
        </w:rPr>
        <w:t>What we need — 1. A SharePoint document library</w:t>
      </w:r>
    </w:p>
    <w:p>
      <w:r>
        <w:rPr>
          <w:b/>
        </w:rPr>
        <w:t xml:space="preserve">We believe the home is </w:t>
      </w:r>
      <w:r>
        <w:t>conctoronto.sharepoint.com, site /sites/Kitchen — please confirm this is the canonical tenant.</w:t>
      </w:r>
    </w:p>
    <w:p>
      <w:pPr>
        <w:pStyle w:val="ListBullet"/>
        <w:spacing w:after="60"/>
      </w:pPr>
      <w:r>
        <w:rPr>
          <w:b/>
          <w:sz w:val="21"/>
        </w:rPr>
        <w:t>Folders:</w:t>
      </w:r>
      <w:r>
        <w:rPr>
          <w:sz w:val="21"/>
        </w:rPr>
      </w:r>
    </w:p>
    <w:p>
      <w:pPr>
        <w:spacing w:after="0"/>
        <w:ind w:left="624"/>
      </w:pPr>
      <w:r>
        <w:rPr>
          <w:rFonts w:ascii="Consolas" w:hAnsi="Consolas"/>
          <w:sz w:val="18"/>
        </w:rPr>
        <w:t>Operations Reporting/PROOF Tier-2/  Active | Closeouts | Outputs</w:t>
      </w:r>
    </w:p>
    <w:p>
      <w:pPr>
        <w:spacing w:after="120"/>
        <w:ind w:left="624"/>
      </w:pPr>
      <w:r>
        <w:rPr>
          <w:rFonts w:ascii="Consolas" w:hAnsi="Consolas"/>
          <w:sz w:val="18"/>
        </w:rPr>
        <w:t>Kitchen Ops/                        DOOR Outputs | EXPO Outputs</w:t>
      </w:r>
    </w:p>
    <w:p>
      <w:pPr>
        <w:pStyle w:val="ListBullet"/>
        <w:spacing w:after="60"/>
      </w:pPr>
      <w:r>
        <w:rPr>
          <w:b/>
          <w:sz w:val="21"/>
        </w:rPr>
        <w:t>Permissions:</w:t>
      </w:r>
      <w:r>
        <w:rPr>
          <w:sz w:val="21"/>
        </w:rPr>
        <w:t xml:space="preserve"> three groups for the reporting workbooks — PROOF-Log (managers only), PROOF-Crew and PROOF-Ledger (director / admin / bookkeeper + kitchen lead) — plus a kitchen-ops group. No org-wide access, no anonymous links.</w:t>
      </w:r>
    </w:p>
    <w:p>
      <w:pPr>
        <w:pStyle w:val="ListBullet"/>
        <w:spacing w:after="60"/>
      </w:pPr>
      <w:r>
        <w:rPr>
          <w:b/>
          <w:sz w:val="21"/>
        </w:rPr>
        <w:t>Retention labels:</w:t>
      </w:r>
      <w:r>
        <w:rPr>
          <w:sz w:val="21"/>
        </w:rPr>
        <w:t xml:space="preserve"> per CONC policy — finance (LEDGER), HR (CREW), incident/legal (LOG).</w:t>
      </w:r>
    </w:p>
    <w:p>
      <w:pPr>
        <w:pStyle w:val="ListBullet"/>
        <w:spacing w:after="60"/>
      </w:pPr>
      <w:r>
        <w:rPr>
          <w:b/>
          <w:sz w:val="21"/>
        </w:rPr>
        <w:t>Version history:</w:t>
      </w:r>
      <w:r>
        <w:rPr>
          <w:sz w:val="21"/>
        </w:rPr>
        <w:t xml:space="preserve"> on for the library.</w:t>
      </w:r>
    </w:p>
    <w:p>
      <w:pPr>
        <w:pStyle w:val="ListBullet"/>
        <w:spacing w:after="60"/>
      </w:pPr>
      <w:r>
        <w:rPr>
          <w:b/>
          <w:sz w:val="21"/>
        </w:rPr>
        <w:t>OneDrive sync:</w:t>
      </w:r>
      <w:r>
        <w:rPr>
          <w:sz w:val="21"/>
        </w:rPr>
        <w:t xml:space="preserve"> the Active and Kitchen Ops folders synced on the kitchen machines (we'll supply the list).</w:t>
      </w:r>
    </w:p>
    <w:p>
      <w:pPr>
        <w:spacing w:before="240" w:after="80"/>
      </w:pPr>
      <w:r>
        <w:rPr>
          <w:b/>
          <w:color w:val="2F7A52"/>
          <w:sz w:val="26"/>
        </w:rPr>
        <w:t>What we need — 2. One Microsoft Entra app registration</w:t>
      </w:r>
    </w:p>
    <w:p>
      <w:pPr>
        <w:pStyle w:val="ListBullet"/>
        <w:spacing w:after="60"/>
      </w:pPr>
      <w:r>
        <w:rPr>
          <w:b/>
          <w:sz w:val="21"/>
        </w:rPr>
        <w:t>Platform:</w:t>
      </w:r>
      <w:r>
        <w:rPr>
          <w:sz w:val="21"/>
        </w:rPr>
        <w:t xml:space="preserve"> single-page application.</w:t>
      </w:r>
    </w:p>
    <w:p>
      <w:pPr>
        <w:pStyle w:val="ListBullet"/>
        <w:spacing w:after="60"/>
      </w:pPr>
      <w:r>
        <w:rPr>
          <w:b/>
          <w:sz w:val="21"/>
        </w:rPr>
        <w:t>Redirect URIs:</w:t>
      </w:r>
      <w:r>
        <w:rPr>
          <w:sz w:val="21"/>
        </w:rPr>
        <w:t xml:space="preserve"> the five app URLs (we'll supply the exact list).</w:t>
      </w:r>
    </w:p>
    <w:p>
      <w:pPr>
        <w:pStyle w:val="ListBullet"/>
        <w:spacing w:after="60"/>
      </w:pPr>
      <w:r>
        <w:rPr>
          <w:b/>
          <w:sz w:val="21"/>
        </w:rPr>
        <w:t>Permissions:</w:t>
      </w:r>
      <w:r>
        <w:rPr>
          <w:sz w:val="21"/>
        </w:rPr>
        <w:t xml:space="preserve"> Microsoft Graph, delegated — User.Read and Files.ReadWrite.All (optionally Mail.Send); admin consent if policy requires it.</w:t>
      </w:r>
    </w:p>
    <w:p>
      <w:pPr>
        <w:pStyle w:val="ListBullet"/>
        <w:spacing w:after="60"/>
      </w:pPr>
      <w:r>
        <w:rPr>
          <w:b/>
          <w:sz w:val="21"/>
        </w:rPr>
        <w:t>No client secret, certificate, or service account</w:t>
      </w:r>
      <w:r>
        <w:rPr>
          <w:sz w:val="21"/>
        </w:rPr>
        <w:t xml:space="preserve"> — the apps run in the browser and act only as the signed-in user.</w:t>
      </w:r>
    </w:p>
    <w:p>
      <w:pPr>
        <w:pStyle w:val="ListBullet"/>
        <w:spacing w:after="60"/>
      </w:pPr>
      <w:r>
        <w:rPr>
          <w:b/>
          <w:sz w:val="21"/>
        </w:rPr>
        <w:t>Back to us:</w:t>
      </w:r>
      <w:r>
        <w:rPr>
          <w:sz w:val="21"/>
        </w:rPr>
        <w:t xml:space="preserve"> the Application (client) ID — and Tenant ID if sign-in should be tenant-restricted. Both are public identifiers we enter in each app's settings.</w:t>
      </w:r>
    </w:p>
    <w:p>
      <w:pPr>
        <w:spacing w:before="240" w:after="80"/>
      </w:pPr>
      <w:r>
        <w:rPr>
          <w:b/>
          <w:color w:val="2F7A52"/>
          <w:sz w:val="26"/>
        </w:rPr>
        <w:t>Worth knowing</w:t>
      </w:r>
    </w:p>
    <w:p>
      <w:pPr>
        <w:pStyle w:val="ListBullet"/>
        <w:spacing w:after="60"/>
      </w:pPr>
      <w:r>
        <w:rPr>
          <w:sz w:val="21"/>
        </w:rPr>
        <w:t>All staff already have Microsoft 365 credentials — no new accounts or licences.</w:t>
      </w:r>
    </w:p>
    <w:p>
      <w:pPr>
        <w:pStyle w:val="ListBullet"/>
        <w:spacing w:after="60"/>
      </w:pPr>
      <w:r>
        <w:rPr>
          <w:sz w:val="21"/>
        </w:rPr>
        <w:t>Nothing resident-identifying is involved. The sensitive reporting workbooks (staff certifications, incidents, spend) will live only in SharePoint, under the groups and labels above.</w:t>
      </w:r>
    </w:p>
    <w:p>
      <w:pPr>
        <w:pStyle w:val="ListBullet"/>
        <w:spacing w:after="60"/>
      </w:pPr>
      <w:r>
        <w:rPr>
          <w:sz w:val="21"/>
        </w:rPr>
        <w:t>The incident log is forward-only — the sooner the library exists, the sooner honest incident history starts accruing.</w:t>
      </w:r>
    </w:p>
    <w:p>
      <w:pPr>
        <w:pStyle w:val="ListBullet"/>
        <w:spacing w:after="60"/>
      </w:pPr>
      <w:r>
        <w:rPr>
          <w:sz w:val="21"/>
        </w:rPr>
        <w:t>Full detail — per-app touchpoints and the staged plan through hosting — is in the companion brief (SHAREPOINT_IT_BRIEF, available as web page or on request).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D2A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