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Services Agreement</w:t>
      </w:r>
    </w:p>
    <w:p>
      <w:r>
        <w:t>This agreement is made between Larkspur Analytics Inc. (Client) and Fenwick Data Co. (Contractor).</w:t>
      </w:r>
    </w:p>
    <w:p>
      <w:r>
        <w:t>The Contractor will deliver the data migration described in Exhibit A. Fees and the payment schedule are set out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Phase 1 - discovery</w:t>
            </w:r>
          </w:p>
        </w:tc>
        <w:tc>
          <w:tcPr>
            <w:tcW w:type="dxa" w:w="4320"/>
          </w:tcPr>
          <w:p>
            <w:r>
              <w:t>$38,500.00</w:t>
            </w:r>
          </w:p>
        </w:tc>
      </w:tr>
      <w:tr>
        <w:tc>
          <w:tcPr>
            <w:tcW w:type="dxa" w:w="4320"/>
          </w:tcPr>
          <w:p>
            <w:r>
              <w:t>Phase 2 - migration</w:t>
            </w:r>
          </w:p>
        </w:tc>
        <w:tc>
          <w:tcPr>
            <w:tcW w:type="dxa" w:w="4320"/>
          </w:tcPr>
          <w:p>
            <w:r>
              <w:t>$145,750.00</w:t>
            </w:r>
          </w:p>
        </w:tc>
      </w:tr>
      <w:tr>
        <w:tc>
          <w:tcPr>
            <w:tcW w:type="dxa" w:w="4320"/>
          </w:tcPr>
          <w:p>
            <w:r>
              <w:t>Total contract value</w:t>
            </w:r>
          </w:p>
        </w:tc>
        <w:tc>
          <w:tcPr>
            <w:tcW w:type="dxa" w:w="4320"/>
          </w:tcPr>
          <w:p>
            <w:r>
              <w:t>$184,250.00</w:t>
            </w:r>
          </w:p>
        </w:tc>
      </w:tr>
    </w:tbl>
    <w:p>
      <w:r>
        <w:t>Invoices are payable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