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C87E" w14:textId="77777777" w:rsidR="00261D87" w:rsidRDefault="0000000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Module 19 — Discussion Board</w:t>
      </w:r>
    </w:p>
    <w:p w14:paraId="59A3433E" w14:textId="77777777" w:rsidR="00261D87" w:rsidRDefault="00000000">
      <w:pPr>
        <w:spacing w:after="80"/>
        <w:jc w:val="center"/>
      </w:pPr>
      <w:r>
        <w:rPr>
          <w:color w:val="666666"/>
        </w:rPr>
        <w:t>Model Scale: Cost, Energy and Accessibility</w:t>
      </w:r>
    </w:p>
    <w:p w14:paraId="67578793" w14:textId="77777777" w:rsidR="00261D87" w:rsidRDefault="00000000">
      <w:pPr>
        <w:spacing w:after="400"/>
        <w:jc w:val="center"/>
      </w:pPr>
      <w:r>
        <w:rPr>
          <w:color w:val="999999"/>
          <w:sz w:val="20"/>
          <w:szCs w:val="20"/>
        </w:rPr>
        <w:t>Mike Kennelly | Imperial College London | PCMLAI | Week 9</w:t>
      </w:r>
    </w:p>
    <w:p w14:paraId="23F8FB61" w14:textId="77777777" w:rsidR="00261D87" w:rsidRDefault="00000000">
      <w:pPr>
        <w:pStyle w:val="Heading1"/>
      </w:pPr>
      <w:r>
        <w:t>When a model size increases, how do costs and energy requirements change?</w:t>
      </w:r>
    </w:p>
    <w:p w14:paraId="21D07E13" w14:textId="77777777" w:rsidR="00261D87" w:rsidRDefault="00000000">
      <w:pPr>
        <w:spacing w:after="280"/>
      </w:pPr>
      <w:r>
        <w:t>The relationship between model size and cost is not proportional — it compounds. Video 19.3 puts a number on this that I found genuinely striking: storing GPT-3’s 175 billion parameters at standard 32-bit precision already demands around 700 gigabytes, equivalent to over 40 laptops sitting idle. That’s before training begins. The actual training run required thousands of GPUs working for weeks at a cost running into the millions. And the energy bill doesn’t stop there — every inference request, every fine-tuning job, every deployment adds to it. Kaplan et al. (2020) formalise what this feels like intuitively: performance scales predictably with size, but the resource cost grows faster than the capability gain. You pay a compounding premium for each step up.</w:t>
      </w:r>
    </w:p>
    <w:p w14:paraId="56815D77" w14:textId="77777777" w:rsidR="00261D87" w:rsidRDefault="00000000">
      <w:pPr>
        <w:pStyle w:val="Heading1"/>
      </w:pPr>
      <w:r>
        <w:t>What does greater scale mean for who can access and use advanced AI?</w:t>
      </w:r>
    </w:p>
    <w:p w14:paraId="3BEB91C5" w14:textId="77777777" w:rsidR="00261D87" w:rsidRDefault="00000000">
      <w:pPr>
        <w:spacing w:after="280"/>
      </w:pPr>
      <w:r>
        <w:t>It concentrates power. When the barrier to entry is a data centre and a nine-figure budget, only a handful of organisations can play. Researchers, universities and businesses in less wealthy regions are not excluded because they lack ideas or talent — they are excluded because they lack infrastructure. What makes DeepSeek (Gibney, 2025) interesting is not just the cost reduction, but what it signals: that the assumed link between scale and dominance can be broken through smarter architecture and training choices. That matters to me as a practitioner because it suggests the field is not inevitably heading toward a world where two or three firms control all the capable models. Whether that promise holds depends on whether the research community continues to prioritise efficiency and openness alongside raw performance.</w:t>
      </w:r>
    </w:p>
    <w:p w14:paraId="57440FDA" w14:textId="77777777" w:rsidR="00261D87" w:rsidRDefault="00000000">
      <w:pPr>
        <w:spacing w:after="200"/>
        <w:jc w:val="right"/>
      </w:pPr>
      <w:r>
        <w:rPr>
          <w:i/>
          <w:iCs/>
          <w:color w:val="999999"/>
          <w:sz w:val="19"/>
          <w:szCs w:val="19"/>
        </w:rPr>
        <w:t>Word count: 250</w:t>
      </w:r>
    </w:p>
    <w:p w14:paraId="6920FD80" w14:textId="77777777" w:rsidR="00261D87" w:rsidRDefault="00000000">
      <w:pPr>
        <w:spacing w:before="200" w:after="100"/>
      </w:pPr>
      <w:r>
        <w:rPr>
          <w:b/>
          <w:bCs/>
          <w:color w:val="1F4E79"/>
          <w:sz w:val="22"/>
          <w:szCs w:val="22"/>
        </w:rPr>
        <w:t>References</w:t>
      </w:r>
    </w:p>
    <w:p w14:paraId="31AA1980" w14:textId="77777777" w:rsidR="00261D87" w:rsidRDefault="00000000">
      <w:pPr>
        <w:spacing w:after="80"/>
        <w:ind w:left="720" w:hanging="360"/>
      </w:pPr>
      <w:r>
        <w:rPr>
          <w:sz w:val="20"/>
          <w:szCs w:val="20"/>
        </w:rPr>
        <w:t xml:space="preserve">Gibney, E. (2025). ‘China’s cheap, open AI model DeepSeek thrills </w:t>
      </w:r>
      <w:proofErr w:type="gramStart"/>
      <w:r>
        <w:rPr>
          <w:sz w:val="20"/>
          <w:szCs w:val="20"/>
        </w:rPr>
        <w:t>scientists’</w:t>
      </w:r>
      <w:proofErr w:type="gramEnd"/>
      <w:r>
        <w:rPr>
          <w:sz w:val="20"/>
          <w:szCs w:val="20"/>
        </w:rPr>
        <w:t>. Nature, 638, 13–14.</w:t>
      </w:r>
    </w:p>
    <w:p w14:paraId="65A122F5" w14:textId="77777777" w:rsidR="00261D87" w:rsidRDefault="00000000">
      <w:pPr>
        <w:spacing w:after="80"/>
        <w:ind w:left="720" w:hanging="360"/>
      </w:pPr>
      <w:r>
        <w:rPr>
          <w:sz w:val="20"/>
          <w:szCs w:val="20"/>
        </w:rPr>
        <w:t xml:space="preserve">Kaplan, J., McCandlish, S., Henighan, T., Brown, T. B. et al. (2020). ‘Scaling laws for neural language </w:t>
      </w:r>
      <w:proofErr w:type="gramStart"/>
      <w:r>
        <w:rPr>
          <w:sz w:val="20"/>
          <w:szCs w:val="20"/>
        </w:rPr>
        <w:t>models’</w:t>
      </w:r>
      <w:proofErr w:type="gram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arXiv</w:t>
      </w:r>
      <w:proofErr w:type="spellEnd"/>
      <w:r>
        <w:rPr>
          <w:sz w:val="20"/>
          <w:szCs w:val="20"/>
        </w:rPr>
        <w:t xml:space="preserve"> preprint arXiv:2001.08361.</w:t>
      </w:r>
    </w:p>
    <w:sectPr w:rsidR="00261D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0EDD"/>
    <w:multiLevelType w:val="hybridMultilevel"/>
    <w:tmpl w:val="EEA49CF2"/>
    <w:lvl w:ilvl="0" w:tplc="841E0440">
      <w:start w:val="1"/>
      <w:numFmt w:val="bullet"/>
      <w:lvlText w:val="●"/>
      <w:lvlJc w:val="left"/>
      <w:pPr>
        <w:ind w:left="720" w:hanging="360"/>
      </w:pPr>
    </w:lvl>
    <w:lvl w:ilvl="1" w:tplc="639AA800">
      <w:start w:val="1"/>
      <w:numFmt w:val="bullet"/>
      <w:lvlText w:val="○"/>
      <w:lvlJc w:val="left"/>
      <w:pPr>
        <w:ind w:left="1440" w:hanging="360"/>
      </w:pPr>
    </w:lvl>
    <w:lvl w:ilvl="2" w:tplc="7A32578C">
      <w:start w:val="1"/>
      <w:numFmt w:val="bullet"/>
      <w:lvlText w:val="■"/>
      <w:lvlJc w:val="left"/>
      <w:pPr>
        <w:ind w:left="2160" w:hanging="360"/>
      </w:pPr>
    </w:lvl>
    <w:lvl w:ilvl="3" w:tplc="1CC62440">
      <w:start w:val="1"/>
      <w:numFmt w:val="bullet"/>
      <w:lvlText w:val="●"/>
      <w:lvlJc w:val="left"/>
      <w:pPr>
        <w:ind w:left="2880" w:hanging="360"/>
      </w:pPr>
    </w:lvl>
    <w:lvl w:ilvl="4" w:tplc="1E24CF04">
      <w:start w:val="1"/>
      <w:numFmt w:val="bullet"/>
      <w:lvlText w:val="○"/>
      <w:lvlJc w:val="left"/>
      <w:pPr>
        <w:ind w:left="3600" w:hanging="360"/>
      </w:pPr>
    </w:lvl>
    <w:lvl w:ilvl="5" w:tplc="50985B42">
      <w:start w:val="1"/>
      <w:numFmt w:val="bullet"/>
      <w:lvlText w:val="■"/>
      <w:lvlJc w:val="left"/>
      <w:pPr>
        <w:ind w:left="4320" w:hanging="360"/>
      </w:pPr>
    </w:lvl>
    <w:lvl w:ilvl="6" w:tplc="63F2AB42">
      <w:start w:val="1"/>
      <w:numFmt w:val="bullet"/>
      <w:lvlText w:val="●"/>
      <w:lvlJc w:val="left"/>
      <w:pPr>
        <w:ind w:left="5040" w:hanging="360"/>
      </w:pPr>
    </w:lvl>
    <w:lvl w:ilvl="7" w:tplc="B0345B78">
      <w:start w:val="1"/>
      <w:numFmt w:val="bullet"/>
      <w:lvlText w:val="●"/>
      <w:lvlJc w:val="left"/>
      <w:pPr>
        <w:ind w:left="5760" w:hanging="360"/>
      </w:pPr>
    </w:lvl>
    <w:lvl w:ilvl="8" w:tplc="6FF43D00">
      <w:start w:val="1"/>
      <w:numFmt w:val="bullet"/>
      <w:lvlText w:val="●"/>
      <w:lvlJc w:val="left"/>
      <w:pPr>
        <w:ind w:left="6480" w:hanging="360"/>
      </w:pPr>
    </w:lvl>
  </w:abstractNum>
  <w:num w:numId="1" w16cid:durableId="2105371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D87"/>
    <w:rsid w:val="00261D87"/>
    <w:rsid w:val="006C558A"/>
    <w:rsid w:val="00A7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A5C79"/>
  <w15:docId w15:val="{8C51CEE9-3921-4699-B0DC-88B9C6F3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kennelly</cp:lastModifiedBy>
  <cp:revision>2</cp:revision>
  <dcterms:created xsi:type="dcterms:W3CDTF">2026-03-21T11:36:00Z</dcterms:created>
  <dcterms:modified xsi:type="dcterms:W3CDTF">2026-03-21T11:36:00Z</dcterms:modified>
</cp:coreProperties>
</file>