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left"/>
      </w:pPr>
      <w:r>
        <w:rPr>
          <w:rFonts w:ascii="Arial" w:cs="Arial" w:eastAsia="Arial" w:hAnsi="Arial"/>
          <w:b/>
          <w:bCs/>
          <w:color w:val="1B2A4A"/>
          <w:sz w:val="72"/>
          <w:szCs w:val="72"/>
        </w:rPr>
        <w:t xml:space="preserve">DIGIMETRICS</w:t>
      </w:r>
    </w:p>
    <w:p>
      <w:pPr>
        <w:spacing w:after="60" w:before="0"/>
        <w:jc w:val="left"/>
      </w:pPr>
      <w:r>
        <w:rPr>
          <w:rFonts w:ascii="Arial" w:cs="Arial" w:eastAsia="Arial" w:hAnsi="Arial"/>
          <w:b w:val="false"/>
          <w:bCs w:val="false"/>
          <w:color w:val="2563EB"/>
          <w:sz w:val="36"/>
          <w:szCs w:val="36"/>
        </w:rPr>
        <w:t xml:space="preserve">Platform Capabilities Overview</w:t>
      </w:r>
    </w:p>
    <w:p>
      <w:pPr>
        <w:pBdr>
          <w:bottom w:val="single" w:color="2563EB" w:sz="8"/>
        </w:pBdr>
        <w:spacing w:after="0" w:before="0"/>
        <w:jc w:val="left"/>
      </w:pPr>
      <w:r>
        <w:rPr>
          <w:rFonts w:ascii="Arial" w:cs="Arial" w:eastAsia="Arial" w:hAnsi="Arial"/>
          <w:color w:val="64748B"/>
          <w:sz w:val="22"/>
          <w:szCs w:val="22"/>
        </w:rPr>
        <w:t xml:space="preserve">Prepared for investor and stakeholder review</w:t>
      </w:r>
    </w:p>
    <w:p>
      <w:pPr>
        <w:spacing w:after="240" w:before="0"/>
      </w:pPr>
      <w:r>
        <w:t xml:space="preserve"/>
      </w:r>
    </w:p>
    <w:p>
      <w:pPr>
        <w:pStyle w:val="Heading1"/>
        <w:pBdr>
          <w:bottom w:val="single" w:color="2563EB" w:sz="6"/>
        </w:pBdr>
        <w:shd w:fill="1B2A4A" w:val="clear"/>
        <w:spacing w:after="0" w:before="0"/>
        <w:ind w:left="200"/>
        <w:jc w:val="left"/>
      </w:pPr>
      <w:r>
        <w:rPr>
          <w:rFonts w:ascii="Arial" w:cs="Arial" w:eastAsia="Arial" w:hAnsi="Arial"/>
          <w:b/>
          <w:bCs/>
          <w:color w:val="FFFFFF"/>
          <w:sz w:val="36"/>
          <w:szCs w:val="36"/>
        </w:rPr>
        <w:t xml:space="preserve">Executive Summary</w:t>
      </w:r>
    </w:p>
    <w:p>
      <w:pPr>
        <w:spacing w:after="120" w:before="0"/>
      </w:pPr>
      <w:r>
        <w:t xml:space="preserve"/>
      </w:r>
    </w:p>
    <w:p>
      <w:pPr>
        <w:spacing w:after="120" w:before="0"/>
        <w:jc w:val="left"/>
      </w:pPr>
      <w:r>
        <w:rPr>
          <w:rFonts w:ascii="Arial" w:cs="Arial" w:eastAsia="Arial" w:hAnsi="Arial"/>
          <w:b w:val="false"/>
          <w:bCs w:val="false"/>
          <w:i w:val="false"/>
          <w:iCs w:val="false"/>
          <w:color w:val="1E293B"/>
          <w:sz w:val="22"/>
          <w:szCs w:val="22"/>
        </w:rPr>
        <w:t xml:space="preserve">Digimetrics is a proprietary, all-in-one digital marketing intelligence platform purpose-built for agency operations. It consolidates Search Engine Optimisation (SEO), Social Media Marketing (SMM), Generative Engine Optimisation (GEO), Search Engine Marketing (SEM), backlink management, recruitment, project management, and business development workflows into a single authenticated web application.</w:t>
      </w:r>
    </w:p>
    <w:p>
      <w:pPr>
        <w:spacing w:after="120" w:before="0"/>
        <w:jc w:val="left"/>
      </w:pPr>
      <w:r>
        <w:rPr>
          <w:rFonts w:ascii="Arial" w:cs="Arial" w:eastAsia="Arial" w:hAnsi="Arial"/>
          <w:b w:val="false"/>
          <w:bCs w:val="false"/>
          <w:i w:val="false"/>
          <w:iCs w:val="false"/>
          <w:color w:val="1E293B"/>
          <w:sz w:val="22"/>
          <w:szCs w:val="22"/>
        </w:rPr>
        <w:t xml:space="preserve">The platform is underpinned by AI throughout — from strategy generation and content creation to competitive analysis, tender writing, and client-facing chatbots. It integrates directly with Google Ads, Google Analytics 4, Google Search Console, Meta Ads, and Monday.com, giving agency teams a unified command centre for every digital marketing discipline.</w:t>
      </w:r>
    </w:p>
    <w:p>
      <w:pPr>
        <w:spacing w:after="120" w:before="0"/>
        <w:jc w:val="left"/>
      </w:pPr>
      <w:r>
        <w:rPr>
          <w:rFonts w:ascii="Arial" w:cs="Arial" w:eastAsia="Arial" w:hAnsi="Arial"/>
          <w:b w:val="false"/>
          <w:bCs w:val="false"/>
          <w:i w:val="false"/>
          <w:iCs w:val="false"/>
          <w:color w:val="1E293B"/>
          <w:sz w:val="22"/>
          <w:szCs w:val="22"/>
        </w:rPr>
        <w:t xml:space="preserve">The following pages catalogue every tool and capability available across the platform and its satellite modules, providing investors and stakeholders with a complete picture of the technology estate.</w:t>
      </w:r>
    </w:p>
    <w:p>
      <w:pPr>
        <w:spacing w:after="80" w:before="0"/>
      </w:pPr>
      <w:r>
        <w:t xml:space="preserve"/>
      </w:r>
    </w:p>
    <w:p>
      <w:pPr>
        <w:pBdr>
          <w:left w:val="single" w:color="2563EB" w:sz="12"/>
        </w:pBdr>
        <w:shd w:fill="EEF4FF" w:val="clear"/>
        <w:spacing w:after="0" w:before="0"/>
        <w:ind w:left="200" w:right="200"/>
      </w:pPr>
      <w:r>
        <w:rPr>
          <w:rFonts w:ascii="Arial" w:cs="Arial" w:eastAsia="Arial" w:hAnsi="Arial"/>
          <w:b/>
          <w:bCs/>
          <w:color w:val="1B2A4A"/>
          <w:sz w:val="20"/>
          <w:szCs w:val="20"/>
        </w:rPr>
        <w:t xml:space="preserve">Architecture: </w:t>
      </w:r>
      <w:r>
        <w:rPr>
          <w:rFonts w:ascii="Arial" w:cs="Arial" w:eastAsia="Arial" w:hAnsi="Arial"/>
          <w:color w:val="1E293B"/>
          <w:sz w:val="20"/>
          <w:szCs w:val="20"/>
        </w:rPr>
        <w:t xml:space="preserve">Digimetrics is delivered as a secure, Google-authenticated single-page application (index.html) with a suite of purpose-built satellite tools. All modules are cloud-hosted and accessible via web browser with no software installation required.</w:t>
      </w:r>
    </w:p>
    <w:p>
      <w:pPr>
        <w:spacing w:after="300" w:before="0"/>
      </w:pPr>
      <w:r>
        <w:t xml:space="preserve"/>
      </w:r>
    </w:p>
    <w:p>
      <w:r>
        <w:br w:type="page"/>
      </w:r>
    </w:p>
    <w:p>
      <w:pPr>
        <w:pStyle w:val="Heading2"/>
        <w:shd w:fill="2563EB" w:val="clear"/>
        <w:spacing w:after="0" w:before="300"/>
        <w:ind w:left="140"/>
        <w:jc w:val="left"/>
      </w:pPr>
      <w:r>
        <w:rPr>
          <w:rFonts w:ascii="Arial" w:cs="Arial" w:eastAsia="Arial" w:hAnsi="Arial"/>
          <w:b/>
          <w:bCs/>
          <w:color w:val="FFFFFF"/>
          <w:sz w:val="28"/>
          <w:szCs w:val="28"/>
        </w:rPr>
        <w:t xml:space="preserve">1.  Search Engine Optimisation (SEO)</w:t>
      </w:r>
    </w:p>
    <w:p>
      <w:pPr>
        <w:spacing w:after="80" w:before="0"/>
      </w:pPr>
      <w:r>
        <w:t xml:space="preserve"/>
      </w:r>
    </w:p>
    <w:p>
      <w:pPr>
        <w:spacing w:after="120" w:before="0"/>
        <w:jc w:val="left"/>
      </w:pPr>
      <w:r>
        <w:rPr>
          <w:rFonts w:ascii="Arial" w:cs="Arial" w:eastAsia="Arial" w:hAnsi="Arial"/>
          <w:b w:val="false"/>
          <w:bCs w:val="false"/>
          <w:i w:val="false"/>
          <w:iCs w:val="false"/>
          <w:color w:val="1E293B"/>
          <w:sz w:val="22"/>
          <w:szCs w:val="22"/>
        </w:rPr>
        <w:t xml:space="preserve">The SEO module is the core engine of Digimetrics. It covers every stage of the SEO lifecycle — from initial strategy formulation and keyword discovery through to technical auditing, content optimisation, and rank tracking. All tools operate from a single domain input and support multi-locale targeting across 25+ countries.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1D5DB" w:sz="1"/>
              <w:left w:val="single" w:color="D1D5DB" w:sz="1"/>
              <w:bottom w:val="single" w:color="D1D5DB" w:sz="1"/>
              <w:right w:val="single" w:color="D1D5DB" w:sz="1"/>
            </w:tcBorders>
            <w:shd w:fill="DBEAFE" w:val="clear"/>
            <w:tcMar>
              <w:top w:type="dxa" w:w="100"/>
              <w:left w:type="dxa" w:w="160"/>
              <w:bottom w:type="dxa" w:w="100"/>
              <w:right w:type="dxa" w:w="120"/>
            </w:tcMar>
          </w:tcPr>
          <w:p>
            <w:pPr>
              <w:spacing w:after="0" w:before="0"/>
            </w:pPr>
            <w:r>
              <w:rPr>
                <w:rFonts w:ascii="Arial" w:cs="Arial" w:eastAsia="Arial" w:hAnsi="Arial"/>
                <w:b/>
                <w:bCs/>
                <w:color w:val="1B2A4A"/>
                <w:sz w:val="20"/>
                <w:szCs w:val="20"/>
              </w:rPr>
              <w:t xml:space="preserve">Capability</w:t>
            </w:r>
          </w:p>
        </w:tc>
        <w:tc>
          <w:tcPr>
            <w:tcW w:type="dxa" w:w="6480"/>
            <w:tcBorders>
              <w:top w:val="single" w:color="D1D5DB" w:sz="1"/>
              <w:left w:val="single" w:color="D1D5DB" w:sz="1"/>
              <w:bottom w:val="single" w:color="D1D5DB" w:sz="1"/>
              <w:right w:val="single" w:color="D1D5DB" w:sz="1"/>
            </w:tcBorders>
            <w:shd w:fill="DBEAFE" w:val="clear"/>
            <w:tcMar>
              <w:top w:type="dxa" w:w="100"/>
              <w:left w:type="dxa" w:w="160"/>
              <w:bottom w:type="dxa" w:w="100"/>
              <w:right w:type="dxa" w:w="120"/>
            </w:tcMar>
          </w:tcPr>
          <w:p>
            <w:pPr>
              <w:spacing w:after="0" w:before="0"/>
            </w:pPr>
            <w:r>
              <w:rPr>
                <w:rFonts w:ascii="Arial" w:cs="Arial" w:eastAsia="Arial" w:hAnsi="Arial"/>
                <w:b/>
                <w:bCs/>
                <w:color w:val="1B2A4A"/>
                <w:sz w:val="20"/>
                <w:szCs w:val="20"/>
              </w:rPr>
              <w:t xml:space="preserve">Description</w:t>
            </w:r>
          </w:p>
        </w:tc>
      </w:tr>
      <w:tr>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AI Strategy Engine</w:t>
            </w:r>
          </w:p>
        </w:tc>
        <w:tc>
          <w:tcPr>
            <w:tcW w:type="dxa" w:w="64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Generates a comprehensive, AI-driven SEO strategy for any domain. Analyses the competitive landscape, recommends keyword targets, outlines content priorities, and produces a structured action plan tailored to the client's industry, audience, and objectives.</w:t>
            </w:r>
          </w:p>
        </w:tc>
      </w:tr>
      <w:tr>
        <w:tc>
          <w:tcPr>
            <w:tcW w:type="dxa" w:w="28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SEO Quote Generator</w:t>
            </w:r>
          </w:p>
        </w:tc>
        <w:tc>
          <w:tcPr>
            <w:tcW w:type="dxa" w:w="64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Produces a branded, itemised SEO pricing proposal in seconds. Inputs include service scope, campaign duration, and client type. Output is a print-ready quote that can be exported as a PDF — ideal for sales and new business conversations.</w:t>
            </w:r>
          </w:p>
        </w:tc>
      </w:tr>
      <w:tr>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Keyword Analysis</w:t>
            </w:r>
          </w:p>
        </w:tc>
        <w:tc>
          <w:tcPr>
            <w:tcW w:type="dxa" w:w="64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Delivers in-depth keyword research including search volume, competition scores, SERP results, related keywords, long-tail variants, and question-based queries. Keywords can be grouped, tagged, and mapped to specific URLs for structured content planning.</w:t>
            </w:r>
          </w:p>
        </w:tc>
      </w:tr>
      <w:tr>
        <w:tc>
          <w:tcPr>
            <w:tcW w:type="dxa" w:w="28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Google Crawler Simulator</w:t>
            </w:r>
          </w:p>
        </w:tc>
        <w:tc>
          <w:tcPr>
            <w:tcW w:type="dxa" w:w="64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Renders a page exactly as Googlebot would see it — exposing hidden text, JavaScript-rendered content, meta information, heading structure, keyword density, internal links, and image alt text. Essential for diagnosing crawlability and indexation issues.</w:t>
            </w:r>
          </w:p>
        </w:tc>
      </w:tr>
      <w:tr>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Technical SEO Audit</w:t>
            </w:r>
          </w:p>
        </w:tc>
        <w:tc>
          <w:tcPr>
            <w:tcW w:type="dxa" w:w="64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Runs an automated technical audit against any domain or URL, surfacing issues such as slow load times, missing canonical tags, duplicate meta tags, micromarkup errors, encoding problems, redirect chains, and broken links. Outputs a prioritised issue list with severity ratings.</w:t>
            </w:r>
          </w:p>
        </w:tc>
      </w:tr>
      <w:tr>
        <w:tc>
          <w:tcPr>
            <w:tcW w:type="dxa" w:w="28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On-Page Optimisation</w:t>
            </w:r>
          </w:p>
        </w:tc>
        <w:tc>
          <w:tcPr>
            <w:tcW w:type="dxa" w:w="64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Analyses individual pages against target keywords. Reviews meta titles and descriptions, heading hierarchy, keyword usage, image optimisation, and internal linking. Provides AI-generated recommendations for each element to improve relevance and ranking potential.</w:t>
            </w:r>
          </w:p>
        </w:tc>
      </w:tr>
      <w:tr>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Competitor Content Comparison</w:t>
            </w:r>
          </w:p>
        </w:tc>
        <w:tc>
          <w:tcPr>
            <w:tcW w:type="dxa" w:w="64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Scrapes and analyses competitor pages that rank for the same target keywords. Identifies content gaps, structural differences, and optimisation opportunities. Generates AI-powered recommendations to help the client outperform competing pages.</w:t>
            </w:r>
          </w:p>
        </w:tc>
      </w:tr>
      <w:tr>
        <w:tc>
          <w:tcPr>
            <w:tcW w:type="dxa" w:w="28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Rank Checker</w:t>
            </w:r>
          </w:p>
        </w:tc>
        <w:tc>
          <w:tcPr>
            <w:tcW w:type="dxa" w:w="64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Tracks keyword positions across Google SERPs for any domain and location. Displays current rank, historical position trends, and SERP feature presence. Supports bulk keyword imports and scheduled checks.</w:t>
            </w:r>
          </w:p>
        </w:tc>
      </w:tr>
      <w:tr>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Internal Anchor Text Cleaner</w:t>
            </w:r>
          </w:p>
        </w:tc>
        <w:tc>
          <w:tcPr>
            <w:tcW w:type="dxa" w:w="64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Audits the internal linking architecture of a website. Identifies pages with weak, missing, or inconsistent anchor text and generates optimised replacement suggestions to improve crawl efficiency and PageRank distribution.</w:t>
            </w:r>
          </w:p>
        </w:tc>
      </w:tr>
      <w:tr>
        <w:tc>
          <w:tcPr>
            <w:tcW w:type="dxa" w:w="28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Schema Generator</w:t>
            </w:r>
          </w:p>
        </w:tc>
        <w:tc>
          <w:tcPr>
            <w:tcW w:type="dxa" w:w="64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Creates valid JSON-LD structured data markup for any page type — including Organisation, Article, FAQ, Product, LocalBusiness, and more. Output is ready to paste directly into a CMS or source code, helping pages qualify for rich results in Google.</w:t>
            </w:r>
          </w:p>
        </w:tc>
      </w:tr>
    </w:tbl>
    <w:p>
      <w:pPr>
        <w:spacing w:after="200" w:before="0"/>
      </w:pPr>
      <w:r>
        <w:t xml:space="preserve"/>
      </w:r>
    </w:p>
    <w:p>
      <w:pPr>
        <w:pStyle w:val="Heading2"/>
        <w:shd w:fill="2563EB" w:val="clear"/>
        <w:spacing w:after="0" w:before="300"/>
        <w:ind w:left="140"/>
        <w:jc w:val="left"/>
      </w:pPr>
      <w:r>
        <w:rPr>
          <w:rFonts w:ascii="Arial" w:cs="Arial" w:eastAsia="Arial" w:hAnsi="Arial"/>
          <w:b/>
          <w:bCs/>
          <w:color w:val="FFFFFF"/>
          <w:sz w:val="28"/>
          <w:szCs w:val="28"/>
        </w:rPr>
        <w:t xml:space="preserve">2.  Social Media Marketing (SMM)</w:t>
      </w:r>
    </w:p>
    <w:p>
      <w:pPr>
        <w:spacing w:after="80" w:before="0"/>
      </w:pPr>
      <w:r>
        <w:t xml:space="preserve"/>
      </w:r>
    </w:p>
    <w:p>
      <w:pPr>
        <w:spacing w:after="120" w:before="0"/>
        <w:jc w:val="left"/>
      </w:pPr>
      <w:r>
        <w:rPr>
          <w:rFonts w:ascii="Arial" w:cs="Arial" w:eastAsia="Arial" w:hAnsi="Arial"/>
          <w:b w:val="false"/>
          <w:bCs w:val="false"/>
          <w:i w:val="false"/>
          <w:iCs w:val="false"/>
          <w:color w:val="1E293B"/>
          <w:sz w:val="22"/>
          <w:szCs w:val="22"/>
        </w:rPr>
        <w:t xml:space="preserve">The SMM module equips content and social media teams with AI-driven tools for strategy, content creation, and community management — reducing production time while improving consistency and platform relevance.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1D5DB" w:sz="1"/>
              <w:left w:val="single" w:color="D1D5DB" w:sz="1"/>
              <w:bottom w:val="single" w:color="D1D5DB" w:sz="1"/>
              <w:right w:val="single" w:color="D1D5DB" w:sz="1"/>
            </w:tcBorders>
            <w:shd w:fill="DBEAFE" w:val="clear"/>
            <w:tcMar>
              <w:top w:type="dxa" w:w="100"/>
              <w:left w:type="dxa" w:w="160"/>
              <w:bottom w:type="dxa" w:w="100"/>
              <w:right w:type="dxa" w:w="120"/>
            </w:tcMar>
          </w:tcPr>
          <w:p>
            <w:pPr>
              <w:spacing w:after="0" w:before="0"/>
            </w:pPr>
            <w:r>
              <w:rPr>
                <w:rFonts w:ascii="Arial" w:cs="Arial" w:eastAsia="Arial" w:hAnsi="Arial"/>
                <w:b/>
                <w:bCs/>
                <w:color w:val="1B2A4A"/>
                <w:sz w:val="20"/>
                <w:szCs w:val="20"/>
              </w:rPr>
              <w:t xml:space="preserve">Capability</w:t>
            </w:r>
          </w:p>
        </w:tc>
        <w:tc>
          <w:tcPr>
            <w:tcW w:type="dxa" w:w="6480"/>
            <w:tcBorders>
              <w:top w:val="single" w:color="D1D5DB" w:sz="1"/>
              <w:left w:val="single" w:color="D1D5DB" w:sz="1"/>
              <w:bottom w:val="single" w:color="D1D5DB" w:sz="1"/>
              <w:right w:val="single" w:color="D1D5DB" w:sz="1"/>
            </w:tcBorders>
            <w:shd w:fill="DBEAFE" w:val="clear"/>
            <w:tcMar>
              <w:top w:type="dxa" w:w="100"/>
              <w:left w:type="dxa" w:w="160"/>
              <w:bottom w:type="dxa" w:w="100"/>
              <w:right w:type="dxa" w:w="120"/>
            </w:tcMar>
          </w:tcPr>
          <w:p>
            <w:pPr>
              <w:spacing w:after="0" w:before="0"/>
            </w:pPr>
            <w:r>
              <w:rPr>
                <w:rFonts w:ascii="Arial" w:cs="Arial" w:eastAsia="Arial" w:hAnsi="Arial"/>
                <w:b/>
                <w:bCs/>
                <w:color w:val="1B2A4A"/>
                <w:sz w:val="20"/>
                <w:szCs w:val="20"/>
              </w:rPr>
              <w:t xml:space="preserve">Description</w:t>
            </w:r>
          </w:p>
        </w:tc>
      </w:tr>
      <w:tr>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Social Media Keyword Discovery</w:t>
            </w:r>
          </w:p>
        </w:tc>
        <w:tc>
          <w:tcPr>
            <w:tcW w:type="dxa" w:w="64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Identifies high-performing keywords and hashtag opportunities tailored specifically for social media platforms. Analyses trending topics and competitive social content to inform platform-specific content calendars.</w:t>
            </w:r>
          </w:p>
        </w:tc>
      </w:tr>
      <w:tr>
        <w:tc>
          <w:tcPr>
            <w:tcW w:type="dxa" w:w="28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Content Pillar Framework</w:t>
            </w:r>
          </w:p>
        </w:tc>
        <w:tc>
          <w:tcPr>
            <w:tcW w:type="dxa" w:w="64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Builds a structured, long-term content strategy using topic pillars and content clusters. Defines core themes aligned with the brand's audience and objectives, then generates a mapped framework of content ideas across each pillar.</w:t>
            </w:r>
          </w:p>
        </w:tc>
      </w:tr>
      <w:tr>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AI Caption Generator</w:t>
            </w:r>
          </w:p>
        </w:tc>
        <w:tc>
          <w:tcPr>
            <w:tcW w:type="dxa" w:w="64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Produces platform-optimised social media captions for Instagram, Facebook, LinkedIn, and other channels. Accepts brand voice parameters, campaign briefs, and image context to generate multiple caption variants in one click.</w:t>
            </w:r>
          </w:p>
        </w:tc>
      </w:tr>
      <w:tr>
        <w:tc>
          <w:tcPr>
            <w:tcW w:type="dxa" w:w="28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Social Media Response Generator</w:t>
            </w:r>
          </w:p>
        </w:tc>
        <w:tc>
          <w:tcPr>
            <w:tcW w:type="dxa" w:w="64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Drafts on-brand replies to comments, reviews, and direct messages. Configurable by tone, persona, and scenario — suitable for customer service, community management, and reputation management workflows.</w:t>
            </w:r>
          </w:p>
        </w:tc>
      </w:tr>
    </w:tbl>
    <w:p>
      <w:pPr>
        <w:spacing w:after="200" w:before="0"/>
      </w:pPr>
      <w:r>
        <w:t xml:space="preserve"/>
      </w:r>
    </w:p>
    <w:p>
      <w:pPr>
        <w:pStyle w:val="Heading2"/>
        <w:shd w:fill="2563EB" w:val="clear"/>
        <w:spacing w:after="0" w:before="300"/>
        <w:ind w:left="140"/>
        <w:jc w:val="left"/>
      </w:pPr>
      <w:r>
        <w:rPr>
          <w:rFonts w:ascii="Arial" w:cs="Arial" w:eastAsia="Arial" w:hAnsi="Arial"/>
          <w:b/>
          <w:bCs/>
          <w:color w:val="FFFFFF"/>
          <w:sz w:val="28"/>
          <w:szCs w:val="28"/>
        </w:rPr>
        <w:t xml:space="preserve">3.  Generative Engine Optimisation (GEO)</w:t>
      </w:r>
    </w:p>
    <w:p>
      <w:pPr>
        <w:spacing w:after="80" w:before="0"/>
      </w:pPr>
      <w:r>
        <w:t xml:space="preserve"/>
      </w:r>
    </w:p>
    <w:p>
      <w:pPr>
        <w:spacing w:after="120" w:before="0"/>
        <w:jc w:val="left"/>
      </w:pPr>
      <w:r>
        <w:rPr>
          <w:rFonts w:ascii="Arial" w:cs="Arial" w:eastAsia="Arial" w:hAnsi="Arial"/>
          <w:b w:val="false"/>
          <w:bCs w:val="false"/>
          <w:i w:val="false"/>
          <w:iCs w:val="false"/>
          <w:color w:val="1E293B"/>
          <w:sz w:val="22"/>
          <w:szCs w:val="22"/>
        </w:rPr>
        <w:t xml:space="preserve">Generative Engine Optimisation is an emerging discipline focused on improving brand and content visibility within AI-powered search platforms such as ChatGPT, Google AI Overviews, Perplexity, and similar systems. Digimetrics is one of the earliest agency platforms to incorporate a dedicated GEO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1D5DB" w:sz="1"/>
              <w:left w:val="single" w:color="D1D5DB" w:sz="1"/>
              <w:bottom w:val="single" w:color="D1D5DB" w:sz="1"/>
              <w:right w:val="single" w:color="D1D5DB" w:sz="1"/>
            </w:tcBorders>
            <w:shd w:fill="DBEAFE" w:val="clear"/>
            <w:tcMar>
              <w:top w:type="dxa" w:w="100"/>
              <w:left w:type="dxa" w:w="160"/>
              <w:bottom w:type="dxa" w:w="100"/>
              <w:right w:type="dxa" w:w="120"/>
            </w:tcMar>
          </w:tcPr>
          <w:p>
            <w:pPr>
              <w:spacing w:after="0" w:before="0"/>
            </w:pPr>
            <w:r>
              <w:rPr>
                <w:rFonts w:ascii="Arial" w:cs="Arial" w:eastAsia="Arial" w:hAnsi="Arial"/>
                <w:b/>
                <w:bCs/>
                <w:color w:val="1B2A4A"/>
                <w:sz w:val="20"/>
                <w:szCs w:val="20"/>
              </w:rPr>
              <w:t xml:space="preserve">Capability</w:t>
            </w:r>
          </w:p>
        </w:tc>
        <w:tc>
          <w:tcPr>
            <w:tcW w:type="dxa" w:w="6480"/>
            <w:tcBorders>
              <w:top w:val="single" w:color="D1D5DB" w:sz="1"/>
              <w:left w:val="single" w:color="D1D5DB" w:sz="1"/>
              <w:bottom w:val="single" w:color="D1D5DB" w:sz="1"/>
              <w:right w:val="single" w:color="D1D5DB" w:sz="1"/>
            </w:tcBorders>
            <w:shd w:fill="DBEAFE" w:val="clear"/>
            <w:tcMar>
              <w:top w:type="dxa" w:w="100"/>
              <w:left w:type="dxa" w:w="160"/>
              <w:bottom w:type="dxa" w:w="100"/>
              <w:right w:type="dxa" w:w="120"/>
            </w:tcMar>
          </w:tcPr>
          <w:p>
            <w:pPr>
              <w:spacing w:after="0" w:before="0"/>
            </w:pPr>
            <w:r>
              <w:rPr>
                <w:rFonts w:ascii="Arial" w:cs="Arial" w:eastAsia="Arial" w:hAnsi="Arial"/>
                <w:b/>
                <w:bCs/>
                <w:color w:val="1B2A4A"/>
                <w:sz w:val="20"/>
                <w:szCs w:val="20"/>
              </w:rPr>
              <w:t xml:space="preserve">Description</w:t>
            </w:r>
          </w:p>
        </w:tc>
      </w:tr>
      <w:tr>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llms.txt Generator</w:t>
            </w:r>
          </w:p>
        </w:tc>
        <w:tc>
          <w:tcPr>
            <w:tcW w:type="dxa" w:w="64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Creates a structured llms.txt file — a new web standard that tells large language models (LLMs) how to understand and represent a website. The generator guides users through defining site purpose, key pages, service categories, and brand USPs, then produces a publish-ready file.</w:t>
            </w:r>
          </w:p>
        </w:tc>
      </w:tr>
      <w:tr>
        <w:tc>
          <w:tcPr>
            <w:tcW w:type="dxa" w:w="28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AI Discovery Audit</w:t>
            </w:r>
          </w:p>
        </w:tc>
        <w:tc>
          <w:tcPr>
            <w:tcW w:type="dxa" w:w="64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Evaluates how visible and accurately a brand is represented across AI search platforms. Scores the website on vector embedding optimisation, entity recognition, content structure, internal linking, FAQ coverage, and citation-worthiness. Outputs a GEO Score with a detailed action plan.</w:t>
            </w:r>
          </w:p>
        </w:tc>
      </w:tr>
      <w:tr>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AI Mentions Tracker</w:t>
            </w:r>
          </w:p>
        </w:tc>
        <w:tc>
          <w:tcPr>
            <w:tcW w:type="dxa" w:w="64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Monitors whether and how a brand is mentioned in AI-generated responses for target keywords. Tracks mention frequency, sentiment, and accuracy across multiple AI platforms to benchmark share of AI voice over time.</w:t>
            </w:r>
          </w:p>
        </w:tc>
      </w:tr>
      <w:tr>
        <w:tc>
          <w:tcPr>
            <w:tcW w:type="dxa" w:w="28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GEO On-Page Optimisation</w:t>
            </w:r>
          </w:p>
        </w:tc>
        <w:tc>
          <w:tcPr>
            <w:tcW w:type="dxa" w:w="64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Applies GEO-specific recommendations to individual pages. Covers entity optimisation, semantic content structuring, FAQ and People Also Ask integration, citation-building strategy, and internal linking improvements designed to increase the likelihood of AI citation.</w:t>
            </w:r>
          </w:p>
        </w:tc>
      </w:tr>
      <w:tr>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Schema Generator (GEO)</w:t>
            </w:r>
          </w:p>
        </w:tc>
        <w:tc>
          <w:tcPr>
            <w:tcW w:type="dxa" w:w="64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Generates schema markup with a GEO lens — prioritising entity-rich, LLM-legible structured data formats that improve how AI systems parse and represent page content.</w:t>
            </w:r>
          </w:p>
        </w:tc>
      </w:tr>
    </w:tbl>
    <w:p>
      <w:pPr>
        <w:spacing w:after="200" w:before="0"/>
      </w:pPr>
      <w:r>
        <w:t xml:space="preserve"/>
      </w:r>
    </w:p>
    <w:p>
      <w:pPr>
        <w:pStyle w:val="Heading2"/>
        <w:shd w:fill="2563EB" w:val="clear"/>
        <w:spacing w:after="0" w:before="300"/>
        <w:ind w:left="140"/>
        <w:jc w:val="left"/>
      </w:pPr>
      <w:r>
        <w:rPr>
          <w:rFonts w:ascii="Arial" w:cs="Arial" w:eastAsia="Arial" w:hAnsi="Arial"/>
          <w:b/>
          <w:bCs/>
          <w:color w:val="FFFFFF"/>
          <w:sz w:val="28"/>
          <w:szCs w:val="28"/>
        </w:rPr>
        <w:t xml:space="preserve">4.  Search Engine Marketing (SEM)</w:t>
      </w:r>
    </w:p>
    <w:p>
      <w:pPr>
        <w:spacing w:after="80" w:before="0"/>
      </w:pPr>
      <w:r>
        <w:t xml:space="preserve"/>
      </w:r>
    </w:p>
    <w:p>
      <w:pPr>
        <w:spacing w:after="120" w:before="0"/>
        <w:jc w:val="left"/>
      </w:pPr>
      <w:r>
        <w:rPr>
          <w:rFonts w:ascii="Arial" w:cs="Arial" w:eastAsia="Arial" w:hAnsi="Arial"/>
          <w:b w:val="false"/>
          <w:bCs w:val="false"/>
          <w:i w:val="false"/>
          <w:iCs w:val="false"/>
          <w:color w:val="1E293B"/>
          <w:sz w:val="22"/>
          <w:szCs w:val="22"/>
        </w:rPr>
        <w:t xml:space="preserve">The SEM module manages the full paid media workflow — from strategy and ad creation through to live campaign monitoring — with native integrations into Google Ads, Meta Ads, and Google Analytics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1D5DB" w:sz="1"/>
              <w:left w:val="single" w:color="D1D5DB" w:sz="1"/>
              <w:bottom w:val="single" w:color="D1D5DB" w:sz="1"/>
              <w:right w:val="single" w:color="D1D5DB" w:sz="1"/>
            </w:tcBorders>
            <w:shd w:fill="DBEAFE" w:val="clear"/>
            <w:tcMar>
              <w:top w:type="dxa" w:w="100"/>
              <w:left w:type="dxa" w:w="160"/>
              <w:bottom w:type="dxa" w:w="100"/>
              <w:right w:type="dxa" w:w="120"/>
            </w:tcMar>
          </w:tcPr>
          <w:p>
            <w:pPr>
              <w:spacing w:after="0" w:before="0"/>
            </w:pPr>
            <w:r>
              <w:rPr>
                <w:rFonts w:ascii="Arial" w:cs="Arial" w:eastAsia="Arial" w:hAnsi="Arial"/>
                <w:b/>
                <w:bCs/>
                <w:color w:val="1B2A4A"/>
                <w:sz w:val="20"/>
                <w:szCs w:val="20"/>
              </w:rPr>
              <w:t xml:space="preserve">Capability</w:t>
            </w:r>
          </w:p>
        </w:tc>
        <w:tc>
          <w:tcPr>
            <w:tcW w:type="dxa" w:w="6480"/>
            <w:tcBorders>
              <w:top w:val="single" w:color="D1D5DB" w:sz="1"/>
              <w:left w:val="single" w:color="D1D5DB" w:sz="1"/>
              <w:bottom w:val="single" w:color="D1D5DB" w:sz="1"/>
              <w:right w:val="single" w:color="D1D5DB" w:sz="1"/>
            </w:tcBorders>
            <w:shd w:fill="DBEAFE" w:val="clear"/>
            <w:tcMar>
              <w:top w:type="dxa" w:w="100"/>
              <w:left w:type="dxa" w:w="160"/>
              <w:bottom w:type="dxa" w:w="100"/>
              <w:right w:type="dxa" w:w="120"/>
            </w:tcMar>
          </w:tcPr>
          <w:p>
            <w:pPr>
              <w:spacing w:after="0" w:before="0"/>
            </w:pPr>
            <w:r>
              <w:rPr>
                <w:rFonts w:ascii="Arial" w:cs="Arial" w:eastAsia="Arial" w:hAnsi="Arial"/>
                <w:b/>
                <w:bCs/>
                <w:color w:val="1B2A4A"/>
                <w:sz w:val="20"/>
                <w:szCs w:val="20"/>
              </w:rPr>
              <w:t xml:space="preserve">Description</w:t>
            </w:r>
          </w:p>
        </w:tc>
      </w:tr>
      <w:tr>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SEM Strategy &amp; Ad Generation</w:t>
            </w:r>
          </w:p>
        </w:tc>
        <w:tc>
          <w:tcPr>
            <w:tcW w:type="dxa" w:w="64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Produces complete paid search strategies and ad copy variations for Google and Bing. Accepts campaign objectives, audience parameters, and budget constraints. Outputs headline and description combinations, audience targeting recommendations, and bidding strategy guidance.</w:t>
            </w:r>
          </w:p>
        </w:tc>
      </w:tr>
      <w:tr>
        <w:tc>
          <w:tcPr>
            <w:tcW w:type="dxa" w:w="28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Google Ads Integration</w:t>
            </w:r>
          </w:p>
        </w:tc>
        <w:tc>
          <w:tcPr>
            <w:tcW w:type="dxa" w:w="64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Connects directly to Google Ads accounts to surface campaign performance data — impressions, clicks, CTR, conversions, ROAS, and cost metrics — within the Digimetrics interface. Supports campaign-level and ad group-level analysis.</w:t>
            </w:r>
          </w:p>
        </w:tc>
      </w:tr>
      <w:tr>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Meta Ads Integration</w:t>
            </w:r>
          </w:p>
        </w:tc>
        <w:tc>
          <w:tcPr>
            <w:tcW w:type="dxa" w:w="64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Links to Facebook and Instagram advertising accounts via the Meta Ads API. Displays creative performance, audience reach, frequency, conversion rates, and spend data alongside organic social metrics for a unified paid-and-earned view.</w:t>
            </w:r>
          </w:p>
        </w:tc>
      </w:tr>
      <w:tr>
        <w:tc>
          <w:tcPr>
            <w:tcW w:type="dxa" w:w="28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Google Analytics 4 Integration</w:t>
            </w:r>
          </w:p>
        </w:tc>
        <w:tc>
          <w:tcPr>
            <w:tcW w:type="dxa" w:w="64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Pulls live GA4 data into the Digimetrics cockpit. Surfaces traffic sources, user behaviour, conversion events, and goal completions. Enables cross-channel attribution analysis without requiring users to leave the platform.</w:t>
            </w:r>
          </w:p>
        </w:tc>
      </w:tr>
      <w:tr>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Media Plan Builder</w:t>
            </w:r>
          </w:p>
        </w:tc>
        <w:tc>
          <w:tcPr>
            <w:tcW w:type="dxa" w:w="64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Constructs structured, multi-channel media plans with channel allocation, budget distribution, timeline, ad format selection, and persona targeting. Designed to be client-presentable with minimal manual formatting required.</w:t>
            </w:r>
          </w:p>
        </w:tc>
      </w:tr>
    </w:tbl>
    <w:p>
      <w:pPr>
        <w:spacing w:after="200" w:before="0"/>
      </w:pPr>
      <w:r>
        <w:t xml:space="preserve"/>
      </w:r>
    </w:p>
    <w:p>
      <w:r>
        <w:br w:type="page"/>
      </w:r>
    </w:p>
    <w:p>
      <w:pPr>
        <w:pStyle w:val="Heading2"/>
        <w:shd w:fill="2563EB" w:val="clear"/>
        <w:spacing w:after="0" w:before="300"/>
        <w:ind w:left="140"/>
        <w:jc w:val="left"/>
      </w:pPr>
      <w:r>
        <w:rPr>
          <w:rFonts w:ascii="Arial" w:cs="Arial" w:eastAsia="Arial" w:hAnsi="Arial"/>
          <w:b/>
          <w:bCs/>
          <w:color w:val="FFFFFF"/>
          <w:sz w:val="28"/>
          <w:szCs w:val="28"/>
        </w:rPr>
        <w:t xml:space="preserve">5.  Competitive &amp; Audience Intelligence</w:t>
      </w:r>
    </w:p>
    <w:p>
      <w:pPr>
        <w:spacing w:after="80" w:before="0"/>
      </w:pPr>
      <w:r>
        <w:t xml:space="preserve"/>
      </w:r>
    </w:p>
    <w:p>
      <w:pPr>
        <w:spacing w:after="120" w:before="0"/>
        <w:jc w:val="left"/>
      </w:pPr>
      <w:r>
        <w:rPr>
          <w:rFonts w:ascii="Arial" w:cs="Arial" w:eastAsia="Arial" w:hAnsi="Arial"/>
          <w:b w:val="false"/>
          <w:bCs w:val="false"/>
          <w:i w:val="false"/>
          <w:iCs w:val="false"/>
          <w:color w:val="1E293B"/>
          <w:sz w:val="22"/>
          <w:szCs w:val="22"/>
        </w:rPr>
        <w:t xml:space="preserve">These tools give agency teams a deep understanding of the competitive landscape and target audiences, enabling data-driven strategy decisions and more precise campaign targeting.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1D5DB" w:sz="1"/>
              <w:left w:val="single" w:color="D1D5DB" w:sz="1"/>
              <w:bottom w:val="single" w:color="D1D5DB" w:sz="1"/>
              <w:right w:val="single" w:color="D1D5DB" w:sz="1"/>
            </w:tcBorders>
            <w:shd w:fill="DBEAFE" w:val="clear"/>
            <w:tcMar>
              <w:top w:type="dxa" w:w="100"/>
              <w:left w:type="dxa" w:w="160"/>
              <w:bottom w:type="dxa" w:w="100"/>
              <w:right w:type="dxa" w:w="120"/>
            </w:tcMar>
          </w:tcPr>
          <w:p>
            <w:pPr>
              <w:spacing w:after="0" w:before="0"/>
            </w:pPr>
            <w:r>
              <w:rPr>
                <w:rFonts w:ascii="Arial" w:cs="Arial" w:eastAsia="Arial" w:hAnsi="Arial"/>
                <w:b/>
                <w:bCs/>
                <w:color w:val="1B2A4A"/>
                <w:sz w:val="20"/>
                <w:szCs w:val="20"/>
              </w:rPr>
              <w:t xml:space="preserve">Capability</w:t>
            </w:r>
          </w:p>
        </w:tc>
        <w:tc>
          <w:tcPr>
            <w:tcW w:type="dxa" w:w="6480"/>
            <w:tcBorders>
              <w:top w:val="single" w:color="D1D5DB" w:sz="1"/>
              <w:left w:val="single" w:color="D1D5DB" w:sz="1"/>
              <w:bottom w:val="single" w:color="D1D5DB" w:sz="1"/>
              <w:right w:val="single" w:color="D1D5DB" w:sz="1"/>
            </w:tcBorders>
            <w:shd w:fill="DBEAFE" w:val="clear"/>
            <w:tcMar>
              <w:top w:type="dxa" w:w="100"/>
              <w:left w:type="dxa" w:w="160"/>
              <w:bottom w:type="dxa" w:w="100"/>
              <w:right w:type="dxa" w:w="120"/>
            </w:tcMar>
          </w:tcPr>
          <w:p>
            <w:pPr>
              <w:spacing w:after="0" w:before="0"/>
            </w:pPr>
            <w:r>
              <w:rPr>
                <w:rFonts w:ascii="Arial" w:cs="Arial" w:eastAsia="Arial" w:hAnsi="Arial"/>
                <w:b/>
                <w:bCs/>
                <w:color w:val="1B2A4A"/>
                <w:sz w:val="20"/>
                <w:szCs w:val="20"/>
              </w:rPr>
              <w:t xml:space="preserve">Description</w:t>
            </w:r>
          </w:p>
        </w:tc>
      </w:tr>
      <w:tr>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Competitors Identifier</w:t>
            </w:r>
          </w:p>
        </w:tc>
        <w:tc>
          <w:tcPr>
            <w:tcW w:type="dxa" w:w="64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Automatically discovers organic and paid competitors for any domain or keyword set. Analyses competitor keyword overlap, domain authority, content volume, and ad spend signals to build a prioritised competitive matrix.</w:t>
            </w:r>
          </w:p>
        </w:tc>
      </w:tr>
      <w:tr>
        <w:tc>
          <w:tcPr>
            <w:tcW w:type="dxa" w:w="28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Persona Generator</w:t>
            </w:r>
          </w:p>
        </w:tc>
        <w:tc>
          <w:tcPr>
            <w:tcW w:type="dxa" w:w="64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Uses AI to construct detailed audience personas from industry data, keyword intent signals, and user-supplied brand context. Each persona includes demographic profile, psychographic traits, pain points, decision triggers, and preferred content formats — complete with a persona filter database for reuse.</w:t>
            </w:r>
          </w:p>
        </w:tc>
      </w:tr>
      <w:tr>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Content Check</w:t>
            </w:r>
          </w:p>
        </w:tc>
        <w:tc>
          <w:tcPr>
            <w:tcW w:type="dxa" w:w="64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Validates content against a defined keyword strategy and audience persona. Analyses readability, keyword density, topical completeness, and compliance with brand or industry guidelines. Flags gaps and generates improvement recommendations.</w:t>
            </w:r>
          </w:p>
        </w:tc>
      </w:tr>
      <w:tr>
        <w:tc>
          <w:tcPr>
            <w:tcW w:type="dxa" w:w="28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Landing Page Audit</w:t>
            </w:r>
          </w:p>
        </w:tc>
        <w:tc>
          <w:tcPr>
            <w:tcW w:type="dxa" w:w="64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Evaluates landing pages from a conversion optimisation perspective. Reviews headline relevance, CTA prominence, trust signals, page speed, mobile experience, and alignment with the ad or organic traffic source. Produces a scored audit with actionable fixes.</w:t>
            </w:r>
          </w:p>
        </w:tc>
      </w:tr>
      <w:tr>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AI Content Optimiser</w:t>
            </w:r>
          </w:p>
        </w:tc>
        <w:tc>
          <w:tcPr>
            <w:tcW w:type="dxa" w:w="64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Compares client content against top-ranking competitor pages for the same keywords. Identifies structural, topical, and length-based gaps and generates AI-written optimisation suggestions to close the gap and improve competitive ranking potential.</w:t>
            </w:r>
          </w:p>
        </w:tc>
      </w:tr>
      <w:tr>
        <w:tc>
          <w:tcPr>
            <w:tcW w:type="dxa" w:w="28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Google Search Console Integration</w:t>
            </w:r>
          </w:p>
        </w:tc>
        <w:tc>
          <w:tcPr>
            <w:tcW w:type="dxa" w:w="64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Connects to Google Search Console to import click, impression, position, and CTR data by query and page. Used to identify underperforming pages with high impression-to-click ratios, track position changes, and validate the impact of SEO changes.</w:t>
            </w:r>
          </w:p>
        </w:tc>
      </w:tr>
    </w:tbl>
    <w:p>
      <w:pPr>
        <w:spacing w:after="200" w:before="0"/>
      </w:pPr>
      <w:r>
        <w:t xml:space="preserve"/>
      </w:r>
    </w:p>
    <w:p>
      <w:pPr>
        <w:pStyle w:val="Heading2"/>
        <w:shd w:fill="2563EB" w:val="clear"/>
        <w:spacing w:after="0" w:before="300"/>
        <w:ind w:left="140"/>
        <w:jc w:val="left"/>
      </w:pPr>
      <w:r>
        <w:rPr>
          <w:rFonts w:ascii="Arial" w:cs="Arial" w:eastAsia="Arial" w:hAnsi="Arial"/>
          <w:b/>
          <w:bCs/>
          <w:color w:val="FFFFFF"/>
          <w:sz w:val="28"/>
          <w:szCs w:val="28"/>
        </w:rPr>
        <w:t xml:space="preserve">6.  Performance Cockpit</w:t>
      </w:r>
    </w:p>
    <w:p>
      <w:pPr>
        <w:spacing w:after="80" w:before="0"/>
      </w:pPr>
      <w:r>
        <w:t xml:space="preserve"/>
      </w:r>
    </w:p>
    <w:p>
      <w:pPr>
        <w:spacing w:after="120" w:before="0"/>
        <w:jc w:val="left"/>
      </w:pPr>
      <w:r>
        <w:rPr>
          <w:rFonts w:ascii="Arial" w:cs="Arial" w:eastAsia="Arial" w:hAnsi="Arial"/>
          <w:b w:val="false"/>
          <w:bCs w:val="false"/>
          <w:i w:val="false"/>
          <w:iCs w:val="false"/>
          <w:color w:val="1E293B"/>
          <w:sz w:val="22"/>
          <w:szCs w:val="22"/>
        </w:rPr>
        <w:t xml:space="preserve">The Cockpit is Digimetrics's centralised performance dashboard. It aggregates data from all connected platforms and presents a real-time view of marketing performance across channels, campaigns, and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1D5DB" w:sz="1"/>
              <w:left w:val="single" w:color="D1D5DB" w:sz="1"/>
              <w:bottom w:val="single" w:color="D1D5DB" w:sz="1"/>
              <w:right w:val="single" w:color="D1D5DB" w:sz="1"/>
            </w:tcBorders>
            <w:shd w:fill="DBEAFE" w:val="clear"/>
            <w:tcMar>
              <w:top w:type="dxa" w:w="100"/>
              <w:left w:type="dxa" w:w="160"/>
              <w:bottom w:type="dxa" w:w="100"/>
              <w:right w:type="dxa" w:w="120"/>
            </w:tcMar>
          </w:tcPr>
          <w:p>
            <w:pPr>
              <w:spacing w:after="0" w:before="0"/>
            </w:pPr>
            <w:r>
              <w:rPr>
                <w:rFonts w:ascii="Arial" w:cs="Arial" w:eastAsia="Arial" w:hAnsi="Arial"/>
                <w:b/>
                <w:bCs/>
                <w:color w:val="1B2A4A"/>
                <w:sz w:val="20"/>
                <w:szCs w:val="20"/>
              </w:rPr>
              <w:t xml:space="preserve">Capability</w:t>
            </w:r>
          </w:p>
        </w:tc>
        <w:tc>
          <w:tcPr>
            <w:tcW w:type="dxa" w:w="6480"/>
            <w:tcBorders>
              <w:top w:val="single" w:color="D1D5DB" w:sz="1"/>
              <w:left w:val="single" w:color="D1D5DB" w:sz="1"/>
              <w:bottom w:val="single" w:color="D1D5DB" w:sz="1"/>
              <w:right w:val="single" w:color="D1D5DB" w:sz="1"/>
            </w:tcBorders>
            <w:shd w:fill="DBEAFE" w:val="clear"/>
            <w:tcMar>
              <w:top w:type="dxa" w:w="100"/>
              <w:left w:type="dxa" w:w="160"/>
              <w:bottom w:type="dxa" w:w="100"/>
              <w:right w:type="dxa" w:w="120"/>
            </w:tcMar>
          </w:tcPr>
          <w:p>
            <w:pPr>
              <w:spacing w:after="0" w:before="0"/>
            </w:pPr>
            <w:r>
              <w:rPr>
                <w:rFonts w:ascii="Arial" w:cs="Arial" w:eastAsia="Arial" w:hAnsi="Arial"/>
                <w:b/>
                <w:bCs/>
                <w:color w:val="1B2A4A"/>
                <w:sz w:val="20"/>
                <w:szCs w:val="20"/>
              </w:rPr>
              <w:t xml:space="preserve">Description</w:t>
            </w:r>
          </w:p>
        </w:tc>
      </w:tr>
      <w:tr>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Cross-Channel Dashboard</w:t>
            </w:r>
          </w:p>
        </w:tc>
        <w:tc>
          <w:tcPr>
            <w:tcW w:type="dxa" w:w="64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Displays aggregated KPIs from Google Analytics 4, Google Ads, Meta Ads, and Google Search Console in a single view. Traffic trends, conversion metrics, campaign performance, and keyword rankings are presented in interactive charts updated in real time.</w:t>
            </w:r>
          </w:p>
        </w:tc>
      </w:tr>
      <w:tr>
        <w:tc>
          <w:tcPr>
            <w:tcW w:type="dxa" w:w="28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Campaign Monitoring</w:t>
            </w:r>
          </w:p>
        </w:tc>
        <w:tc>
          <w:tcPr>
            <w:tcW w:type="dxa" w:w="64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Tracks active campaign performance across all paid and organic channels. Highlights over- and under-performing campaigns, spend pacing, and conversion rate trends. Supports multi-client management from one interface.</w:t>
            </w:r>
          </w:p>
        </w:tc>
      </w:tr>
      <w:tr>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Progress Tracking</w:t>
            </w:r>
          </w:p>
        </w:tc>
        <w:tc>
          <w:tcPr>
            <w:tcW w:type="dxa" w:w="64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Monitors SEO and content project milestones over time. Displays position history, traffic growth, and conversion improvements with timeline charts to demonstrate campaign ROI to clients.</w:t>
            </w:r>
          </w:p>
        </w:tc>
      </w:tr>
      <w:tr>
        <w:tc>
          <w:tcPr>
            <w:tcW w:type="dxa" w:w="28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PDF Report Export</w:t>
            </w:r>
          </w:p>
        </w:tc>
        <w:tc>
          <w:tcPr>
            <w:tcW w:type="dxa" w:w="64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Generates a branded, client-ready PDF report from any section of the Cockpit or SEO module. Reports include charts, tables, and AI-generated commentary — ready to send to clients without manual formatting.</w:t>
            </w:r>
          </w:p>
        </w:tc>
      </w:tr>
    </w:tbl>
    <w:p>
      <w:pPr>
        <w:spacing w:after="200" w:before="0"/>
      </w:pPr>
      <w:r>
        <w:t xml:space="preserve"/>
      </w:r>
    </w:p>
    <w:p>
      <w:r>
        <w:br w:type="page"/>
      </w:r>
    </w:p>
    <w:p>
      <w:pPr>
        <w:pStyle w:val="Heading2"/>
        <w:shd w:fill="2563EB" w:val="clear"/>
        <w:spacing w:after="0" w:before="300"/>
        <w:ind w:left="140"/>
        <w:jc w:val="left"/>
      </w:pPr>
      <w:r>
        <w:rPr>
          <w:rFonts w:ascii="Arial" w:cs="Arial" w:eastAsia="Arial" w:hAnsi="Arial"/>
          <w:b/>
          <w:bCs/>
          <w:color w:val="FFFFFF"/>
          <w:sz w:val="28"/>
          <w:szCs w:val="28"/>
        </w:rPr>
        <w:t xml:space="preserve">7.  Backlinks Manager</w:t>
      </w:r>
    </w:p>
    <w:p>
      <w:pPr>
        <w:spacing w:after="80" w:before="0"/>
      </w:pPr>
      <w:r>
        <w:t xml:space="preserve"/>
      </w:r>
    </w:p>
    <w:p>
      <w:pPr>
        <w:spacing w:after="120" w:before="0"/>
        <w:jc w:val="left"/>
      </w:pPr>
      <w:r>
        <w:rPr>
          <w:rFonts w:ascii="Arial" w:cs="Arial" w:eastAsia="Arial" w:hAnsi="Arial"/>
          <w:b w:val="false"/>
          <w:bCs w:val="false"/>
          <w:i w:val="false"/>
          <w:iCs w:val="false"/>
          <w:color w:val="1E293B"/>
          <w:sz w:val="22"/>
          <w:szCs w:val="22"/>
        </w:rPr>
        <w:t xml:space="preserve">A fully featured backlink campaign management system with vendor tracking, quality validation, cost control, and keyword ranking integration — accessible as a dedicated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1D5DB" w:sz="1"/>
              <w:left w:val="single" w:color="D1D5DB" w:sz="1"/>
              <w:bottom w:val="single" w:color="D1D5DB" w:sz="1"/>
              <w:right w:val="single" w:color="D1D5DB" w:sz="1"/>
            </w:tcBorders>
            <w:shd w:fill="DBEAFE" w:val="clear"/>
            <w:tcMar>
              <w:top w:type="dxa" w:w="100"/>
              <w:left w:type="dxa" w:w="160"/>
              <w:bottom w:type="dxa" w:w="100"/>
              <w:right w:type="dxa" w:w="120"/>
            </w:tcMar>
          </w:tcPr>
          <w:p>
            <w:pPr>
              <w:spacing w:after="0" w:before="0"/>
            </w:pPr>
            <w:r>
              <w:rPr>
                <w:rFonts w:ascii="Arial" w:cs="Arial" w:eastAsia="Arial" w:hAnsi="Arial"/>
                <w:b/>
                <w:bCs/>
                <w:color w:val="1B2A4A"/>
                <w:sz w:val="20"/>
                <w:szCs w:val="20"/>
              </w:rPr>
              <w:t xml:space="preserve">Capability</w:t>
            </w:r>
          </w:p>
        </w:tc>
        <w:tc>
          <w:tcPr>
            <w:tcW w:type="dxa" w:w="6480"/>
            <w:tcBorders>
              <w:top w:val="single" w:color="D1D5DB" w:sz="1"/>
              <w:left w:val="single" w:color="D1D5DB" w:sz="1"/>
              <w:bottom w:val="single" w:color="D1D5DB" w:sz="1"/>
              <w:right w:val="single" w:color="D1D5DB" w:sz="1"/>
            </w:tcBorders>
            <w:shd w:fill="DBEAFE" w:val="clear"/>
            <w:tcMar>
              <w:top w:type="dxa" w:w="100"/>
              <w:left w:type="dxa" w:w="160"/>
              <w:bottom w:type="dxa" w:w="100"/>
              <w:right w:type="dxa" w:w="120"/>
            </w:tcMar>
          </w:tcPr>
          <w:p>
            <w:pPr>
              <w:spacing w:after="0" w:before="0"/>
            </w:pPr>
            <w:r>
              <w:rPr>
                <w:rFonts w:ascii="Arial" w:cs="Arial" w:eastAsia="Arial" w:hAnsi="Arial"/>
                <w:b/>
                <w:bCs/>
                <w:color w:val="1B2A4A"/>
                <w:sz w:val="20"/>
                <w:szCs w:val="20"/>
              </w:rPr>
              <w:t xml:space="preserve">Description</w:t>
            </w:r>
          </w:p>
        </w:tc>
      </w:tr>
      <w:tr>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Campaign Management</w:t>
            </w:r>
          </w:p>
        </w:tc>
        <w:tc>
          <w:tcPr>
            <w:tcW w:type="dxa" w:w="64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Creates and tracks backlink acquisition campaigns from end to end. Organises campaigns by client, status, and link type. Displays active campaigns, delivered link counts, and campaign-level performance metrics on a real-time dashboard.</w:t>
            </w:r>
          </w:p>
        </w:tc>
      </w:tr>
      <w:tr>
        <w:tc>
          <w:tcPr>
            <w:tcW w:type="dxa" w:w="28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Vendor &amp; Personnel Tracking</w:t>
            </w:r>
          </w:p>
        </w:tc>
        <w:tc>
          <w:tcPr>
            <w:tcW w:type="dxa" w:w="64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Manages the roster of backlink vendors, freelancers, and outreach partners. Records vendor performance history, pricing tiers, and contact details, enabling consistent supplier relationship management across the agency.</w:t>
            </w:r>
          </w:p>
        </w:tc>
      </w:tr>
      <w:tr>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Bulk Backlink Validator</w:t>
            </w:r>
          </w:p>
        </w:tc>
        <w:tc>
          <w:tcPr>
            <w:tcW w:type="dxa" w:w="64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Accepts bulk imports of backlink URLs and automatically validates each link for live status, anchor text accuracy, do-follow/no-follow classification, and domain authority. Flags broken, removed, or mismatched links for remediation.</w:t>
            </w:r>
          </w:p>
        </w:tc>
      </w:tr>
      <w:tr>
        <w:tc>
          <w:tcPr>
            <w:tcW w:type="dxa" w:w="28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Cost Management</w:t>
            </w:r>
          </w:p>
        </w:tc>
        <w:tc>
          <w:tcPr>
            <w:tcW w:type="dxa" w:w="64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Tracks spend per campaign, per vendor, and per link type. Displays budget allocation, invoice history, and cost-per-link analytics to support financial reporting and margin management.</w:t>
            </w:r>
          </w:p>
        </w:tc>
      </w:tr>
      <w:tr>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Keyword Rankings Integration</w:t>
            </w:r>
          </w:p>
        </w:tc>
        <w:tc>
          <w:tcPr>
            <w:tcW w:type="dxa" w:w="64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Overlays keyword position data against backlink activity, enabling teams to correlate link acquisition with ranking improvements. Supports SE Ranking import and Monday.com data sync.</w:t>
            </w:r>
          </w:p>
        </w:tc>
      </w:tr>
      <w:tr>
        <w:tc>
          <w:tcPr>
            <w:tcW w:type="dxa" w:w="28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Monday.com Import</w:t>
            </w:r>
          </w:p>
        </w:tc>
        <w:tc>
          <w:tcPr>
            <w:tcW w:type="dxa" w:w="64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Pulls campaign and backlink data directly from Monday.com boards, eliminating double-entry and keeping the Backlinks Manager synchronised with project management records.</w:t>
            </w:r>
          </w:p>
        </w:tc>
      </w:tr>
      <w:tr>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Import History &amp; Audit Trail</w:t>
            </w:r>
          </w:p>
        </w:tc>
        <w:tc>
          <w:tcPr>
            <w:tcW w:type="dxa" w:w="64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Maintains a full log of all imports, validations, and status changes, providing an auditable record of backlink campaign activity for quality assurance and client reporting.</w:t>
            </w:r>
          </w:p>
        </w:tc>
      </w:tr>
    </w:tbl>
    <w:p>
      <w:pPr>
        <w:spacing w:after="200" w:before="0"/>
      </w:pPr>
      <w:r>
        <w:t xml:space="preserve"/>
      </w:r>
    </w:p>
    <w:p>
      <w:pPr>
        <w:pStyle w:val="Heading2"/>
        <w:shd w:fill="2563EB" w:val="clear"/>
        <w:spacing w:after="0" w:before="300"/>
        <w:ind w:left="140"/>
        <w:jc w:val="left"/>
      </w:pPr>
      <w:r>
        <w:rPr>
          <w:rFonts w:ascii="Arial" w:cs="Arial" w:eastAsia="Arial" w:hAnsi="Arial"/>
          <w:b/>
          <w:bCs/>
          <w:color w:val="FFFFFF"/>
          <w:sz w:val="28"/>
          <w:szCs w:val="28"/>
        </w:rPr>
        <w:t xml:space="preserve">8.  AI Recruitment — CV Screening &amp; Shortlisting</w:t>
      </w:r>
    </w:p>
    <w:p>
      <w:pPr>
        <w:spacing w:after="80" w:before="0"/>
      </w:pPr>
      <w:r>
        <w:t xml:space="preserve"/>
      </w:r>
    </w:p>
    <w:p>
      <w:pPr>
        <w:spacing w:after="120" w:before="0"/>
        <w:jc w:val="left"/>
      </w:pPr>
      <w:r>
        <w:rPr>
          <w:rFonts w:ascii="Arial" w:cs="Arial" w:eastAsia="Arial" w:hAnsi="Arial"/>
          <w:b w:val="false"/>
          <w:bCs w:val="false"/>
          <w:i w:val="false"/>
          <w:iCs w:val="false"/>
          <w:color w:val="1E293B"/>
          <w:sz w:val="22"/>
          <w:szCs w:val="22"/>
        </w:rPr>
        <w:t xml:space="preserve">An end-to-end recruitment management system with AI-powered CV evaluation, designed to accelerate and improve candidate shortlisting for both internal hiring and client recruitment mandates.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1D5DB" w:sz="1"/>
              <w:left w:val="single" w:color="D1D5DB" w:sz="1"/>
              <w:bottom w:val="single" w:color="D1D5DB" w:sz="1"/>
              <w:right w:val="single" w:color="D1D5DB" w:sz="1"/>
            </w:tcBorders>
            <w:shd w:fill="DBEAFE" w:val="clear"/>
            <w:tcMar>
              <w:top w:type="dxa" w:w="100"/>
              <w:left w:type="dxa" w:w="160"/>
              <w:bottom w:type="dxa" w:w="100"/>
              <w:right w:type="dxa" w:w="120"/>
            </w:tcMar>
          </w:tcPr>
          <w:p>
            <w:pPr>
              <w:spacing w:after="0" w:before="0"/>
            </w:pPr>
            <w:r>
              <w:rPr>
                <w:rFonts w:ascii="Arial" w:cs="Arial" w:eastAsia="Arial" w:hAnsi="Arial"/>
                <w:b/>
                <w:bCs/>
                <w:color w:val="1B2A4A"/>
                <w:sz w:val="20"/>
                <w:szCs w:val="20"/>
              </w:rPr>
              <w:t xml:space="preserve">Capability</w:t>
            </w:r>
          </w:p>
        </w:tc>
        <w:tc>
          <w:tcPr>
            <w:tcW w:type="dxa" w:w="6480"/>
            <w:tcBorders>
              <w:top w:val="single" w:color="D1D5DB" w:sz="1"/>
              <w:left w:val="single" w:color="D1D5DB" w:sz="1"/>
              <w:bottom w:val="single" w:color="D1D5DB" w:sz="1"/>
              <w:right w:val="single" w:color="D1D5DB" w:sz="1"/>
            </w:tcBorders>
            <w:shd w:fill="DBEAFE" w:val="clear"/>
            <w:tcMar>
              <w:top w:type="dxa" w:w="100"/>
              <w:left w:type="dxa" w:w="160"/>
              <w:bottom w:type="dxa" w:w="100"/>
              <w:right w:type="dxa" w:w="120"/>
            </w:tcMar>
          </w:tcPr>
          <w:p>
            <w:pPr>
              <w:spacing w:after="0" w:before="0"/>
            </w:pPr>
            <w:r>
              <w:rPr>
                <w:rFonts w:ascii="Arial" w:cs="Arial" w:eastAsia="Arial" w:hAnsi="Arial"/>
                <w:b/>
                <w:bCs/>
                <w:color w:val="1B2A4A"/>
                <w:sz w:val="20"/>
                <w:szCs w:val="20"/>
              </w:rPr>
              <w:t xml:space="preserve">Description</w:t>
            </w:r>
          </w:p>
        </w:tc>
      </w:tr>
      <w:tr>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Job Advertisement Management</w:t>
            </w:r>
          </w:p>
        </w:tc>
        <w:tc>
          <w:tcPr>
            <w:tcW w:type="dxa" w:w="64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Creates, stores, and manages job advertisements with full role descriptions, requirements, and scoring criteria. Supports multiple concurrent open positions across different clients or departments.</w:t>
            </w:r>
          </w:p>
        </w:tc>
      </w:tr>
      <w:tr>
        <w:tc>
          <w:tcPr>
            <w:tcW w:type="dxa" w:w="28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AI CV Screening</w:t>
            </w:r>
          </w:p>
        </w:tc>
        <w:tc>
          <w:tcPr>
            <w:tcW w:type="dxa" w:w="64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Processes uploaded CVs (PDF, DOCX, ZIP batch) against configurable AI evaluation criteria and weighted scoring. Instantly assesses candidates on experience, qualification match, skills fit, and other user-defined dimensions — reducing manual review time from hours to minutes.</w:t>
            </w:r>
          </w:p>
        </w:tc>
      </w:tr>
      <w:tr>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Candidate Repository</w:t>
            </w:r>
          </w:p>
        </w:tc>
        <w:tc>
          <w:tcPr>
            <w:tcW w:type="dxa" w:w="64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Stores all screened candidates in a searchable database with AI-generated scores, evaluation summaries, and status labels. Enables side-by-side comparison and shortlist management within the platform.</w:t>
            </w:r>
          </w:p>
        </w:tc>
      </w:tr>
      <w:tr>
        <w:tc>
          <w:tcPr>
            <w:tcW w:type="dxa" w:w="28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Configurable Evaluation Criteria</w:t>
            </w:r>
          </w:p>
        </w:tc>
        <w:tc>
          <w:tcPr>
            <w:tcW w:type="dxa" w:w="64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Allows hiring managers to define and weight evaluation dimensions (e.g., years of experience, industry background, technical skills) and add standard interview questions that are automatically surfaced during the review process.</w:t>
            </w:r>
          </w:p>
        </w:tc>
      </w:tr>
      <w:tr>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CV Viewer</w:t>
            </w:r>
          </w:p>
        </w:tc>
        <w:tc>
          <w:tcPr>
            <w:tcW w:type="dxa" w:w="64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Renders candidate CVs directly within the platform — eliminating the need to open external documents. Supports PDF, DOCX, and image-based CVs.</w:t>
            </w:r>
          </w:p>
        </w:tc>
      </w:tr>
      <w:tr>
        <w:tc>
          <w:tcPr>
            <w:tcW w:type="dxa" w:w="28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User Management &amp; Activity Log</w:t>
            </w:r>
          </w:p>
        </w:tc>
        <w:tc>
          <w:tcPr>
            <w:tcW w:type="dxa" w:w="64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Controls access permissions for recruitment team members and maintains a timestamped activity log of all screening decisions, status changes, and notes — supporting compliance and process auditability.</w:t>
            </w:r>
          </w:p>
        </w:tc>
      </w:tr>
    </w:tbl>
    <w:p>
      <w:pPr>
        <w:spacing w:after="200" w:before="0"/>
      </w:pPr>
      <w:r>
        <w:t xml:space="preserve"/>
      </w:r>
    </w:p>
    <w:p>
      <w:r>
        <w:br w:type="page"/>
      </w:r>
    </w:p>
    <w:p>
      <w:pPr>
        <w:pStyle w:val="Heading2"/>
        <w:shd w:fill="2563EB" w:val="clear"/>
        <w:spacing w:after="0" w:before="300"/>
        <w:ind w:left="140"/>
        <w:jc w:val="left"/>
      </w:pPr>
      <w:r>
        <w:rPr>
          <w:rFonts w:ascii="Arial" w:cs="Arial" w:eastAsia="Arial" w:hAnsi="Arial"/>
          <w:b/>
          <w:bCs/>
          <w:color w:val="FFFFFF"/>
          <w:sz w:val="28"/>
          <w:szCs w:val="28"/>
        </w:rPr>
        <w:t xml:space="preserve">9.  TenderAI — Professional Tender Response System</w:t>
      </w:r>
    </w:p>
    <w:p>
      <w:pPr>
        <w:spacing w:after="80" w:before="0"/>
      </w:pPr>
      <w:r>
        <w:t xml:space="preserve"/>
      </w:r>
    </w:p>
    <w:p>
      <w:pPr>
        <w:spacing w:after="120" w:before="0"/>
        <w:jc w:val="left"/>
      </w:pPr>
      <w:r>
        <w:rPr>
          <w:rFonts w:ascii="Arial" w:cs="Arial" w:eastAsia="Arial" w:hAnsi="Arial"/>
          <w:b w:val="false"/>
          <w:bCs w:val="false"/>
          <w:i w:val="false"/>
          <w:iCs w:val="false"/>
          <w:color w:val="1E293B"/>
          <w:sz w:val="22"/>
          <w:szCs w:val="22"/>
        </w:rPr>
        <w:t xml:space="preserve">TenderAI is a comprehensive business development tool that streamlines the preparation and submission of tenders, RFPs, and formal proposals. It combines document management, AI writing assistance, competitive intelligence, and pricing tools in a single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1D5DB" w:sz="1"/>
              <w:left w:val="single" w:color="D1D5DB" w:sz="1"/>
              <w:bottom w:val="single" w:color="D1D5DB" w:sz="1"/>
              <w:right w:val="single" w:color="D1D5DB" w:sz="1"/>
            </w:tcBorders>
            <w:shd w:fill="DBEAFE" w:val="clear"/>
            <w:tcMar>
              <w:top w:type="dxa" w:w="100"/>
              <w:left w:type="dxa" w:w="160"/>
              <w:bottom w:type="dxa" w:w="100"/>
              <w:right w:type="dxa" w:w="120"/>
            </w:tcMar>
          </w:tcPr>
          <w:p>
            <w:pPr>
              <w:spacing w:after="0" w:before="0"/>
            </w:pPr>
            <w:r>
              <w:rPr>
                <w:rFonts w:ascii="Arial" w:cs="Arial" w:eastAsia="Arial" w:hAnsi="Arial"/>
                <w:b/>
                <w:bCs/>
                <w:color w:val="1B2A4A"/>
                <w:sz w:val="20"/>
                <w:szCs w:val="20"/>
              </w:rPr>
              <w:t xml:space="preserve">Capability</w:t>
            </w:r>
          </w:p>
        </w:tc>
        <w:tc>
          <w:tcPr>
            <w:tcW w:type="dxa" w:w="6480"/>
            <w:tcBorders>
              <w:top w:val="single" w:color="D1D5DB" w:sz="1"/>
              <w:left w:val="single" w:color="D1D5DB" w:sz="1"/>
              <w:bottom w:val="single" w:color="D1D5DB" w:sz="1"/>
              <w:right w:val="single" w:color="D1D5DB" w:sz="1"/>
            </w:tcBorders>
            <w:shd w:fill="DBEAFE" w:val="clear"/>
            <w:tcMar>
              <w:top w:type="dxa" w:w="100"/>
              <w:left w:type="dxa" w:w="160"/>
              <w:bottom w:type="dxa" w:w="100"/>
              <w:right w:type="dxa" w:w="120"/>
            </w:tcMar>
          </w:tcPr>
          <w:p>
            <w:pPr>
              <w:spacing w:after="0" w:before="0"/>
            </w:pPr>
            <w:r>
              <w:rPr>
                <w:rFonts w:ascii="Arial" w:cs="Arial" w:eastAsia="Arial" w:hAnsi="Arial"/>
                <w:b/>
                <w:bCs/>
                <w:color w:val="1B2A4A"/>
                <w:sz w:val="20"/>
                <w:szCs w:val="20"/>
              </w:rPr>
              <w:t xml:space="preserve">Description</w:t>
            </w:r>
          </w:p>
        </w:tc>
      </w:tr>
      <w:tr>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Tender Dashboard</w:t>
            </w:r>
          </w:p>
        </w:tc>
        <w:tc>
          <w:tcPr>
            <w:tcW w:type="dxa" w:w="64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Provides an overview of all active, submitted, and won tenders. Tracks status, deadlines, assigned team members, and submission history at a glance.</w:t>
            </w:r>
          </w:p>
        </w:tc>
      </w:tr>
      <w:tr>
        <w:tc>
          <w:tcPr>
            <w:tcW w:type="dxa" w:w="28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Document Repository</w:t>
            </w:r>
          </w:p>
        </w:tc>
        <w:tc>
          <w:tcPr>
            <w:tcW w:type="dxa" w:w="64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Stores all tender-related documents — briefs, specifications, supporting materials, and submission drafts — in a structured, version-controlled repository accessible to the full team.</w:t>
            </w:r>
          </w:p>
        </w:tc>
      </w:tr>
      <w:tr>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AI Co-Pilot</w:t>
            </w:r>
          </w:p>
        </w:tc>
        <w:tc>
          <w:tcPr>
            <w:tcW w:type="dxa" w:w="64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An embedded AI writing assistant that drafts, refines, and improves tender responses. Accepts project briefs, company background, and past submission data as context to generate compelling, compliant, and on-brand response copy.</w:t>
            </w:r>
          </w:p>
        </w:tc>
      </w:tr>
      <w:tr>
        <w:tc>
          <w:tcPr>
            <w:tcW w:type="dxa" w:w="28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Proof Bank</w:t>
            </w:r>
          </w:p>
        </w:tc>
        <w:tc>
          <w:tcPr>
            <w:tcW w:type="dxa" w:w="64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A library of pre-approved case studies, testimonials, statistics, and credentials that can be quickly inserted into tender responses. Eliminates repeated rewriting of standard evidence and ensures consistency across submissions.</w:t>
            </w:r>
          </w:p>
        </w:tc>
      </w:tr>
      <w:tr>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Team &amp; Expertise Management</w:t>
            </w:r>
          </w:p>
        </w:tc>
        <w:tc>
          <w:tcPr>
            <w:tcW w:type="dxa" w:w="64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Assigns specialist team members to tender sections based on their area of expertise. Tracks contribution, review status, and sign-off, enabling collaborative tender preparation with clear ownership.</w:t>
            </w:r>
          </w:p>
        </w:tc>
      </w:tr>
      <w:tr>
        <w:tc>
          <w:tcPr>
            <w:tcW w:type="dxa" w:w="28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Market Research Module</w:t>
            </w:r>
          </w:p>
        </w:tc>
        <w:tc>
          <w:tcPr>
            <w:tcW w:type="dxa" w:w="64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Conducts AI-assisted market research relevant to the tender brief. Surfaces industry statistics, market sizing data, and contextual intelligence to strengthen the strategic narrative of proposals.</w:t>
            </w:r>
          </w:p>
        </w:tc>
      </w:tr>
      <w:tr>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Competitor Analysis</w:t>
            </w:r>
          </w:p>
        </w:tc>
        <w:tc>
          <w:tcPr>
            <w:tcW w:type="dxa" w:w="64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Identifies likely competing bidders and analyses their known positioning, win rates, and differentiators. Maps blue ocean opportunities and red ocean threats to inform pricing and value proposition strategy.</w:t>
            </w:r>
          </w:p>
        </w:tc>
      </w:tr>
      <w:tr>
        <w:tc>
          <w:tcPr>
            <w:tcW w:type="dxa" w:w="28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Pricing &amp; Manpower Costing</w:t>
            </w:r>
          </w:p>
        </w:tc>
        <w:tc>
          <w:tcPr>
            <w:tcW w:type="dxa" w:w="64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Calculates project costings based on team composition, hourly rates, estimated hours, and overhead factors. Produces a formatted pricing schedule suitable for inclusion in formal tender submissions.</w:t>
            </w:r>
          </w:p>
        </w:tc>
      </w:tr>
      <w:tr>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Past Submissions Repository</w:t>
            </w:r>
          </w:p>
        </w:tc>
        <w:tc>
          <w:tcPr>
            <w:tcW w:type="dxa" w:w="64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Archives previous tender submissions with outcome records. Enables teams to learn from past wins and losses, reuse effective sections, and track improvement over time.</w:t>
            </w:r>
          </w:p>
        </w:tc>
      </w:tr>
      <w:tr>
        <w:tc>
          <w:tcPr>
            <w:tcW w:type="dxa" w:w="28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Workflow &amp; Prompt Management</w:t>
            </w:r>
          </w:p>
        </w:tc>
        <w:tc>
          <w:tcPr>
            <w:tcW w:type="dxa" w:w="64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Defines and manages a standardised tender preparation workflow with task assignments, review stages, and AI prompt templates. Ensures every submission follows a consistent, quality-assured process.</w:t>
            </w:r>
          </w:p>
        </w:tc>
      </w:tr>
      <w:tr>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Version History &amp; Audit Log</w:t>
            </w:r>
          </w:p>
        </w:tc>
        <w:tc>
          <w:tcPr>
            <w:tcW w:type="dxa" w:w="64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Tracks all changes to tender documents with a timestamped version history and global activity log. Supports governance requirements and enables rapid rollback if needed.</w:t>
            </w:r>
          </w:p>
        </w:tc>
      </w:tr>
    </w:tbl>
    <w:p>
      <w:pPr>
        <w:spacing w:after="200" w:before="0"/>
      </w:pPr>
      <w:r>
        <w:t xml:space="preserve"/>
      </w:r>
    </w:p>
    <w:p>
      <w:pPr>
        <w:pStyle w:val="Heading2"/>
        <w:shd w:fill="2563EB" w:val="clear"/>
        <w:spacing w:after="0" w:before="300"/>
        <w:ind w:left="140"/>
        <w:jc w:val="left"/>
      </w:pPr>
      <w:r>
        <w:rPr>
          <w:rFonts w:ascii="Arial" w:cs="Arial" w:eastAsia="Arial" w:hAnsi="Arial"/>
          <w:b/>
          <w:bCs/>
          <w:color w:val="FFFFFF"/>
          <w:sz w:val="28"/>
          <w:szCs w:val="28"/>
        </w:rPr>
        <w:t xml:space="preserve">10.  Project Management &amp; Workflow Automation</w:t>
      </w:r>
    </w:p>
    <w:p>
      <w:pPr>
        <w:spacing w:after="80" w:before="0"/>
      </w:pPr>
      <w:r>
        <w:t xml:space="preserve"/>
      </w:r>
    </w:p>
    <w:p>
      <w:pPr>
        <w:spacing w:after="120" w:before="0"/>
        <w:jc w:val="left"/>
      </w:pPr>
      <w:r>
        <w:rPr>
          <w:rFonts w:ascii="Arial" w:cs="Arial" w:eastAsia="Arial" w:hAnsi="Arial"/>
          <w:b w:val="false"/>
          <w:bCs w:val="false"/>
          <w:i w:val="false"/>
          <w:iCs w:val="false"/>
          <w:color w:val="1E293B"/>
          <w:sz w:val="22"/>
          <w:szCs w:val="22"/>
        </w:rPr>
        <w:t xml:space="preserve">Digimetrics includes a suite of project management and workflow automation tools that reduce reliance on third-party platforms and keep campaign operations running smoothly within the agency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1D5DB" w:sz="1"/>
              <w:left w:val="single" w:color="D1D5DB" w:sz="1"/>
              <w:bottom w:val="single" w:color="D1D5DB" w:sz="1"/>
              <w:right w:val="single" w:color="D1D5DB" w:sz="1"/>
            </w:tcBorders>
            <w:shd w:fill="DBEAFE" w:val="clear"/>
            <w:tcMar>
              <w:top w:type="dxa" w:w="100"/>
              <w:left w:type="dxa" w:w="160"/>
              <w:bottom w:type="dxa" w:w="100"/>
              <w:right w:type="dxa" w:w="120"/>
            </w:tcMar>
          </w:tcPr>
          <w:p>
            <w:pPr>
              <w:spacing w:after="0" w:before="0"/>
            </w:pPr>
            <w:r>
              <w:rPr>
                <w:rFonts w:ascii="Arial" w:cs="Arial" w:eastAsia="Arial" w:hAnsi="Arial"/>
                <w:b/>
                <w:bCs/>
                <w:color w:val="1B2A4A"/>
                <w:sz w:val="20"/>
                <w:szCs w:val="20"/>
              </w:rPr>
              <w:t xml:space="preserve">Capability</w:t>
            </w:r>
          </w:p>
        </w:tc>
        <w:tc>
          <w:tcPr>
            <w:tcW w:type="dxa" w:w="6480"/>
            <w:tcBorders>
              <w:top w:val="single" w:color="D1D5DB" w:sz="1"/>
              <w:left w:val="single" w:color="D1D5DB" w:sz="1"/>
              <w:bottom w:val="single" w:color="D1D5DB" w:sz="1"/>
              <w:right w:val="single" w:color="D1D5DB" w:sz="1"/>
            </w:tcBorders>
            <w:shd w:fill="DBEAFE" w:val="clear"/>
            <w:tcMar>
              <w:top w:type="dxa" w:w="100"/>
              <w:left w:type="dxa" w:w="160"/>
              <w:bottom w:type="dxa" w:w="100"/>
              <w:right w:type="dxa" w:w="120"/>
            </w:tcMar>
          </w:tcPr>
          <w:p>
            <w:pPr>
              <w:spacing w:after="0" w:before="0"/>
            </w:pPr>
            <w:r>
              <w:rPr>
                <w:rFonts w:ascii="Arial" w:cs="Arial" w:eastAsia="Arial" w:hAnsi="Arial"/>
                <w:b/>
                <w:bCs/>
                <w:color w:val="1B2A4A"/>
                <w:sz w:val="20"/>
                <w:szCs w:val="20"/>
              </w:rPr>
              <w:t xml:space="preserve">Description</w:t>
            </w:r>
          </w:p>
        </w:tc>
      </w:tr>
      <w:tr>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Monday.com Clone</w:t>
            </w:r>
          </w:p>
        </w:tc>
        <w:tc>
          <w:tcPr>
            <w:tcW w:type="dxa" w:w="64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A fully functional project management board application with kanban-style workflows, custom labels, column types, automation rules, advanced filters, and board import/export. Provides agencies with a self-hosted alternative to Monday.com with full control over data and customisation.</w:t>
            </w:r>
          </w:p>
        </w:tc>
      </w:tr>
      <w:tr>
        <w:tc>
          <w:tcPr>
            <w:tcW w:type="dxa" w:w="28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Monday.com Board Auditor</w:t>
            </w:r>
          </w:p>
        </w:tc>
        <w:tc>
          <w:tcPr>
            <w:tcW w:type="dxa" w:w="64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Connects to live Monday.com accounts and runs structured audits across all boards. Identifies compliance gaps, overdue items, incomplete records, and workflow bottlenecks — ensuring campaign boards are maintained to agency standards.</w:t>
            </w:r>
          </w:p>
        </w:tc>
      </w:tr>
      <w:tr>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Campaign Auditor (Overdue Crawler)</w:t>
            </w:r>
          </w:p>
        </w:tc>
        <w:tc>
          <w:tcPr>
            <w:tcW w:type="dxa" w:w="64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Crawls connected Monday.com campaign boards to surface all overdue tasks, stalled campaigns, and at-risk deadlines. Includes an embedded AI Campaign Analyst that interprets audit findings and recommends remediation actions.</w:t>
            </w:r>
          </w:p>
        </w:tc>
      </w:tr>
      <w:tr>
        <w:tc>
          <w:tcPr>
            <w:tcW w:type="dxa" w:w="28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Automated Task Manager</w:t>
            </w:r>
          </w:p>
        </w:tc>
        <w:tc>
          <w:tcPr>
            <w:tcW w:type="dxa" w:w="64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Schedules and automates recurring agency tasks with a configurable task management portal. Supports schedule creation, task status tracking, recent activity monitoring, and automated execution — reducing manual follow-up overhead.</w:t>
            </w:r>
          </w:p>
        </w:tc>
      </w:tr>
    </w:tbl>
    <w:p>
      <w:pPr>
        <w:spacing w:after="200" w:before="0"/>
      </w:pPr>
      <w:r>
        <w:t xml:space="preserve"/>
      </w:r>
    </w:p>
    <w:p>
      <w:r>
        <w:br w:type="page"/>
      </w:r>
    </w:p>
    <w:p>
      <w:pPr>
        <w:pStyle w:val="Heading2"/>
        <w:shd w:fill="2563EB" w:val="clear"/>
        <w:spacing w:after="0" w:before="300"/>
        <w:ind w:left="140"/>
        <w:jc w:val="left"/>
      </w:pPr>
      <w:r>
        <w:rPr>
          <w:rFonts w:ascii="Arial" w:cs="Arial" w:eastAsia="Arial" w:hAnsi="Arial"/>
          <w:b/>
          <w:bCs/>
          <w:color w:val="FFFFFF"/>
          <w:sz w:val="28"/>
          <w:szCs w:val="28"/>
        </w:rPr>
        <w:t xml:space="preserve">11.  Client-Facing &amp; Specialist Tools</w:t>
      </w:r>
    </w:p>
    <w:p>
      <w:pPr>
        <w:spacing w:after="80" w:before="0"/>
      </w:pPr>
      <w:r>
        <w:t xml:space="preserve"/>
      </w:r>
    </w:p>
    <w:p>
      <w:pPr>
        <w:spacing w:after="120" w:before="0"/>
        <w:jc w:val="left"/>
      </w:pPr>
      <w:r>
        <w:rPr>
          <w:rFonts w:ascii="Arial" w:cs="Arial" w:eastAsia="Arial" w:hAnsi="Arial"/>
          <w:b w:val="false"/>
          <w:bCs w:val="false"/>
          <w:i w:val="false"/>
          <w:iCs w:val="false"/>
          <w:color w:val="1E293B"/>
          <w:sz w:val="22"/>
          <w:szCs w:val="22"/>
        </w:rPr>
        <w:t xml:space="preserve">Digimetrics includes a number of specialist and client-facing tools that extend the platform's value beyond internal agency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1D5DB" w:sz="1"/>
              <w:left w:val="single" w:color="D1D5DB" w:sz="1"/>
              <w:bottom w:val="single" w:color="D1D5DB" w:sz="1"/>
              <w:right w:val="single" w:color="D1D5DB" w:sz="1"/>
            </w:tcBorders>
            <w:shd w:fill="DBEAFE" w:val="clear"/>
            <w:tcMar>
              <w:top w:type="dxa" w:w="100"/>
              <w:left w:type="dxa" w:w="160"/>
              <w:bottom w:type="dxa" w:w="100"/>
              <w:right w:type="dxa" w:w="120"/>
            </w:tcMar>
          </w:tcPr>
          <w:p>
            <w:pPr>
              <w:spacing w:after="0" w:before="0"/>
            </w:pPr>
            <w:r>
              <w:rPr>
                <w:rFonts w:ascii="Arial" w:cs="Arial" w:eastAsia="Arial" w:hAnsi="Arial"/>
                <w:b/>
                <w:bCs/>
                <w:color w:val="1B2A4A"/>
                <w:sz w:val="20"/>
                <w:szCs w:val="20"/>
              </w:rPr>
              <w:t xml:space="preserve">Capability</w:t>
            </w:r>
          </w:p>
        </w:tc>
        <w:tc>
          <w:tcPr>
            <w:tcW w:type="dxa" w:w="6480"/>
            <w:tcBorders>
              <w:top w:val="single" w:color="D1D5DB" w:sz="1"/>
              <w:left w:val="single" w:color="D1D5DB" w:sz="1"/>
              <w:bottom w:val="single" w:color="D1D5DB" w:sz="1"/>
              <w:right w:val="single" w:color="D1D5DB" w:sz="1"/>
            </w:tcBorders>
            <w:shd w:fill="DBEAFE" w:val="clear"/>
            <w:tcMar>
              <w:top w:type="dxa" w:w="100"/>
              <w:left w:type="dxa" w:w="160"/>
              <w:bottom w:type="dxa" w:w="100"/>
              <w:right w:type="dxa" w:w="120"/>
            </w:tcMar>
          </w:tcPr>
          <w:p>
            <w:pPr>
              <w:spacing w:after="0" w:before="0"/>
            </w:pPr>
            <w:r>
              <w:rPr>
                <w:rFonts w:ascii="Arial" w:cs="Arial" w:eastAsia="Arial" w:hAnsi="Arial"/>
                <w:b/>
                <w:bCs/>
                <w:color w:val="1B2A4A"/>
                <w:sz w:val="20"/>
                <w:szCs w:val="20"/>
              </w:rPr>
              <w:t xml:space="preserve">Description</w:t>
            </w:r>
          </w:p>
        </w:tc>
      </w:tr>
      <w:tr>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AI Client Portal Chatbot</w:t>
            </w:r>
          </w:p>
        </w:tc>
        <w:tc>
          <w:tcPr>
            <w:tcW w:type="dxa" w:w="64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A white-label, embeddable AI chatbot for client portals and websites. Configurable with custom knowledge bases, quick-prompt libraries, learned insights, and custom functions. Integrates with Google Workspace and supports full conversation history. Can be trained on client-specific data to answer FAQs, qualify leads, and guide users through service offerings.</w:t>
            </w:r>
          </w:p>
        </w:tc>
      </w:tr>
      <w:tr>
        <w:tc>
          <w:tcPr>
            <w:tcW w:type="dxa" w:w="28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AI Video Analyzer</w:t>
            </w:r>
          </w:p>
        </w:tc>
        <w:tc>
          <w:tcPr>
            <w:tcW w:type="dxa" w:w="64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Analyses YouTube and social media video performance using AI. Imports video data from a connected profile, applies configurable AI evaluation criteria, and outputs performance insights, content recommendations, and improvement suggestions per video.</w:t>
            </w:r>
          </w:p>
        </w:tc>
      </w:tr>
      <w:tr>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Social Comment Scraper</w:t>
            </w:r>
          </w:p>
        </w:tc>
        <w:tc>
          <w:tcPr>
            <w:tcW w:type="dxa" w:w="64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Extracts comments from social media posts and pages at scale. Supports bulk extraction with answer verification — useful for social listening, sentiment analysis, competitor monitoring, and community research.</w:t>
            </w:r>
          </w:p>
        </w:tc>
      </w:tr>
      <w:tr>
        <w:tc>
          <w:tcPr>
            <w:tcW w:type="dxa" w:w="28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Meta Social Connect</w:t>
            </w:r>
          </w:p>
        </w:tc>
        <w:tc>
          <w:tcPr>
            <w:tcW w:type="dxa" w:w="64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Connects Facebook and Instagram accounts via the Meta API for data import and campaign management. Serves as the authentication gateway for Meta Ads and social data integrations within the platform.</w:t>
            </w:r>
          </w:p>
        </w:tc>
      </w:tr>
      <w:tr>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UAT (User Acceptance Testing)</w:t>
            </w:r>
          </w:p>
        </w:tc>
        <w:tc>
          <w:tcPr>
            <w:tcW w:type="dxa" w:w="64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Runs a comprehensive technical health check on any webpage. Tests include GTmetrix performance scoring, Google Tag validation, PageSpeed metrics, meta information review, robots.txt compliance, SSL certificate verification, website crawl results, header analysis, link auditing, and image alt-text coverage.</w:t>
            </w:r>
          </w:p>
        </w:tc>
      </w:tr>
      <w:tr>
        <w:tc>
          <w:tcPr>
            <w:tcW w:type="dxa" w:w="28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Elementor Text Extractor</w:t>
            </w:r>
          </w:p>
        </w:tc>
        <w:tc>
          <w:tcPr>
            <w:tcW w:type="dxa" w:w="64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Extracts all editable text content from Elementor-built WordPress pages. Useful for content audits, copywriting briefs, translation workflows, and migrating page content to other CMS platforms.</w:t>
            </w:r>
          </w:p>
        </w:tc>
      </w:tr>
      <w:tr>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Link Finder</w:t>
            </w:r>
          </w:p>
        </w:tc>
        <w:tc>
          <w:tcPr>
            <w:tcW w:type="dxa" w:w="64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Discovers and audits all internal and external links on a given page or domain. Identifies broken links, redirect chains, and linking opportunities — supporting both SEO and UX improvement initiatives.</w:t>
            </w:r>
          </w:p>
        </w:tc>
      </w:tr>
      <w:tr>
        <w:tc>
          <w:tcPr>
            <w:tcW w:type="dxa" w:w="28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Standalone Rank Checker</w:t>
            </w:r>
          </w:p>
        </w:tc>
        <w:tc>
          <w:tcPr>
            <w:tcW w:type="dxa" w:w="64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A high-capacity keyword rank tracking tool supporting up to 1,200 keywords per query. Designed for large-scale rank monitoring across multiple clients or domains simultaneously.</w:t>
            </w:r>
          </w:p>
        </w:tc>
      </w:tr>
      <w:tr>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Keyword Rankings Dashboard</w:t>
            </w:r>
          </w:p>
        </w:tc>
        <w:tc>
          <w:tcPr>
            <w:tcW w:type="dxa" w:w="64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A dedicated keyword ranking interface for tracking position changes over time across target keywords and locations. Supports historical comparison and trend visualisation.</w:t>
            </w:r>
          </w:p>
        </w:tc>
      </w:tr>
      <w:tr>
        <w:tc>
          <w:tcPr>
            <w:tcW w:type="dxa" w:w="28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b/>
                <w:bCs/>
                <w:color w:val="1B2A4A"/>
                <w:sz w:val="20"/>
                <w:szCs w:val="20"/>
              </w:rPr>
              <w:t xml:space="preserve">Admin Console</w:t>
            </w:r>
          </w:p>
        </w:tc>
        <w:tc>
          <w:tcPr>
            <w:tcW w:type="dxa" w:w="64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vAlign w:val="top"/>
          </w:tcPr>
          <w:p>
            <w:pPr>
              <w:spacing w:after="0" w:before="0"/>
            </w:pPr>
            <w:r>
              <w:rPr>
                <w:rFonts w:ascii="Arial" w:cs="Arial" w:eastAsia="Arial" w:hAnsi="Arial"/>
                <w:color w:val="1E293B"/>
                <w:sz w:val="20"/>
                <w:szCs w:val="20"/>
              </w:rPr>
              <w:t xml:space="preserve">Platform administration panel for managing user accounts, API key configuration, access permissions, integration settings, and system-wide configuration. Supports multi-user agency team management with role-based access control.</w:t>
            </w:r>
          </w:p>
        </w:tc>
      </w:tr>
    </w:tbl>
    <w:p>
      <w:pPr>
        <w:spacing w:after="300" w:before="0"/>
      </w:pPr>
      <w:r>
        <w:t xml:space="preserve"/>
      </w:r>
    </w:p>
    <w:p>
      <w:r>
        <w:br w:type="page"/>
      </w:r>
    </w:p>
    <w:p>
      <w:pPr>
        <w:pBdr>
          <w:bottom w:val="single" w:color="2563EB" w:sz="8"/>
        </w:pBdr>
        <w:spacing w:after="160" w:before="300"/>
      </w:pPr>
      <w:r>
        <w:rPr>
          <w:rFonts w:ascii="Arial" w:cs="Arial" w:eastAsia="Arial" w:hAnsi="Arial"/>
          <w:b/>
          <w:bCs/>
          <w:color w:val="1B2A4A"/>
          <w:sz w:val="40"/>
          <w:szCs w:val="40"/>
        </w:rPr>
        <w:t xml:space="preserve">Capability Summary</w:t>
      </w:r>
    </w:p>
    <w:p>
      <w:pPr>
        <w:spacing w:after="80" w:before="0"/>
      </w:pPr>
      <w:r>
        <w:t xml:space="preserve"/>
      </w:r>
    </w:p>
    <w:p>
      <w:pPr>
        <w:spacing w:after="120" w:before="0"/>
        <w:jc w:val="left"/>
      </w:pPr>
      <w:r>
        <w:rPr>
          <w:rFonts w:ascii="Arial" w:cs="Arial" w:eastAsia="Arial" w:hAnsi="Arial"/>
          <w:b/>
          <w:bCs/>
          <w:i w:val="false"/>
          <w:iCs w:val="false"/>
          <w:color w:val="1E293B"/>
          <w:sz w:val="24"/>
          <w:szCs w:val="24"/>
        </w:rPr>
        <w:t xml:space="preserve">Digimetrics delivers 60+ distinct capabilities across 11 functional domains, all accessible from a single, secure, browser-based platform.</w:t>
      </w:r>
    </w:p>
    <w:p>
      <w:pPr>
        <w:spacing w:after="120" w:before="0"/>
        <w:jc w:val="left"/>
      </w:pPr>
      <w:r>
        <w:rPr>
          <w:rFonts w:ascii="Arial" w:cs="Arial" w:eastAsia="Arial" w:hAnsi="Arial"/>
          <w:b w:val="false"/>
          <w:bCs w:val="false"/>
          <w:i w:val="false"/>
          <w:iCs w:val="false"/>
          <w:color w:val="1E293B"/>
          <w:sz w:val="22"/>
          <w:szCs w:val="22"/>
        </w:rPr>
        <w:t xml:space="preserve">The platform eliminates the need for agencies to subscribe to and switch between multiple disparate tools — consolidating the equivalent of SEMrush, Ahrefs, Hootsuite, Google Ads Editor, a recruitment ATS, a tender writing tool, and a project management suite into one proprietary system built for agency-scale operations.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B2A4A" w:val="clear"/>
            <w:tcMar>
              <w:top w:type="dxa" w:w="160"/>
              <w:left w:type="dxa" w:w="200"/>
              <w:bottom w:type="dxa" w:w="160"/>
              <w:right w:type="dxa" w:w="200"/>
            </w:tcMar>
          </w:tcPr>
          <w:p>
            <w:pPr>
              <w:spacing w:after="40" w:before="0"/>
              <w:jc w:val="center"/>
            </w:pPr>
            <w:r>
              <w:rPr>
                <w:rFonts w:ascii="Arial" w:cs="Arial" w:eastAsia="Arial" w:hAnsi="Arial"/>
                <w:b/>
                <w:bCs/>
                <w:color w:val="FFFFFF"/>
                <w:sz w:val="52"/>
                <w:szCs w:val="52"/>
              </w:rPr>
              <w:t xml:space="preserve">60+</w:t>
            </w:r>
          </w:p>
          <w:p>
            <w:pPr>
              <w:spacing w:after="0" w:before="0"/>
              <w:jc w:val="center"/>
            </w:pPr>
            <w:r>
              <w:rPr>
                <w:rFonts w:ascii="Arial" w:cs="Arial" w:eastAsia="Arial" w:hAnsi="Arial"/>
                <w:color w:val="DBEAFE"/>
                <w:sz w:val="18"/>
                <w:szCs w:val="18"/>
              </w:rPr>
              <w:t xml:space="preserve">Platform Capabilities</w:t>
            </w:r>
          </w:p>
        </w:tc>
        <w:tc>
          <w:tcPr>
            <w:tcW w:type="dxa" w:w="3120"/>
            <w:tcBorders>
              <w:top w:val="single" w:color="D1D5DB" w:sz="1"/>
              <w:left w:val="single" w:color="D1D5DB" w:sz="1"/>
              <w:bottom w:val="single" w:color="D1D5DB" w:sz="1"/>
              <w:right w:val="single" w:color="D1D5DB" w:sz="1"/>
            </w:tcBorders>
            <w:shd w:fill="2563EB" w:val="clear"/>
            <w:tcMar>
              <w:top w:type="dxa" w:w="160"/>
              <w:left w:type="dxa" w:w="200"/>
              <w:bottom w:type="dxa" w:w="160"/>
              <w:right w:type="dxa" w:w="200"/>
            </w:tcMar>
          </w:tcPr>
          <w:p>
            <w:pPr>
              <w:spacing w:after="40" w:before="0"/>
              <w:jc w:val="center"/>
            </w:pPr>
            <w:r>
              <w:rPr>
                <w:rFonts w:ascii="Arial" w:cs="Arial" w:eastAsia="Arial" w:hAnsi="Arial"/>
                <w:b/>
                <w:bCs/>
                <w:color w:val="FFFFFF"/>
                <w:sz w:val="52"/>
                <w:szCs w:val="52"/>
              </w:rPr>
              <w:t xml:space="preserve">11</w:t>
            </w:r>
          </w:p>
          <w:p>
            <w:pPr>
              <w:spacing w:after="0" w:before="0"/>
              <w:jc w:val="center"/>
            </w:pPr>
            <w:r>
              <w:rPr>
                <w:rFonts w:ascii="Arial" w:cs="Arial" w:eastAsia="Arial" w:hAnsi="Arial"/>
                <w:color w:val="DBEAFE"/>
                <w:sz w:val="18"/>
                <w:szCs w:val="18"/>
              </w:rPr>
              <w:t xml:space="preserve">Functional Domains</w:t>
            </w:r>
          </w:p>
        </w:tc>
        <w:tc>
          <w:tcPr>
            <w:tcW w:type="dxa" w:w="3120"/>
            <w:tcBorders>
              <w:top w:val="single" w:color="D1D5DB" w:sz="1"/>
              <w:left w:val="single" w:color="D1D5DB" w:sz="1"/>
              <w:bottom w:val="single" w:color="D1D5DB" w:sz="1"/>
              <w:right w:val="single" w:color="D1D5DB" w:sz="1"/>
            </w:tcBorders>
            <w:shd w:fill="1B2A4A" w:val="clear"/>
            <w:tcMar>
              <w:top w:type="dxa" w:w="160"/>
              <w:left w:type="dxa" w:w="200"/>
              <w:bottom w:type="dxa" w:w="160"/>
              <w:right w:type="dxa" w:w="200"/>
            </w:tcMar>
          </w:tcPr>
          <w:p>
            <w:pPr>
              <w:spacing w:after="40" w:before="0"/>
              <w:jc w:val="center"/>
            </w:pPr>
            <w:r>
              <w:rPr>
                <w:rFonts w:ascii="Arial" w:cs="Arial" w:eastAsia="Arial" w:hAnsi="Arial"/>
                <w:b/>
                <w:bCs/>
                <w:color w:val="FFFFFF"/>
                <w:sz w:val="52"/>
                <w:szCs w:val="52"/>
              </w:rPr>
              <w:t xml:space="preserve">1</w:t>
            </w:r>
          </w:p>
          <w:p>
            <w:pPr>
              <w:spacing w:after="0" w:before="0"/>
              <w:jc w:val="center"/>
            </w:pPr>
            <w:r>
              <w:rPr>
                <w:rFonts w:ascii="Arial" w:cs="Arial" w:eastAsia="Arial" w:hAnsi="Arial"/>
                <w:color w:val="DBEAFE"/>
                <w:sz w:val="18"/>
                <w:szCs w:val="18"/>
              </w:rPr>
              <w:t xml:space="preserve">Unified Platform</w:t>
            </w:r>
          </w:p>
        </w:tc>
      </w:tr>
    </w:tbl>
    <w:p>
      <w:pPr>
        <w:spacing w:after="240" w:before="0"/>
      </w:pPr>
      <w:r>
        <w:t xml:space="preserve"/>
      </w:r>
    </w:p>
    <w:p>
      <w:pPr>
        <w:spacing w:after="0" w:before="0"/>
        <w:jc w:val="center"/>
      </w:pPr>
      <w:r>
        <w:rPr>
          <w:rFonts w:ascii="Arial" w:cs="Arial" w:eastAsia="Arial" w:hAnsi="Arial"/>
          <w:color w:val="64748B"/>
          <w:sz w:val="18"/>
          <w:szCs w:val="18"/>
        </w:rPr>
        <w:t xml:space="preserve">Confidential document prepared for investor and stakeholder review. All capabilities described herein are proprietary to Digimetrics.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pBdr>
      <w:spacing w:after="0" w:before="100"/>
      <w:jc w:val="center"/>
    </w:pPr>
    <w:r>
      <w:rPr>
        <w:rFonts w:ascii="Arial" w:cs="Arial" w:eastAsia="Arial" w:hAnsi="Arial"/>
        <w:color w:val="64748B"/>
        <w:sz w:val="16"/>
        <w:szCs w:val="16"/>
      </w:rPr>
      <w:t xml:space="preserve">Confidential — Digimetrics Platform Capabilities</w:t>
    </w:r>
    <w:r>
      <w:rPr>
        <w:rFonts w:ascii="Arial" w:cs="Arial" w:eastAsia="Arial" w:hAnsi="Arial"/>
        <w:color w:val="64748B"/>
        <w:sz w:val="16"/>
        <w:szCs w:val="16"/>
      </w:rPr>
      <w:t xml:space="preserve">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pBdr>
      <w:spacing w:after="100" w:before="0"/>
    </w:pPr>
    <w:r>
      <w:rPr>
        <w:rFonts w:ascii="Arial" w:cs="Arial" w:eastAsia="Arial" w:hAnsi="Arial"/>
        <w:b/>
        <w:bCs/>
        <w:color w:val="2563EB"/>
        <w:sz w:val="18"/>
        <w:szCs w:val="18"/>
      </w:rPr>
      <w:t xml:space="preserve">DIGIMETRICS</w:t>
    </w:r>
    <w:r>
      <w:rPr>
        <w:rFonts w:ascii="Arial" w:cs="Arial" w:eastAsia="Arial" w:hAnsi="Arial"/>
        <w:color w:val="64748B"/>
        <w:sz w:val="18"/>
        <w:szCs w:val="18"/>
      </w:rPr>
      <w:t xml:space="preserve">   |   Platform Capabilities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outlineLvl w:val="0"/>
    </w:pPr>
    <w:rPr>
      <w:rFonts w:ascii="Arial" w:cs="Arial" w:eastAsia="Arial" w:hAnsi="Arial"/>
      <w:b/>
      <w:bCs/>
      <w:color w:val="FFFFFF"/>
      <w:sz w:val="36"/>
      <w:szCs w:val="36"/>
    </w:rPr>
  </w:style>
  <w:style w:type="paragraph" w:styleId="Heading2">
    <w:name w:val="Heading 2"/>
    <w:basedOn w:val="Normal"/>
    <w:next w:val="Normal"/>
    <w:qFormat/>
    <w:pPr>
      <w:spacing w:after="0" w:before="300"/>
      <w:outlineLvl w:val="1"/>
    </w:pPr>
    <w:rPr>
      <w:rFonts w:ascii="Arial" w:cs="Arial" w:eastAsia="Arial" w:hAnsi="Arial"/>
      <w:b/>
      <w:bCs/>
      <w:color w:val="FFFFFF"/>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2026-05-17T23:29:59.767Z</dcterms:created>
  <dcterms:modified xsi:type="dcterms:W3CDTF">2026-05-17T23:29:59.767Z</dcterms:modified>
</cp:coreProperties>
</file>

<file path=docProps/custom.xml><?xml version="1.0" encoding="utf-8"?>
<Properties xmlns="http://schemas.openxmlformats.org/officeDocument/2006/custom-properties" xmlns:vt="http://schemas.openxmlformats.org/officeDocument/2006/docPropsVTypes"/>
</file>