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108" w:rsidRPr="00662108" w:rsidRDefault="00662108" w:rsidP="00662108">
      <w:pPr>
        <w:jc w:val="center"/>
        <w:rPr>
          <w:rFonts w:cstheme="minorHAnsi"/>
          <w:b/>
          <w:color w:val="244061" w:themeColor="accent1" w:themeShade="80"/>
          <w:sz w:val="28"/>
          <w:szCs w:val="28"/>
          <w:u w:val="single"/>
        </w:rPr>
      </w:pPr>
      <w:r w:rsidRPr="00662108">
        <w:rPr>
          <w:rFonts w:cstheme="minorHAnsi"/>
          <w:b/>
          <w:color w:val="244061" w:themeColor="accent1" w:themeShade="80"/>
          <w:sz w:val="28"/>
          <w:szCs w:val="28"/>
          <w:u w:val="single"/>
        </w:rPr>
        <w:t>Edinburgh Critical Care Research Group</w:t>
      </w:r>
    </w:p>
    <w:p w:rsidR="00662108" w:rsidRPr="00662108" w:rsidRDefault="00662108" w:rsidP="00662108">
      <w:pPr>
        <w:jc w:val="center"/>
        <w:rPr>
          <w:rFonts w:cstheme="minorHAnsi"/>
          <w:color w:val="244061" w:themeColor="accent1" w:themeShade="80"/>
          <w:sz w:val="28"/>
          <w:szCs w:val="28"/>
        </w:rPr>
      </w:pPr>
      <w:r w:rsidRPr="00662108">
        <w:rPr>
          <w:rFonts w:cstheme="minorHAnsi"/>
          <w:color w:val="244061" w:themeColor="accent1" w:themeShade="80"/>
          <w:sz w:val="28"/>
          <w:szCs w:val="28"/>
        </w:rPr>
        <w:t>X26396</w:t>
      </w:r>
    </w:p>
    <w:p w:rsidR="00662108" w:rsidRPr="00662108" w:rsidRDefault="00662108" w:rsidP="00662108">
      <w:pPr>
        <w:jc w:val="center"/>
        <w:rPr>
          <w:rFonts w:cstheme="minorHAnsi"/>
          <w:color w:val="244061" w:themeColor="accent1" w:themeShade="80"/>
          <w:sz w:val="28"/>
          <w:szCs w:val="28"/>
        </w:rPr>
      </w:pPr>
      <w:r w:rsidRPr="00662108">
        <w:rPr>
          <w:rFonts w:cstheme="minorHAnsi"/>
          <w:color w:val="244061" w:themeColor="accent1" w:themeShade="80"/>
          <w:sz w:val="28"/>
          <w:szCs w:val="28"/>
        </w:rPr>
        <w:t>07585882835</w:t>
      </w:r>
    </w:p>
    <w:p w:rsidR="00662108" w:rsidRDefault="00662108" w:rsidP="00662108">
      <w:pPr>
        <w:jc w:val="center"/>
        <w:rPr>
          <w:rFonts w:cstheme="minorHAnsi"/>
          <w:color w:val="244061" w:themeColor="accent1" w:themeShade="80"/>
          <w:sz w:val="28"/>
          <w:szCs w:val="28"/>
        </w:rPr>
      </w:pPr>
      <w:hyperlink r:id="rId4" w:history="1">
        <w:r w:rsidRPr="0074386C">
          <w:rPr>
            <w:rStyle w:val="Hyperlink"/>
            <w:rFonts w:cstheme="minorHAnsi"/>
            <w:sz w:val="28"/>
            <w:szCs w:val="28"/>
          </w:rPr>
          <w:t>edcriticalcare@nhslothian.scot.nhs.uk</w:t>
        </w:r>
      </w:hyperlink>
    </w:p>
    <w:p w:rsidR="00662108" w:rsidRPr="00662108" w:rsidRDefault="00662108" w:rsidP="00662108">
      <w:pPr>
        <w:jc w:val="center"/>
        <w:rPr>
          <w:rFonts w:cstheme="minorHAnsi"/>
          <w:color w:val="244061" w:themeColor="accent1" w:themeShade="80"/>
          <w:sz w:val="28"/>
          <w:szCs w:val="28"/>
        </w:rPr>
      </w:pPr>
    </w:p>
    <w:p w:rsidR="00662108" w:rsidRPr="00662108" w:rsidRDefault="00662108" w:rsidP="00662108">
      <w:pPr>
        <w:jc w:val="center"/>
        <w:rPr>
          <w:rFonts w:cstheme="minorHAnsi"/>
          <w:b/>
          <w:color w:val="244061" w:themeColor="accent1" w:themeShade="80"/>
          <w:sz w:val="28"/>
          <w:szCs w:val="28"/>
        </w:rPr>
      </w:pPr>
      <w:r w:rsidRPr="00662108">
        <w:rPr>
          <w:rFonts w:cstheme="minorHAnsi"/>
          <w:b/>
          <w:color w:val="244061" w:themeColor="accent1" w:themeShade="80"/>
          <w:sz w:val="28"/>
          <w:szCs w:val="28"/>
        </w:rPr>
        <w:t>Current Studies in ICU</w:t>
      </w:r>
    </w:p>
    <w:p w:rsidR="00662108" w:rsidRPr="001A310A" w:rsidRDefault="00662108" w:rsidP="00662108">
      <w:pPr>
        <w:jc w:val="center"/>
        <w:rPr>
          <w:b/>
          <w:color w:val="244061" w:themeColor="accent1" w:themeShade="80"/>
        </w:rPr>
      </w:pPr>
      <w:r w:rsidRPr="001A310A">
        <w:rPr>
          <w:b/>
          <w:color w:val="244061" w:themeColor="accent1" w:themeShade="80"/>
        </w:rPr>
        <w:t>A2B</w:t>
      </w:r>
    </w:p>
    <w:p w:rsidR="00662108" w:rsidRPr="001A310A" w:rsidRDefault="00662108" w:rsidP="00662108">
      <w:pPr>
        <w:jc w:val="center"/>
        <w:rPr>
          <w:color w:val="365F91" w:themeColor="accent1" w:themeShade="BF"/>
          <w:sz w:val="20"/>
          <w:szCs w:val="20"/>
        </w:rPr>
      </w:pPr>
      <w:r w:rsidRPr="001A310A">
        <w:rPr>
          <w:color w:val="244061" w:themeColor="accent1" w:themeShade="80"/>
          <w:sz w:val="20"/>
          <w:szCs w:val="20"/>
        </w:rPr>
        <w:t>Alpha 2 agonists for sedation to produce better outcomes from critical illness (A2B Trial</w:t>
      </w:r>
      <w:r w:rsidRPr="001A310A">
        <w:rPr>
          <w:color w:val="365F91" w:themeColor="accent1" w:themeShade="BF"/>
          <w:sz w:val="20"/>
          <w:szCs w:val="20"/>
        </w:rPr>
        <w:t>)</w:t>
      </w:r>
    </w:p>
    <w:p w:rsidR="00662108" w:rsidRPr="001A310A" w:rsidRDefault="00662108" w:rsidP="00662108">
      <w:pPr>
        <w:jc w:val="center"/>
        <w:rPr>
          <w:color w:val="244061" w:themeColor="accent1" w:themeShade="80"/>
          <w:sz w:val="20"/>
          <w:szCs w:val="20"/>
        </w:rPr>
      </w:pPr>
      <w:proofErr w:type="gramStart"/>
      <w:r w:rsidRPr="001A310A">
        <w:rPr>
          <w:color w:val="365F91" w:themeColor="accent1" w:themeShade="BF"/>
          <w:sz w:val="20"/>
          <w:szCs w:val="20"/>
        </w:rPr>
        <w:t xml:space="preserve">Primary objective to determine whether IV sedation with the a2-agonist agents, </w:t>
      </w:r>
      <w:proofErr w:type="spellStart"/>
      <w:r w:rsidRPr="001A310A">
        <w:rPr>
          <w:color w:val="365F91" w:themeColor="accent1" w:themeShade="BF"/>
          <w:sz w:val="20"/>
          <w:szCs w:val="20"/>
        </w:rPr>
        <w:t>dexmedetomidine</w:t>
      </w:r>
      <w:proofErr w:type="spellEnd"/>
      <w:r w:rsidRPr="001A310A">
        <w:rPr>
          <w:color w:val="365F91" w:themeColor="accent1" w:themeShade="BF"/>
          <w:sz w:val="20"/>
          <w:szCs w:val="20"/>
        </w:rPr>
        <w:t xml:space="preserve"> or </w:t>
      </w:r>
      <w:proofErr w:type="spellStart"/>
      <w:r w:rsidRPr="001A310A">
        <w:rPr>
          <w:color w:val="365F91" w:themeColor="accent1" w:themeShade="BF"/>
          <w:sz w:val="20"/>
          <w:szCs w:val="20"/>
        </w:rPr>
        <w:t>clonidine</w:t>
      </w:r>
      <w:proofErr w:type="spellEnd"/>
      <w:r w:rsidRPr="001A310A">
        <w:rPr>
          <w:color w:val="365F91" w:themeColor="accent1" w:themeShade="BF"/>
          <w:sz w:val="20"/>
          <w:szCs w:val="20"/>
        </w:rPr>
        <w:t xml:space="preserve">, can decrease the time to successful </w:t>
      </w:r>
      <w:proofErr w:type="spellStart"/>
      <w:r w:rsidRPr="001A310A">
        <w:rPr>
          <w:color w:val="365F91" w:themeColor="accent1" w:themeShade="BF"/>
          <w:sz w:val="20"/>
          <w:szCs w:val="20"/>
        </w:rPr>
        <w:t>extubation</w:t>
      </w:r>
      <w:proofErr w:type="spellEnd"/>
      <w:r w:rsidRPr="001A310A">
        <w:rPr>
          <w:color w:val="365F91" w:themeColor="accent1" w:themeShade="BF"/>
          <w:sz w:val="20"/>
          <w:szCs w:val="20"/>
        </w:rPr>
        <w:t xml:space="preserve"> from mechanical ventilation among adult critically ill patients</w:t>
      </w:r>
      <w:r w:rsidRPr="001A310A">
        <w:rPr>
          <w:color w:val="244061" w:themeColor="accent1" w:themeShade="80"/>
          <w:sz w:val="20"/>
          <w:szCs w:val="20"/>
        </w:rPr>
        <w:t>.</w:t>
      </w:r>
      <w:proofErr w:type="gramEnd"/>
    </w:p>
    <w:p w:rsidR="00662108" w:rsidRPr="001A310A" w:rsidRDefault="00662108" w:rsidP="00662108">
      <w:pPr>
        <w:jc w:val="center"/>
        <w:rPr>
          <w:rFonts w:ascii="Calibri" w:eastAsia="Times New Roman" w:hAnsi="Calibri" w:cs="Calibri"/>
          <w:b/>
          <w:color w:val="244061" w:themeColor="accent1" w:themeShade="80"/>
        </w:rPr>
      </w:pPr>
      <w:r w:rsidRPr="001A310A">
        <w:rPr>
          <w:rFonts w:ascii="Calibri" w:eastAsia="Times New Roman" w:hAnsi="Calibri" w:cs="Calibri"/>
          <w:b/>
          <w:color w:val="244061" w:themeColor="accent1" w:themeShade="80"/>
        </w:rPr>
        <w:t>ADAPT-sepsis</w:t>
      </w:r>
    </w:p>
    <w:p w:rsidR="00662108" w:rsidRPr="001A310A" w:rsidRDefault="00662108" w:rsidP="00662108">
      <w:pPr>
        <w:jc w:val="center"/>
        <w:rPr>
          <w:rFonts w:eastAsia="Times New Roman" w:cstheme="minorHAnsi"/>
          <w:color w:val="244061" w:themeColor="accent1" w:themeShade="80"/>
          <w:sz w:val="20"/>
          <w:szCs w:val="20"/>
        </w:rPr>
      </w:pPr>
      <w:proofErr w:type="spellStart"/>
      <w:r w:rsidRPr="001A310A">
        <w:rPr>
          <w:rFonts w:eastAsia="Times New Roman" w:cstheme="minorHAnsi"/>
          <w:color w:val="244061" w:themeColor="accent1" w:themeShade="80"/>
          <w:sz w:val="20"/>
          <w:szCs w:val="20"/>
        </w:rPr>
        <w:t>BiomArker</w:t>
      </w:r>
      <w:proofErr w:type="spellEnd"/>
      <w:r w:rsidRPr="001A310A">
        <w:rPr>
          <w:rFonts w:eastAsia="Times New Roman" w:cstheme="minorHAnsi"/>
          <w:color w:val="244061" w:themeColor="accent1" w:themeShade="80"/>
          <w:sz w:val="20"/>
          <w:szCs w:val="20"/>
        </w:rPr>
        <w:t xml:space="preserve">-guided Duration of Antibiotic treatment in hospitalised </w:t>
      </w:r>
      <w:proofErr w:type="spellStart"/>
      <w:r w:rsidRPr="001A310A">
        <w:rPr>
          <w:rFonts w:eastAsia="Times New Roman" w:cstheme="minorHAnsi"/>
          <w:color w:val="244061" w:themeColor="accent1" w:themeShade="80"/>
          <w:sz w:val="20"/>
          <w:szCs w:val="20"/>
        </w:rPr>
        <w:t>PaTients</w:t>
      </w:r>
      <w:proofErr w:type="spellEnd"/>
      <w:r w:rsidRPr="001A310A">
        <w:rPr>
          <w:rFonts w:eastAsia="Times New Roman" w:cstheme="minorHAnsi"/>
          <w:color w:val="244061" w:themeColor="accent1" w:themeShade="80"/>
          <w:sz w:val="20"/>
          <w:szCs w:val="20"/>
        </w:rPr>
        <w:t xml:space="preserve"> with suspected Sepsis</w:t>
      </w:r>
    </w:p>
    <w:p w:rsidR="00662108" w:rsidRPr="001A310A" w:rsidRDefault="00662108" w:rsidP="00662108">
      <w:pPr>
        <w:jc w:val="center"/>
        <w:rPr>
          <w:rFonts w:cstheme="minorHAnsi"/>
          <w:color w:val="365F91" w:themeColor="accent1" w:themeShade="BF"/>
          <w:sz w:val="20"/>
          <w:szCs w:val="20"/>
        </w:rPr>
      </w:pPr>
      <w:r w:rsidRPr="001A310A">
        <w:rPr>
          <w:rFonts w:cstheme="minorHAnsi"/>
          <w:color w:val="365F91" w:themeColor="accent1" w:themeShade="BF"/>
          <w:sz w:val="20"/>
          <w:szCs w:val="20"/>
        </w:rPr>
        <w:t>Multi-centre RCT to determine whether treatment protocols based on monitoring daily CRP or PCT safely allow a reduction in duration of antibiotic therapy in hospitalised adult patients with suspected sepsis.</w:t>
      </w:r>
    </w:p>
    <w:p w:rsidR="00662108" w:rsidRPr="001A310A" w:rsidRDefault="00662108" w:rsidP="00662108">
      <w:pPr>
        <w:jc w:val="center"/>
        <w:rPr>
          <w:rFonts w:cstheme="minorHAnsi"/>
          <w:b/>
          <w:color w:val="244061" w:themeColor="accent1" w:themeShade="80"/>
        </w:rPr>
      </w:pPr>
      <w:proofErr w:type="spellStart"/>
      <w:r w:rsidRPr="001A310A">
        <w:rPr>
          <w:rFonts w:cstheme="minorHAnsi"/>
          <w:b/>
          <w:color w:val="244061" w:themeColor="accent1" w:themeShade="80"/>
        </w:rPr>
        <w:t>GenoMICC</w:t>
      </w:r>
      <w:proofErr w:type="spellEnd"/>
    </w:p>
    <w:p w:rsidR="00662108" w:rsidRPr="001A310A" w:rsidRDefault="00662108" w:rsidP="00662108">
      <w:pPr>
        <w:jc w:val="center"/>
        <w:rPr>
          <w:rFonts w:cstheme="minorHAnsi"/>
          <w:color w:val="244061" w:themeColor="accent1" w:themeShade="80"/>
          <w:sz w:val="20"/>
          <w:szCs w:val="20"/>
        </w:rPr>
      </w:pPr>
      <w:r w:rsidRPr="001A310A">
        <w:rPr>
          <w:rFonts w:cstheme="minorHAnsi"/>
          <w:color w:val="244061" w:themeColor="accent1" w:themeShade="80"/>
          <w:sz w:val="20"/>
          <w:szCs w:val="20"/>
        </w:rPr>
        <w:t>Genetic of Susceptibility and Mortality in Critical Care</w:t>
      </w:r>
    </w:p>
    <w:p w:rsidR="00662108" w:rsidRPr="001A310A" w:rsidRDefault="00662108" w:rsidP="00662108">
      <w:pPr>
        <w:jc w:val="center"/>
        <w:rPr>
          <w:rFonts w:cstheme="minorHAnsi"/>
          <w:color w:val="365F91" w:themeColor="accent1" w:themeShade="BF"/>
          <w:sz w:val="20"/>
          <w:szCs w:val="20"/>
        </w:rPr>
      </w:pPr>
      <w:r w:rsidRPr="001A310A">
        <w:rPr>
          <w:rFonts w:cstheme="minorHAnsi"/>
          <w:color w:val="365F91" w:themeColor="accent1" w:themeShade="BF"/>
          <w:sz w:val="20"/>
          <w:szCs w:val="20"/>
        </w:rPr>
        <w:t>To systematically identify host genetic variants associated with susceptibility to, and mortality from, life-threatening infection and sterile injury. Patients with:</w:t>
      </w:r>
      <w:r w:rsidRPr="001A310A">
        <w:rPr>
          <w:color w:val="365F91" w:themeColor="accent1" w:themeShade="BF"/>
          <w:sz w:val="20"/>
          <w:szCs w:val="20"/>
        </w:rPr>
        <w:t xml:space="preserve"> </w:t>
      </w:r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Influenza, emerging infections (incl. COVID), </w:t>
      </w:r>
      <w:proofErr w:type="spellStart"/>
      <w:r w:rsidRPr="001A310A">
        <w:rPr>
          <w:rFonts w:cstheme="minorHAnsi"/>
          <w:color w:val="365F91" w:themeColor="accent1" w:themeShade="BF"/>
          <w:sz w:val="20"/>
          <w:szCs w:val="20"/>
        </w:rPr>
        <w:t>cellulitis</w:t>
      </w:r>
      <w:proofErr w:type="spellEnd"/>
      <w:r w:rsidRPr="001A310A">
        <w:rPr>
          <w:rFonts w:cstheme="minorHAnsi"/>
          <w:color w:val="365F91" w:themeColor="accent1" w:themeShade="BF"/>
          <w:sz w:val="20"/>
          <w:szCs w:val="20"/>
        </w:rPr>
        <w:t>, burns, RSV, CAP or Pancreatitis.</w:t>
      </w:r>
    </w:p>
    <w:p w:rsidR="00662108" w:rsidRPr="001A310A" w:rsidRDefault="00662108" w:rsidP="00662108">
      <w:pPr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t>SNAP-IT</w:t>
      </w:r>
    </w:p>
    <w:p w:rsidR="00662108" w:rsidRPr="001A310A" w:rsidRDefault="00662108" w:rsidP="00662108">
      <w:pPr>
        <w:jc w:val="center"/>
        <w:rPr>
          <w:rFonts w:cstheme="minorHAnsi"/>
          <w:color w:val="244061" w:themeColor="accent1" w:themeShade="80"/>
          <w:sz w:val="20"/>
          <w:szCs w:val="20"/>
        </w:rPr>
      </w:pPr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Sensing using </w:t>
      </w:r>
      <w:proofErr w:type="spellStart"/>
      <w:r w:rsidRPr="001A310A">
        <w:rPr>
          <w:rFonts w:cstheme="minorHAnsi"/>
          <w:color w:val="244061" w:themeColor="accent1" w:themeShade="80"/>
          <w:sz w:val="20"/>
          <w:szCs w:val="20"/>
        </w:rPr>
        <w:t>Neutrophil</w:t>
      </w:r>
      <w:proofErr w:type="spellEnd"/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 Activation Probe on the Intensive Therapy Unit</w:t>
      </w:r>
    </w:p>
    <w:p w:rsidR="00662108" w:rsidRPr="001A310A" w:rsidRDefault="00662108" w:rsidP="00662108">
      <w:pPr>
        <w:jc w:val="center"/>
        <w:rPr>
          <w:rFonts w:cstheme="minorHAnsi"/>
          <w:color w:val="365F91" w:themeColor="accent1" w:themeShade="BF"/>
          <w:sz w:val="20"/>
          <w:szCs w:val="20"/>
        </w:rPr>
      </w:pPr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Phase II Clinical Trial using optical molecular imaging and a bespoke chemical probe administered in micro doses directly into the distal lung to detect activated </w:t>
      </w:r>
      <w:proofErr w:type="spellStart"/>
      <w:r w:rsidRPr="001A310A">
        <w:rPr>
          <w:rFonts w:cstheme="minorHAnsi"/>
          <w:color w:val="365F91" w:themeColor="accent1" w:themeShade="BF"/>
          <w:sz w:val="20"/>
          <w:szCs w:val="20"/>
        </w:rPr>
        <w:t>neutrophils</w:t>
      </w:r>
      <w:proofErr w:type="spellEnd"/>
      <w:r w:rsidRPr="001A310A">
        <w:rPr>
          <w:rFonts w:cstheme="minorHAnsi"/>
          <w:color w:val="365F91" w:themeColor="accent1" w:themeShade="BF"/>
          <w:sz w:val="20"/>
          <w:szCs w:val="20"/>
        </w:rPr>
        <w:t>, cells that are implicated in the development of ARDS, to develop a bedside test to diagnose, monitor and stratify patients with the condition in the future.</w:t>
      </w:r>
    </w:p>
    <w:p w:rsidR="00662108" w:rsidRPr="001A310A" w:rsidRDefault="00662108" w:rsidP="00662108">
      <w:pPr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t xml:space="preserve">ARDS – </w:t>
      </w:r>
      <w:proofErr w:type="spellStart"/>
      <w:r w:rsidRPr="001A310A">
        <w:rPr>
          <w:rFonts w:cstheme="minorHAnsi"/>
          <w:b/>
          <w:color w:val="244061" w:themeColor="accent1" w:themeShade="80"/>
        </w:rPr>
        <w:t>Neut</w:t>
      </w:r>
      <w:proofErr w:type="spellEnd"/>
    </w:p>
    <w:p w:rsidR="00662108" w:rsidRPr="001A310A" w:rsidRDefault="00662108" w:rsidP="00662108">
      <w:pPr>
        <w:spacing w:before="120" w:after="120"/>
        <w:jc w:val="center"/>
        <w:rPr>
          <w:bCs/>
          <w:color w:val="244061" w:themeColor="accent1" w:themeShade="80"/>
          <w:kern w:val="28"/>
          <w:sz w:val="20"/>
          <w:szCs w:val="20"/>
        </w:rPr>
      </w:pPr>
      <w:r w:rsidRPr="001A310A">
        <w:rPr>
          <w:bCs/>
          <w:color w:val="244061" w:themeColor="accent1" w:themeShade="80"/>
          <w:kern w:val="28"/>
          <w:sz w:val="20"/>
          <w:szCs w:val="20"/>
        </w:rPr>
        <w:t xml:space="preserve">Investigating the biosynthetic properties of ARDS </w:t>
      </w:r>
      <w:proofErr w:type="spellStart"/>
      <w:r w:rsidRPr="001A310A">
        <w:rPr>
          <w:bCs/>
          <w:color w:val="244061" w:themeColor="accent1" w:themeShade="80"/>
          <w:kern w:val="28"/>
          <w:sz w:val="20"/>
          <w:szCs w:val="20"/>
        </w:rPr>
        <w:t>neutrophils</w:t>
      </w:r>
      <w:proofErr w:type="spellEnd"/>
    </w:p>
    <w:p w:rsidR="00662108" w:rsidRPr="001A310A" w:rsidRDefault="00662108" w:rsidP="00662108">
      <w:pPr>
        <w:tabs>
          <w:tab w:val="left" w:pos="851"/>
        </w:tabs>
        <w:spacing w:before="120"/>
        <w:jc w:val="center"/>
        <w:rPr>
          <w:rFonts w:cs="Arial"/>
          <w:color w:val="365F91" w:themeColor="accent1" w:themeShade="BF"/>
          <w:sz w:val="20"/>
          <w:szCs w:val="20"/>
        </w:rPr>
      </w:pPr>
      <w:r w:rsidRPr="001A310A">
        <w:rPr>
          <w:color w:val="365F91" w:themeColor="accent1" w:themeShade="BF"/>
          <w:sz w:val="20"/>
          <w:szCs w:val="20"/>
          <w:lang w:val="en-US"/>
        </w:rPr>
        <w:t xml:space="preserve">To ascertain </w:t>
      </w:r>
      <w:r w:rsidRPr="001A310A">
        <w:rPr>
          <w:color w:val="365F91" w:themeColor="accent1" w:themeShade="BF"/>
          <w:sz w:val="20"/>
          <w:szCs w:val="20"/>
        </w:rPr>
        <w:t xml:space="preserve">whether the circulating white blood cells, in particular the </w:t>
      </w:r>
      <w:proofErr w:type="spellStart"/>
      <w:r w:rsidRPr="001A310A">
        <w:rPr>
          <w:color w:val="365F91" w:themeColor="accent1" w:themeShade="BF"/>
          <w:sz w:val="20"/>
          <w:szCs w:val="20"/>
        </w:rPr>
        <w:t>neutrophils</w:t>
      </w:r>
      <w:proofErr w:type="spellEnd"/>
      <w:r w:rsidRPr="001A310A">
        <w:rPr>
          <w:color w:val="365F91" w:themeColor="accent1" w:themeShade="BF"/>
          <w:sz w:val="20"/>
          <w:szCs w:val="20"/>
        </w:rPr>
        <w:t xml:space="preserve"> and </w:t>
      </w:r>
      <w:proofErr w:type="spellStart"/>
      <w:r w:rsidRPr="001A310A">
        <w:rPr>
          <w:color w:val="365F91" w:themeColor="accent1" w:themeShade="BF"/>
          <w:sz w:val="20"/>
          <w:szCs w:val="20"/>
        </w:rPr>
        <w:t>monocytes</w:t>
      </w:r>
      <w:proofErr w:type="spellEnd"/>
      <w:r w:rsidRPr="001A310A">
        <w:rPr>
          <w:color w:val="365F91" w:themeColor="accent1" w:themeShade="BF"/>
          <w:sz w:val="20"/>
          <w:szCs w:val="20"/>
        </w:rPr>
        <w:t>, of patients with ARDS (COVID and NON-COVID) differ from those of healthy controls in terms of their capacity to sense and respond to metabolic and physiological stress signals.</w:t>
      </w:r>
    </w:p>
    <w:p w:rsidR="00662108" w:rsidRPr="001A310A" w:rsidRDefault="00662108" w:rsidP="00662108">
      <w:pPr>
        <w:jc w:val="center"/>
        <w:rPr>
          <w:rFonts w:cstheme="minorHAnsi"/>
          <w:b/>
          <w:color w:val="244061" w:themeColor="accent1" w:themeShade="80"/>
        </w:rPr>
      </w:pPr>
      <w:proofErr w:type="spellStart"/>
      <w:r w:rsidRPr="001A310A">
        <w:rPr>
          <w:rFonts w:cstheme="minorHAnsi"/>
          <w:b/>
          <w:color w:val="244061" w:themeColor="accent1" w:themeShade="80"/>
        </w:rPr>
        <w:t>VACIRiSS</w:t>
      </w:r>
      <w:proofErr w:type="spellEnd"/>
    </w:p>
    <w:p w:rsidR="00662108" w:rsidRPr="001A310A" w:rsidRDefault="00662108" w:rsidP="00662108">
      <w:pPr>
        <w:jc w:val="center"/>
        <w:rPr>
          <w:rFonts w:cstheme="minorHAnsi"/>
          <w:color w:val="244061" w:themeColor="accent1" w:themeShade="80"/>
          <w:sz w:val="20"/>
          <w:szCs w:val="20"/>
        </w:rPr>
      </w:pPr>
      <w:r w:rsidRPr="001A310A">
        <w:rPr>
          <w:rFonts w:cstheme="minorHAnsi"/>
          <w:color w:val="244061" w:themeColor="accent1" w:themeShade="80"/>
          <w:sz w:val="20"/>
          <w:szCs w:val="20"/>
        </w:rPr>
        <w:t>Pneumococcal Vaccination to Accelerate Immune Recovery in Sepsis Survivors</w:t>
      </w:r>
    </w:p>
    <w:p w:rsidR="00662108" w:rsidRPr="001A310A" w:rsidRDefault="00662108" w:rsidP="00662108">
      <w:pPr>
        <w:jc w:val="center"/>
        <w:rPr>
          <w:rFonts w:cstheme="minorHAnsi"/>
          <w:color w:val="365F91" w:themeColor="accent1" w:themeShade="BF"/>
          <w:sz w:val="20"/>
          <w:szCs w:val="20"/>
        </w:rPr>
      </w:pPr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The aim of </w:t>
      </w:r>
      <w:proofErr w:type="spellStart"/>
      <w:r w:rsidRPr="001A310A">
        <w:rPr>
          <w:rFonts w:cstheme="minorHAnsi"/>
          <w:color w:val="365F91" w:themeColor="accent1" w:themeShade="BF"/>
          <w:sz w:val="20"/>
          <w:szCs w:val="20"/>
        </w:rPr>
        <w:t>VACIRiSS</w:t>
      </w:r>
      <w:proofErr w:type="spellEnd"/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 trial is to evaluate the immunogenicity and </w:t>
      </w:r>
      <w:proofErr w:type="spellStart"/>
      <w:r w:rsidRPr="001A310A">
        <w:rPr>
          <w:rFonts w:cstheme="minorHAnsi"/>
          <w:color w:val="365F91" w:themeColor="accent1" w:themeShade="BF"/>
          <w:sz w:val="20"/>
          <w:szCs w:val="20"/>
        </w:rPr>
        <w:t>heterologous</w:t>
      </w:r>
      <w:proofErr w:type="spellEnd"/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 effects of single dose 13-valent conjugate pneumococcal vaccine (PCV-13) in preventing infection related rehospitalisation in sepsis survivors and to collect outcome event data with necessary precision to inform future definitive trial design.</w:t>
      </w:r>
    </w:p>
    <w:p w:rsidR="00662108" w:rsidRPr="001A310A" w:rsidRDefault="00662108" w:rsidP="00662108">
      <w:pPr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lastRenderedPageBreak/>
        <w:t>PHIND</w:t>
      </w:r>
    </w:p>
    <w:p w:rsidR="00662108" w:rsidRPr="001A310A" w:rsidRDefault="00662108" w:rsidP="00662108">
      <w:pPr>
        <w:jc w:val="center"/>
        <w:rPr>
          <w:rFonts w:cstheme="minorHAnsi"/>
          <w:color w:val="244061" w:themeColor="accent1" w:themeShade="80"/>
          <w:sz w:val="20"/>
          <w:szCs w:val="20"/>
        </w:rPr>
      </w:pPr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Clinical evaluation of a point of care assay to identify </w:t>
      </w:r>
      <w:proofErr w:type="spellStart"/>
      <w:r w:rsidRPr="001A310A">
        <w:rPr>
          <w:rFonts w:cstheme="minorHAnsi"/>
          <w:color w:val="244061" w:themeColor="accent1" w:themeShade="80"/>
          <w:sz w:val="20"/>
          <w:szCs w:val="20"/>
        </w:rPr>
        <w:t>PHenotypes</w:t>
      </w:r>
      <w:proofErr w:type="spellEnd"/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 IN the Acute Respiratory Distress Syndrome</w:t>
      </w:r>
    </w:p>
    <w:p w:rsidR="00662108" w:rsidRPr="001A310A" w:rsidRDefault="00662108" w:rsidP="00662108">
      <w:pPr>
        <w:pStyle w:val="Default"/>
        <w:jc w:val="center"/>
        <w:rPr>
          <w:rFonts w:asciiTheme="minorHAnsi" w:hAnsiTheme="minorHAnsi"/>
          <w:color w:val="365F91" w:themeColor="accent1" w:themeShade="BF"/>
          <w:sz w:val="20"/>
          <w:szCs w:val="20"/>
        </w:rPr>
      </w:pPr>
      <w:r w:rsidRPr="001A310A">
        <w:rPr>
          <w:rFonts w:asciiTheme="minorHAnsi" w:hAnsiTheme="minorHAnsi"/>
          <w:color w:val="365F91" w:themeColor="accent1" w:themeShade="BF"/>
          <w:sz w:val="20"/>
          <w:szCs w:val="20"/>
        </w:rPr>
        <w:t>Assess the clinical outcomes in patients with ARDS according to their prospectively defined inflammatory phenotype determined using a POC assay.</w:t>
      </w:r>
    </w:p>
    <w:p w:rsidR="00662108" w:rsidRDefault="00662108" w:rsidP="00662108">
      <w:pPr>
        <w:rPr>
          <w:rFonts w:cstheme="minorHAnsi"/>
          <w:b/>
          <w:color w:val="244061" w:themeColor="accent1" w:themeShade="80"/>
        </w:rPr>
      </w:pPr>
    </w:p>
    <w:p w:rsidR="00662108" w:rsidRPr="001A310A" w:rsidRDefault="00662108" w:rsidP="00662108">
      <w:pPr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t>HEMOTION</w:t>
      </w:r>
    </w:p>
    <w:p w:rsidR="00662108" w:rsidRPr="001A310A" w:rsidRDefault="00662108" w:rsidP="00662108">
      <w:pPr>
        <w:jc w:val="center"/>
        <w:rPr>
          <w:rFonts w:cstheme="minorHAnsi"/>
          <w:color w:val="244061" w:themeColor="accent1" w:themeShade="80"/>
          <w:sz w:val="20"/>
          <w:szCs w:val="20"/>
        </w:rPr>
      </w:pPr>
      <w:proofErr w:type="spellStart"/>
      <w:r w:rsidRPr="001A310A">
        <w:rPr>
          <w:rFonts w:cstheme="minorHAnsi"/>
          <w:color w:val="244061" w:themeColor="accent1" w:themeShade="80"/>
          <w:sz w:val="20"/>
          <w:szCs w:val="20"/>
        </w:rPr>
        <w:t>HEMOglobin</w:t>
      </w:r>
      <w:proofErr w:type="spellEnd"/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 transfusion threshold in Traumatic brain Injury </w:t>
      </w:r>
      <w:proofErr w:type="spellStart"/>
      <w:r w:rsidRPr="001A310A">
        <w:rPr>
          <w:rFonts w:cstheme="minorHAnsi"/>
          <w:color w:val="244061" w:themeColor="accent1" w:themeShade="80"/>
          <w:sz w:val="20"/>
          <w:szCs w:val="20"/>
        </w:rPr>
        <w:t>OptimazatioN</w:t>
      </w:r>
      <w:proofErr w:type="spellEnd"/>
      <w:r w:rsidRPr="001A310A">
        <w:rPr>
          <w:rFonts w:cstheme="minorHAnsi"/>
          <w:color w:val="244061" w:themeColor="accent1" w:themeShade="80"/>
          <w:sz w:val="20"/>
          <w:szCs w:val="20"/>
        </w:rPr>
        <w:t>: The HEMOTION TRIAL</w:t>
      </w:r>
    </w:p>
    <w:p w:rsidR="00662108" w:rsidRPr="001A310A" w:rsidRDefault="00662108" w:rsidP="00662108">
      <w:pPr>
        <w:jc w:val="center"/>
        <w:rPr>
          <w:rFonts w:cstheme="minorHAnsi"/>
          <w:color w:val="365F91" w:themeColor="accent1" w:themeShade="BF"/>
          <w:sz w:val="20"/>
          <w:szCs w:val="20"/>
        </w:rPr>
      </w:pPr>
      <w:proofErr w:type="gramStart"/>
      <w:r w:rsidRPr="001A310A">
        <w:rPr>
          <w:color w:val="365F91" w:themeColor="accent1" w:themeShade="BF"/>
          <w:sz w:val="20"/>
          <w:szCs w:val="20"/>
        </w:rPr>
        <w:t>To evaluate the effect of red blood cell (RBC) transfusion thresholds on neurological functional outcome.</w:t>
      </w:r>
      <w:proofErr w:type="gramEnd"/>
    </w:p>
    <w:p w:rsidR="00662108" w:rsidRPr="001A310A" w:rsidRDefault="00662108" w:rsidP="00662108">
      <w:pPr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t>EFFORT</w:t>
      </w:r>
    </w:p>
    <w:p w:rsidR="00662108" w:rsidRPr="001A310A" w:rsidRDefault="00662108" w:rsidP="00662108">
      <w:pPr>
        <w:spacing w:line="240" w:lineRule="auto"/>
        <w:jc w:val="center"/>
        <w:rPr>
          <w:rFonts w:cs="Arial"/>
          <w:color w:val="244061" w:themeColor="accent1" w:themeShade="80"/>
          <w:sz w:val="20"/>
          <w:szCs w:val="20"/>
        </w:rPr>
      </w:pPr>
      <w:r w:rsidRPr="001A310A">
        <w:rPr>
          <w:rFonts w:cs="Arial"/>
          <w:color w:val="244061" w:themeColor="accent1" w:themeShade="80"/>
          <w:sz w:val="20"/>
          <w:szCs w:val="20"/>
        </w:rPr>
        <w:t>The Effect of Higher Protein Dosing in Critically Ill Patients: A Multicentre Registry-based Randomized Trial. The EFFORT Trial</w:t>
      </w:r>
    </w:p>
    <w:p w:rsidR="00662108" w:rsidRPr="001A310A" w:rsidRDefault="00662108" w:rsidP="00662108">
      <w:pPr>
        <w:spacing w:after="120" w:line="240" w:lineRule="auto"/>
        <w:jc w:val="center"/>
        <w:rPr>
          <w:rFonts w:ascii="Calibri" w:eastAsia="Calibri" w:hAnsi="Calibri" w:cs="Times New Roman"/>
          <w:color w:val="365F91" w:themeColor="accent1" w:themeShade="BF"/>
          <w:sz w:val="20"/>
          <w:szCs w:val="20"/>
        </w:rPr>
      </w:pPr>
      <w:r w:rsidRPr="001A310A">
        <w:rPr>
          <w:rFonts w:ascii="Calibri" w:eastAsia="Calibri" w:hAnsi="Calibri" w:cs="Times New Roman"/>
          <w:color w:val="365F91" w:themeColor="accent1" w:themeShade="BF"/>
          <w:sz w:val="20"/>
          <w:szCs w:val="20"/>
        </w:rPr>
        <w:t>To determine the effect of prescribing a higher dose (&gt;2.2 grams/kg/day) of protein/amino acids compared to a lower dose (&lt;1.2 gram/kg/day) on 60 day mortality in critically ill patients with nutrition ‘risk factors’.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t>REMAP CAP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color w:val="244061" w:themeColor="accent1" w:themeShade="80"/>
          <w:sz w:val="20"/>
          <w:szCs w:val="20"/>
        </w:rPr>
      </w:pPr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Randomized, Embedded, </w:t>
      </w:r>
      <w:proofErr w:type="spellStart"/>
      <w:r w:rsidRPr="001A310A">
        <w:rPr>
          <w:rFonts w:cstheme="minorHAnsi"/>
          <w:color w:val="244061" w:themeColor="accent1" w:themeShade="80"/>
          <w:sz w:val="20"/>
          <w:szCs w:val="20"/>
        </w:rPr>
        <w:t>Multifactorial</w:t>
      </w:r>
      <w:proofErr w:type="spellEnd"/>
      <w:r w:rsidRPr="001A310A">
        <w:rPr>
          <w:rFonts w:cstheme="minorHAnsi"/>
          <w:color w:val="244061" w:themeColor="accent1" w:themeShade="80"/>
          <w:sz w:val="20"/>
          <w:szCs w:val="20"/>
        </w:rPr>
        <w:t>, Adapted Platform trial for Community Acquired Pneumonia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color w:val="365F91" w:themeColor="accent1" w:themeShade="BF"/>
          <w:sz w:val="20"/>
          <w:szCs w:val="20"/>
        </w:rPr>
      </w:pPr>
      <w:r w:rsidRPr="001A310A">
        <w:rPr>
          <w:rFonts w:cstheme="minorHAnsi"/>
          <w:color w:val="365F91" w:themeColor="accent1" w:themeShade="BF"/>
          <w:sz w:val="20"/>
          <w:szCs w:val="20"/>
        </w:rPr>
        <w:t>Randomised controlled platform trial of multiple treatments currently being trialled for COVID 19. Patients recruited within 24 hours of ICU admission.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t>REALIST</w:t>
      </w:r>
    </w:p>
    <w:p w:rsidR="00662108" w:rsidRPr="001A310A" w:rsidRDefault="00662108" w:rsidP="00662108">
      <w:pPr>
        <w:spacing w:after="120"/>
        <w:jc w:val="center"/>
        <w:rPr>
          <w:rFonts w:cs="Times New Roman"/>
          <w:bCs/>
          <w:color w:val="244061" w:themeColor="accent1" w:themeShade="80"/>
          <w:sz w:val="20"/>
          <w:szCs w:val="20"/>
        </w:rPr>
      </w:pPr>
      <w:r w:rsidRPr="001A310A">
        <w:rPr>
          <w:rFonts w:cs="Times New Roman"/>
          <w:bCs/>
          <w:color w:val="244061" w:themeColor="accent1" w:themeShade="80"/>
          <w:sz w:val="20"/>
          <w:szCs w:val="20"/>
        </w:rPr>
        <w:t xml:space="preserve">Repair of Acute Respiratory Distress Syndrome (ARDS) by </w:t>
      </w:r>
      <w:proofErr w:type="spellStart"/>
      <w:r w:rsidRPr="001A310A">
        <w:rPr>
          <w:rFonts w:cs="Times New Roman"/>
          <w:bCs/>
          <w:color w:val="244061" w:themeColor="accent1" w:themeShade="80"/>
          <w:sz w:val="20"/>
          <w:szCs w:val="20"/>
        </w:rPr>
        <w:t>stomal</w:t>
      </w:r>
      <w:proofErr w:type="spellEnd"/>
      <w:r w:rsidRPr="001A310A">
        <w:rPr>
          <w:rFonts w:cs="Times New Roman"/>
          <w:bCs/>
          <w:color w:val="244061" w:themeColor="accent1" w:themeShade="80"/>
          <w:sz w:val="20"/>
          <w:szCs w:val="20"/>
        </w:rPr>
        <w:t xml:space="preserve"> cell administration</w:t>
      </w:r>
    </w:p>
    <w:p w:rsidR="00662108" w:rsidRPr="001A310A" w:rsidRDefault="00662108" w:rsidP="00662108">
      <w:pPr>
        <w:autoSpaceDE w:val="0"/>
        <w:autoSpaceDN w:val="0"/>
        <w:adjustRightInd w:val="0"/>
        <w:spacing w:after="120" w:line="240" w:lineRule="auto"/>
        <w:jc w:val="center"/>
        <w:rPr>
          <w:rFonts w:asciiTheme="majorHAnsi" w:hAnsiTheme="majorHAnsi" w:cs="Times New Roman"/>
          <w:color w:val="365F91" w:themeColor="accent1" w:themeShade="BF"/>
          <w:sz w:val="20"/>
          <w:szCs w:val="20"/>
        </w:rPr>
      </w:pPr>
      <w:proofErr w:type="gramStart"/>
      <w:r w:rsidRPr="001A310A">
        <w:rPr>
          <w:rFonts w:asciiTheme="majorHAnsi" w:hAnsiTheme="majorHAnsi" w:cs="Times New Roman"/>
          <w:color w:val="365F91" w:themeColor="accent1" w:themeShade="BF"/>
          <w:sz w:val="20"/>
          <w:szCs w:val="20"/>
        </w:rPr>
        <w:t xml:space="preserve">A study to determine the effect of a single intravenous infusion of </w:t>
      </w:r>
      <w:proofErr w:type="spellStart"/>
      <w:r w:rsidRPr="001A310A">
        <w:rPr>
          <w:rFonts w:asciiTheme="majorHAnsi" w:hAnsiTheme="majorHAnsi" w:cs="Times New Roman"/>
          <w:color w:val="365F91" w:themeColor="accent1" w:themeShade="BF"/>
          <w:sz w:val="20"/>
          <w:szCs w:val="20"/>
        </w:rPr>
        <w:t>mesenchymal</w:t>
      </w:r>
      <w:proofErr w:type="spellEnd"/>
      <w:r w:rsidRPr="001A310A">
        <w:rPr>
          <w:rFonts w:asciiTheme="majorHAnsi" w:hAnsiTheme="majorHAnsi" w:cs="Times New Roman"/>
          <w:color w:val="365F91" w:themeColor="accent1" w:themeShade="BF"/>
          <w:sz w:val="20"/>
          <w:szCs w:val="20"/>
        </w:rPr>
        <w:t xml:space="preserve"> </w:t>
      </w:r>
      <w:proofErr w:type="spellStart"/>
      <w:r w:rsidRPr="001A310A">
        <w:rPr>
          <w:rFonts w:asciiTheme="majorHAnsi" w:hAnsiTheme="majorHAnsi" w:cs="Times New Roman"/>
          <w:color w:val="365F91" w:themeColor="accent1" w:themeShade="BF"/>
          <w:sz w:val="20"/>
          <w:szCs w:val="20"/>
        </w:rPr>
        <w:t>stromal</w:t>
      </w:r>
      <w:proofErr w:type="spellEnd"/>
      <w:r w:rsidRPr="001A310A">
        <w:rPr>
          <w:rFonts w:asciiTheme="majorHAnsi" w:hAnsiTheme="majorHAnsi" w:cs="Times New Roman"/>
          <w:color w:val="365F91" w:themeColor="accent1" w:themeShade="BF"/>
          <w:sz w:val="20"/>
          <w:szCs w:val="20"/>
        </w:rPr>
        <w:t xml:space="preserve"> cells in patients in acute respiratory distress syndrome and ARDS</w:t>
      </w:r>
      <w:r w:rsidRPr="001A310A">
        <w:rPr>
          <w:rFonts w:cs="Times New Roman"/>
          <w:color w:val="365F91" w:themeColor="accent1" w:themeShade="BF"/>
          <w:sz w:val="20"/>
          <w:szCs w:val="20"/>
        </w:rPr>
        <w:t>.</w:t>
      </w:r>
      <w:proofErr w:type="gramEnd"/>
    </w:p>
    <w:p w:rsidR="00662108" w:rsidRPr="001A310A" w:rsidRDefault="00662108" w:rsidP="00662108">
      <w:pPr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t>TARDIS</w:t>
      </w:r>
    </w:p>
    <w:p w:rsidR="00662108" w:rsidRPr="001A310A" w:rsidRDefault="00662108" w:rsidP="00662108">
      <w:pPr>
        <w:spacing w:after="120"/>
        <w:jc w:val="center"/>
        <w:rPr>
          <w:rFonts w:cs="Times New Roman"/>
          <w:bCs/>
          <w:color w:val="244061" w:themeColor="accent1" w:themeShade="80"/>
          <w:sz w:val="20"/>
          <w:szCs w:val="20"/>
        </w:rPr>
      </w:pPr>
      <w:r w:rsidRPr="001A310A">
        <w:rPr>
          <w:rFonts w:cs="Times New Roman"/>
          <w:bCs/>
          <w:color w:val="244061" w:themeColor="accent1" w:themeShade="80"/>
          <w:sz w:val="20"/>
          <w:szCs w:val="20"/>
        </w:rPr>
        <w:t>Traumatic Brain Injury (TBI) associated radiological DVT incidence and significance study.</w:t>
      </w:r>
    </w:p>
    <w:p w:rsidR="00662108" w:rsidRPr="001A310A" w:rsidRDefault="00662108" w:rsidP="00662108">
      <w:pPr>
        <w:jc w:val="center"/>
        <w:rPr>
          <w:rFonts w:cstheme="minorHAnsi"/>
          <w:b/>
          <w:color w:val="244061" w:themeColor="accent1" w:themeShade="80"/>
          <w:sz w:val="20"/>
          <w:szCs w:val="20"/>
        </w:rPr>
      </w:pPr>
      <w:r w:rsidRPr="001A310A">
        <w:rPr>
          <w:rFonts w:asciiTheme="majorHAnsi" w:hAnsiTheme="majorHAnsi" w:cs="Times New Roman"/>
          <w:color w:val="365F91" w:themeColor="accent1" w:themeShade="BF"/>
          <w:sz w:val="20"/>
          <w:szCs w:val="20"/>
        </w:rPr>
        <w:t>This study aims to find out how often blood clots form in the legs after brain injury and see if this affects recovery..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t>ABC Trial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color w:val="244061" w:themeColor="accent1" w:themeShade="80"/>
          <w:sz w:val="20"/>
          <w:szCs w:val="20"/>
        </w:rPr>
      </w:pPr>
      <w:r w:rsidRPr="001A310A">
        <w:rPr>
          <w:rFonts w:cstheme="minorHAnsi"/>
          <w:color w:val="244061" w:themeColor="accent1" w:themeShade="80"/>
          <w:sz w:val="20"/>
          <w:szCs w:val="20"/>
        </w:rPr>
        <w:t>Anaemia management with red Blood Cell transfusion to improve post-intensive care disability: a randomised controlled trial</w:t>
      </w:r>
    </w:p>
    <w:p w:rsidR="00662108" w:rsidRPr="00526C3C" w:rsidRDefault="00662108" w:rsidP="00662108">
      <w:pPr>
        <w:spacing w:after="120"/>
        <w:jc w:val="center"/>
        <w:rPr>
          <w:rFonts w:cstheme="minorHAnsi"/>
          <w:color w:val="365F91" w:themeColor="accent1" w:themeShade="BF"/>
          <w:sz w:val="20"/>
          <w:szCs w:val="20"/>
        </w:rPr>
      </w:pPr>
      <w:r w:rsidRPr="001A310A">
        <w:rPr>
          <w:rFonts w:cstheme="minorHAnsi"/>
          <w:color w:val="365F91" w:themeColor="accent1" w:themeShade="BF"/>
          <w:sz w:val="20"/>
          <w:szCs w:val="20"/>
        </w:rPr>
        <w:t>To determine whether correcting anaemia from the time of ICU discharge using blood transfusions results in an improvement in self-reported quality of life 3 months after ICU discharge, compared with current usual care.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t>BIS-TBI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color w:val="244061" w:themeColor="accent1" w:themeShade="80"/>
          <w:sz w:val="20"/>
          <w:szCs w:val="20"/>
        </w:rPr>
      </w:pPr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The use of </w:t>
      </w:r>
      <w:proofErr w:type="spellStart"/>
      <w:r w:rsidRPr="001A310A">
        <w:rPr>
          <w:rFonts w:cstheme="minorHAnsi"/>
          <w:color w:val="244061" w:themeColor="accent1" w:themeShade="80"/>
          <w:sz w:val="20"/>
          <w:szCs w:val="20"/>
        </w:rPr>
        <w:t>Bispectral</w:t>
      </w:r>
      <w:proofErr w:type="spellEnd"/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 Index monitoring to assess depth of sedation in patients with TBI</w:t>
      </w:r>
    </w:p>
    <w:p w:rsidR="00662108" w:rsidRPr="001A310A" w:rsidRDefault="00662108" w:rsidP="0066210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365F91" w:themeColor="accent1" w:themeShade="BF"/>
          <w:sz w:val="20"/>
          <w:szCs w:val="20"/>
        </w:rPr>
      </w:pPr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This observational study uses BIS to: assess the level of sedation of TBI pts, describe the sedation practice used for them &amp;, assess whether BIS-predicted depth of anaesthesia is associated with other factors e.g. use of </w:t>
      </w:r>
      <w:proofErr w:type="spellStart"/>
      <w:r w:rsidRPr="001A310A">
        <w:rPr>
          <w:rFonts w:cstheme="minorHAnsi"/>
          <w:color w:val="365F91" w:themeColor="accent1" w:themeShade="BF"/>
          <w:sz w:val="20"/>
          <w:szCs w:val="20"/>
        </w:rPr>
        <w:t>vasoactive</w:t>
      </w:r>
      <w:proofErr w:type="spellEnd"/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 medication, </w:t>
      </w:r>
      <w:proofErr w:type="spellStart"/>
      <w:r w:rsidRPr="001A310A">
        <w:rPr>
          <w:rFonts w:cstheme="minorHAnsi"/>
          <w:color w:val="365F91" w:themeColor="accent1" w:themeShade="BF"/>
          <w:sz w:val="20"/>
          <w:szCs w:val="20"/>
        </w:rPr>
        <w:t>osmotherapy</w:t>
      </w:r>
      <w:proofErr w:type="spellEnd"/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 etc.</w:t>
      </w:r>
    </w:p>
    <w:p w:rsidR="00662108" w:rsidRPr="001A310A" w:rsidRDefault="00662108" w:rsidP="0066210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365F91" w:themeColor="accent1" w:themeShade="BF"/>
          <w:sz w:val="20"/>
          <w:szCs w:val="20"/>
        </w:rPr>
      </w:pPr>
      <w:r w:rsidRPr="001A310A">
        <w:rPr>
          <w:rFonts w:cstheme="minorHAnsi"/>
          <w:color w:val="365F91" w:themeColor="accent1" w:themeShade="BF"/>
          <w:sz w:val="20"/>
          <w:szCs w:val="20"/>
        </w:rPr>
        <w:t>Clinical team blinded from the BIS values recorded</w:t>
      </w:r>
    </w:p>
    <w:p w:rsidR="00662108" w:rsidRPr="001A310A" w:rsidRDefault="00662108" w:rsidP="006621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365F91" w:themeColor="accent1" w:themeShade="BF"/>
        </w:rPr>
      </w:pPr>
    </w:p>
    <w:p w:rsidR="00662108" w:rsidRDefault="00662108" w:rsidP="00662108">
      <w:pPr>
        <w:autoSpaceDE w:val="0"/>
        <w:autoSpaceDN w:val="0"/>
        <w:adjustRightInd w:val="0"/>
        <w:spacing w:after="120" w:line="240" w:lineRule="auto"/>
        <w:jc w:val="center"/>
        <w:rPr>
          <w:rFonts w:cstheme="minorHAnsi"/>
          <w:b/>
          <w:color w:val="244061" w:themeColor="accent1" w:themeShade="80"/>
        </w:rPr>
      </w:pPr>
      <w:r>
        <w:rPr>
          <w:rFonts w:cstheme="minorHAnsi"/>
          <w:b/>
          <w:color w:val="244061" w:themeColor="accent1" w:themeShade="80"/>
        </w:rPr>
        <w:br/>
      </w:r>
    </w:p>
    <w:p w:rsidR="00662108" w:rsidRPr="001A310A" w:rsidRDefault="00662108" w:rsidP="00662108">
      <w:pPr>
        <w:autoSpaceDE w:val="0"/>
        <w:autoSpaceDN w:val="0"/>
        <w:adjustRightInd w:val="0"/>
        <w:spacing w:after="120" w:line="240" w:lineRule="auto"/>
        <w:jc w:val="center"/>
        <w:rPr>
          <w:rFonts w:asciiTheme="majorHAnsi" w:hAnsiTheme="majorHAnsi" w:cs="Times New Roman"/>
          <w:color w:val="365F91" w:themeColor="accent1" w:themeShade="BF"/>
          <w:sz w:val="18"/>
          <w:szCs w:val="18"/>
        </w:rPr>
      </w:pPr>
      <w:r w:rsidRPr="001A310A">
        <w:rPr>
          <w:rFonts w:cstheme="minorHAnsi"/>
          <w:b/>
          <w:color w:val="244061" w:themeColor="accent1" w:themeShade="80"/>
        </w:rPr>
        <w:lastRenderedPageBreak/>
        <w:t>SOS</w:t>
      </w:r>
    </w:p>
    <w:p w:rsidR="00662108" w:rsidRPr="001A310A" w:rsidRDefault="00662108" w:rsidP="00662108">
      <w:pPr>
        <w:jc w:val="center"/>
        <w:rPr>
          <w:rFonts w:ascii="Calibri" w:hAnsi="Calibri" w:cs="Calibri"/>
          <w:bCs/>
          <w:color w:val="244061" w:themeColor="accent1" w:themeShade="80"/>
          <w:sz w:val="20"/>
          <w:szCs w:val="20"/>
        </w:rPr>
      </w:pPr>
      <w:r w:rsidRPr="001A310A">
        <w:rPr>
          <w:rFonts w:ascii="Calibri" w:hAnsi="Calibri" w:cs="Calibri"/>
          <w:bCs/>
          <w:color w:val="244061" w:themeColor="accent1" w:themeShade="80"/>
          <w:sz w:val="20"/>
          <w:szCs w:val="20"/>
        </w:rPr>
        <w:t xml:space="preserve">Sugar or Salt (SOS) Trial: </w:t>
      </w:r>
      <w:proofErr w:type="spellStart"/>
      <w:r w:rsidRPr="001A310A">
        <w:rPr>
          <w:rFonts w:ascii="Calibri" w:hAnsi="Calibri" w:cs="Calibri"/>
          <w:bCs/>
          <w:color w:val="244061" w:themeColor="accent1" w:themeShade="80"/>
          <w:sz w:val="20"/>
          <w:szCs w:val="20"/>
        </w:rPr>
        <w:t>Hyperosmolar</w:t>
      </w:r>
      <w:proofErr w:type="spellEnd"/>
      <w:r w:rsidRPr="001A310A">
        <w:rPr>
          <w:rFonts w:ascii="Calibri" w:hAnsi="Calibri" w:cs="Calibri"/>
          <w:bCs/>
          <w:color w:val="244061" w:themeColor="accent1" w:themeShade="80"/>
          <w:sz w:val="20"/>
          <w:szCs w:val="20"/>
        </w:rPr>
        <w:t xml:space="preserve"> therapy in traumatic brain injury</w:t>
      </w:r>
    </w:p>
    <w:p w:rsidR="00662108" w:rsidRPr="000831A6" w:rsidRDefault="00662108" w:rsidP="00662108">
      <w:pPr>
        <w:jc w:val="center"/>
        <w:rPr>
          <w:color w:val="365F91" w:themeColor="accent1" w:themeShade="BF"/>
          <w:sz w:val="20"/>
          <w:szCs w:val="20"/>
        </w:rPr>
      </w:pPr>
      <w:r w:rsidRPr="001A310A">
        <w:rPr>
          <w:color w:val="365F91" w:themeColor="accent1" w:themeShade="BF"/>
          <w:sz w:val="20"/>
          <w:szCs w:val="20"/>
        </w:rPr>
        <w:t xml:space="preserve">To compare the effectiveness of hypertonic saline versus </w:t>
      </w:r>
      <w:proofErr w:type="spellStart"/>
      <w:r w:rsidRPr="001A310A">
        <w:rPr>
          <w:color w:val="365F91" w:themeColor="accent1" w:themeShade="BF"/>
          <w:sz w:val="20"/>
          <w:szCs w:val="20"/>
        </w:rPr>
        <w:t>mannitol</w:t>
      </w:r>
      <w:proofErr w:type="spellEnd"/>
      <w:r w:rsidRPr="001A310A">
        <w:rPr>
          <w:color w:val="365F91" w:themeColor="accent1" w:themeShade="BF"/>
          <w:sz w:val="20"/>
          <w:szCs w:val="20"/>
        </w:rPr>
        <w:t xml:space="preserve"> (as measured by the GOS-E questionnaire at 6 months) following TBI with raised ICP</w:t>
      </w:r>
    </w:p>
    <w:p w:rsidR="00662108" w:rsidRDefault="00662108" w:rsidP="00662108">
      <w:pPr>
        <w:spacing w:after="120"/>
        <w:jc w:val="center"/>
        <w:rPr>
          <w:rFonts w:cstheme="minorHAnsi"/>
          <w:color w:val="244061" w:themeColor="accent1" w:themeShade="80"/>
          <w:sz w:val="28"/>
          <w:szCs w:val="28"/>
          <w:u w:val="single"/>
        </w:rPr>
      </w:pPr>
    </w:p>
    <w:p w:rsidR="00662108" w:rsidRDefault="00662108" w:rsidP="00662108">
      <w:pPr>
        <w:spacing w:after="120"/>
        <w:jc w:val="center"/>
        <w:rPr>
          <w:rFonts w:cstheme="minorHAnsi"/>
          <w:color w:val="244061" w:themeColor="accent1" w:themeShade="80"/>
          <w:sz w:val="28"/>
          <w:szCs w:val="28"/>
          <w:u w:val="single"/>
        </w:rPr>
      </w:pPr>
    </w:p>
    <w:p w:rsidR="00662108" w:rsidRPr="001A310A" w:rsidRDefault="00662108" w:rsidP="00662108">
      <w:pPr>
        <w:spacing w:after="120"/>
        <w:jc w:val="center"/>
        <w:rPr>
          <w:rFonts w:cstheme="minorHAnsi"/>
          <w:color w:val="244061" w:themeColor="accent1" w:themeShade="80"/>
          <w:sz w:val="28"/>
          <w:szCs w:val="28"/>
          <w:u w:val="single"/>
        </w:rPr>
      </w:pPr>
      <w:r w:rsidRPr="001A310A">
        <w:rPr>
          <w:rFonts w:cstheme="minorHAnsi"/>
          <w:color w:val="244061" w:themeColor="accent1" w:themeShade="80"/>
          <w:sz w:val="28"/>
          <w:szCs w:val="28"/>
          <w:u w:val="single"/>
        </w:rPr>
        <w:t>Coming Soon in ICU</w:t>
      </w:r>
    </w:p>
    <w:p w:rsidR="00662108" w:rsidRPr="001A310A" w:rsidRDefault="00662108" w:rsidP="00662108">
      <w:pPr>
        <w:rPr>
          <w:rFonts w:cstheme="minorHAnsi"/>
          <w:b/>
          <w:color w:val="244061" w:themeColor="accent1" w:themeShade="80"/>
          <w:sz w:val="24"/>
          <w:szCs w:val="24"/>
        </w:rPr>
      </w:pPr>
    </w:p>
    <w:p w:rsidR="00662108" w:rsidRPr="001A310A" w:rsidRDefault="00662108" w:rsidP="00662108">
      <w:pPr>
        <w:spacing w:after="120"/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t>PANGEA</w:t>
      </w:r>
    </w:p>
    <w:p w:rsidR="00662108" w:rsidRPr="001A310A" w:rsidRDefault="00662108" w:rsidP="0066210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244061" w:themeColor="accent1" w:themeShade="80"/>
          <w:sz w:val="20"/>
          <w:szCs w:val="20"/>
        </w:rPr>
      </w:pPr>
      <w:proofErr w:type="spellStart"/>
      <w:r w:rsidRPr="001A310A">
        <w:rPr>
          <w:rFonts w:cs="Times New Roman"/>
          <w:bCs/>
          <w:color w:val="244061" w:themeColor="accent1" w:themeShade="80"/>
          <w:sz w:val="20"/>
          <w:szCs w:val="20"/>
        </w:rPr>
        <w:t>PresSura</w:t>
      </w:r>
      <w:proofErr w:type="spellEnd"/>
      <w:r w:rsidRPr="001A310A">
        <w:rPr>
          <w:rFonts w:cs="Times New Roman"/>
          <w:bCs/>
          <w:color w:val="244061" w:themeColor="accent1" w:themeShade="80"/>
          <w:sz w:val="20"/>
          <w:szCs w:val="20"/>
        </w:rPr>
        <w:t xml:space="preserve"> Assessment of NK1 inhibition in</w:t>
      </w:r>
    </w:p>
    <w:p w:rsidR="00662108" w:rsidRPr="001A310A" w:rsidRDefault="00662108" w:rsidP="00662108">
      <w:pPr>
        <w:spacing w:after="120"/>
        <w:jc w:val="center"/>
        <w:rPr>
          <w:rFonts w:cs="Times New Roman"/>
          <w:bCs/>
          <w:color w:val="244061" w:themeColor="accent1" w:themeShade="80"/>
          <w:sz w:val="20"/>
          <w:szCs w:val="20"/>
        </w:rPr>
      </w:pPr>
      <w:proofErr w:type="gramStart"/>
      <w:r w:rsidRPr="001A310A">
        <w:rPr>
          <w:rFonts w:cs="Times New Roman"/>
          <w:bCs/>
          <w:color w:val="244061" w:themeColor="accent1" w:themeShade="80"/>
          <w:sz w:val="20"/>
          <w:szCs w:val="20"/>
        </w:rPr>
        <w:t>traumatic</w:t>
      </w:r>
      <w:proofErr w:type="gramEnd"/>
      <w:r w:rsidRPr="001A310A">
        <w:rPr>
          <w:rFonts w:cs="Times New Roman"/>
          <w:bCs/>
          <w:color w:val="244061" w:themeColor="accent1" w:themeShade="80"/>
          <w:sz w:val="20"/>
          <w:szCs w:val="20"/>
        </w:rPr>
        <w:t xml:space="preserve"> brain injury in a Global Efficacy and Safety trial</w:t>
      </w:r>
    </w:p>
    <w:p w:rsidR="00662108" w:rsidRPr="001A310A" w:rsidRDefault="00662108" w:rsidP="0066210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365F91" w:themeColor="accent1" w:themeShade="BF"/>
          <w:sz w:val="18"/>
          <w:szCs w:val="18"/>
        </w:rPr>
      </w:pPr>
      <w:r w:rsidRPr="001A310A">
        <w:rPr>
          <w:rFonts w:asciiTheme="majorHAnsi" w:hAnsiTheme="majorHAnsi" w:cs="Times New Roman"/>
          <w:color w:val="365F91" w:themeColor="accent1" w:themeShade="BF"/>
          <w:sz w:val="18"/>
          <w:szCs w:val="18"/>
        </w:rPr>
        <w:t>Open-label pilot phase: To assess the safety of EU-C-001</w:t>
      </w:r>
    </w:p>
    <w:p w:rsidR="00662108" w:rsidRDefault="00662108" w:rsidP="00662108">
      <w:pPr>
        <w:autoSpaceDE w:val="0"/>
        <w:autoSpaceDN w:val="0"/>
        <w:adjustRightInd w:val="0"/>
        <w:spacing w:after="120" w:line="240" w:lineRule="auto"/>
        <w:jc w:val="center"/>
        <w:rPr>
          <w:rFonts w:cs="Times New Roman"/>
          <w:color w:val="365F91" w:themeColor="accent1" w:themeShade="BF"/>
          <w:sz w:val="20"/>
          <w:szCs w:val="20"/>
        </w:rPr>
      </w:pPr>
      <w:proofErr w:type="gramStart"/>
      <w:r w:rsidRPr="001A310A">
        <w:rPr>
          <w:rFonts w:asciiTheme="majorHAnsi" w:hAnsiTheme="majorHAnsi" w:cs="Times New Roman"/>
          <w:color w:val="365F91" w:themeColor="accent1" w:themeShade="BF"/>
          <w:sz w:val="18"/>
          <w:szCs w:val="18"/>
        </w:rPr>
        <w:t>in</w:t>
      </w:r>
      <w:proofErr w:type="gramEnd"/>
      <w:r w:rsidRPr="001A310A">
        <w:rPr>
          <w:rFonts w:asciiTheme="majorHAnsi" w:hAnsiTheme="majorHAnsi" w:cs="Times New Roman"/>
          <w:color w:val="365F91" w:themeColor="accent1" w:themeShade="BF"/>
          <w:sz w:val="18"/>
          <w:szCs w:val="18"/>
        </w:rPr>
        <w:t xml:space="preserve"> the target population of the highest dose to be tested in the double-blind phase </w:t>
      </w:r>
      <w:r w:rsidRPr="001A310A">
        <w:rPr>
          <w:rFonts w:cs="Times New Roman"/>
          <w:color w:val="365F91" w:themeColor="accent1" w:themeShade="BF"/>
          <w:sz w:val="20"/>
          <w:szCs w:val="20"/>
        </w:rPr>
        <w:t>Double-blind phase: To assess the effect of EU-C-001 on</w:t>
      </w:r>
      <w:r w:rsidRPr="001A310A">
        <w:rPr>
          <w:rFonts w:asciiTheme="majorHAnsi" w:hAnsiTheme="majorHAnsi" w:cs="Times New Roman"/>
          <w:color w:val="365F91" w:themeColor="accent1" w:themeShade="BF"/>
          <w:sz w:val="18"/>
          <w:szCs w:val="18"/>
        </w:rPr>
        <w:t xml:space="preserve"> </w:t>
      </w:r>
      <w:r w:rsidRPr="001A310A">
        <w:rPr>
          <w:rFonts w:cs="Times New Roman"/>
          <w:color w:val="365F91" w:themeColor="accent1" w:themeShade="BF"/>
          <w:sz w:val="20"/>
          <w:szCs w:val="20"/>
        </w:rPr>
        <w:t>intracranial pressure (ICP) in patients with moderate to severe traumatic brain injury.</w:t>
      </w:r>
    </w:p>
    <w:p w:rsidR="00662108" w:rsidRPr="00526C3C" w:rsidRDefault="00662108" w:rsidP="00662108">
      <w:pPr>
        <w:jc w:val="center"/>
        <w:rPr>
          <w:b/>
          <w:color w:val="002060"/>
        </w:rPr>
      </w:pPr>
      <w:r w:rsidRPr="00526C3C">
        <w:rPr>
          <w:b/>
          <w:color w:val="002060"/>
        </w:rPr>
        <w:t>SIGNET</w:t>
      </w:r>
    </w:p>
    <w:p w:rsidR="00662108" w:rsidRPr="00526C3C" w:rsidRDefault="00662108" w:rsidP="00662108">
      <w:pPr>
        <w:jc w:val="center"/>
        <w:rPr>
          <w:color w:val="002060"/>
          <w:sz w:val="20"/>
          <w:szCs w:val="20"/>
        </w:rPr>
      </w:pPr>
      <w:proofErr w:type="spellStart"/>
      <w:r w:rsidRPr="00526C3C">
        <w:rPr>
          <w:color w:val="002060"/>
          <w:sz w:val="20"/>
          <w:szCs w:val="20"/>
        </w:rPr>
        <w:t>Statins</w:t>
      </w:r>
      <w:proofErr w:type="spellEnd"/>
      <w:r w:rsidRPr="00526C3C">
        <w:rPr>
          <w:color w:val="002060"/>
          <w:sz w:val="20"/>
          <w:szCs w:val="20"/>
        </w:rPr>
        <w:t xml:space="preserve"> for improving Organ Outcome in Transplantation</w:t>
      </w:r>
    </w:p>
    <w:p w:rsidR="00662108" w:rsidRDefault="00662108" w:rsidP="00662108">
      <w:pPr>
        <w:jc w:val="center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 xml:space="preserve">To see if giving donors 80mg of </w:t>
      </w:r>
      <w:proofErr w:type="spellStart"/>
      <w:r>
        <w:rPr>
          <w:color w:val="365F91" w:themeColor="accent1" w:themeShade="BF"/>
          <w:sz w:val="20"/>
          <w:szCs w:val="20"/>
        </w:rPr>
        <w:t>Simvastatin</w:t>
      </w:r>
      <w:proofErr w:type="spellEnd"/>
      <w:r>
        <w:rPr>
          <w:color w:val="365F91" w:themeColor="accent1" w:themeShade="BF"/>
          <w:sz w:val="20"/>
          <w:szCs w:val="20"/>
        </w:rPr>
        <w:t xml:space="preserve"> prior to organ retrieval improves organ function for recipients. </w:t>
      </w:r>
    </w:p>
    <w:p w:rsidR="00662108" w:rsidRPr="00526C3C" w:rsidRDefault="00662108" w:rsidP="00662108">
      <w:pPr>
        <w:autoSpaceDE w:val="0"/>
        <w:autoSpaceDN w:val="0"/>
        <w:adjustRightInd w:val="0"/>
        <w:spacing w:after="120" w:line="240" w:lineRule="auto"/>
        <w:jc w:val="center"/>
        <w:rPr>
          <w:rFonts w:asciiTheme="majorHAnsi" w:hAnsiTheme="majorHAnsi" w:cs="Times New Roman"/>
          <w:color w:val="365F91" w:themeColor="accent1" w:themeShade="BF"/>
          <w:sz w:val="18"/>
          <w:szCs w:val="18"/>
        </w:rPr>
      </w:pPr>
    </w:p>
    <w:p w:rsidR="00662108" w:rsidRPr="00662108" w:rsidRDefault="00662108" w:rsidP="00662108">
      <w:pPr>
        <w:jc w:val="center"/>
        <w:rPr>
          <w:rFonts w:cstheme="minorHAnsi"/>
          <w:b/>
          <w:color w:val="244061" w:themeColor="accent1" w:themeShade="80"/>
          <w:sz w:val="28"/>
          <w:szCs w:val="28"/>
        </w:rPr>
      </w:pPr>
      <w:r w:rsidRPr="00662108">
        <w:rPr>
          <w:rFonts w:cstheme="minorHAnsi"/>
          <w:b/>
          <w:color w:val="244061" w:themeColor="accent1" w:themeShade="80"/>
          <w:sz w:val="28"/>
          <w:szCs w:val="28"/>
        </w:rPr>
        <w:t>Anaesthetic/</w:t>
      </w:r>
      <w:proofErr w:type="spellStart"/>
      <w:r w:rsidRPr="00662108">
        <w:rPr>
          <w:rFonts w:cstheme="minorHAnsi"/>
          <w:b/>
          <w:color w:val="244061" w:themeColor="accent1" w:themeShade="80"/>
          <w:sz w:val="28"/>
          <w:szCs w:val="28"/>
        </w:rPr>
        <w:t>Peri</w:t>
      </w:r>
      <w:proofErr w:type="spellEnd"/>
      <w:r w:rsidRPr="00662108">
        <w:rPr>
          <w:rFonts w:cstheme="minorHAnsi"/>
          <w:b/>
          <w:color w:val="244061" w:themeColor="accent1" w:themeShade="80"/>
          <w:sz w:val="28"/>
          <w:szCs w:val="28"/>
        </w:rPr>
        <w:t>-operative studies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b/>
          <w:color w:val="244061" w:themeColor="accent1" w:themeShade="80"/>
          <w:sz w:val="24"/>
          <w:szCs w:val="24"/>
        </w:rPr>
      </w:pPr>
      <w:r w:rsidRPr="001A310A">
        <w:rPr>
          <w:rFonts w:cstheme="minorHAnsi"/>
          <w:b/>
          <w:color w:val="244061" w:themeColor="accent1" w:themeShade="80"/>
          <w:sz w:val="24"/>
          <w:szCs w:val="24"/>
        </w:rPr>
        <w:t>Optimise II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color w:val="244061" w:themeColor="accent1" w:themeShade="80"/>
          <w:sz w:val="20"/>
          <w:szCs w:val="20"/>
        </w:rPr>
      </w:pPr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Optimisation of </w:t>
      </w:r>
      <w:proofErr w:type="spellStart"/>
      <w:r w:rsidRPr="001A310A">
        <w:rPr>
          <w:rFonts w:cstheme="minorHAnsi"/>
          <w:color w:val="244061" w:themeColor="accent1" w:themeShade="80"/>
          <w:sz w:val="20"/>
          <w:szCs w:val="20"/>
        </w:rPr>
        <w:t>Perioperative</w:t>
      </w:r>
      <w:proofErr w:type="spellEnd"/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 Cardiovascular Management to Improve Surgical Outcome II Trial</w:t>
      </w:r>
    </w:p>
    <w:p w:rsidR="00662108" w:rsidRPr="001A310A" w:rsidRDefault="00662108" w:rsidP="00662108">
      <w:pPr>
        <w:jc w:val="center"/>
        <w:rPr>
          <w:rFonts w:cstheme="minorHAnsi"/>
          <w:color w:val="365F91" w:themeColor="accent1" w:themeShade="BF"/>
          <w:sz w:val="20"/>
          <w:szCs w:val="20"/>
        </w:rPr>
      </w:pPr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Open, multi-centre, randomised controlled trial of cardiac output-guided fluid therapy with low dose </w:t>
      </w:r>
      <w:proofErr w:type="spellStart"/>
      <w:r w:rsidRPr="001A310A">
        <w:rPr>
          <w:rFonts w:cstheme="minorHAnsi"/>
          <w:color w:val="365F91" w:themeColor="accent1" w:themeShade="BF"/>
          <w:sz w:val="20"/>
          <w:szCs w:val="20"/>
        </w:rPr>
        <w:t>inotrope</w:t>
      </w:r>
      <w:proofErr w:type="spellEnd"/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 infusion compared to usual care in patients undergoing major elective gastrointestinal surgery</w:t>
      </w:r>
    </w:p>
    <w:p w:rsidR="00662108" w:rsidRPr="001A310A" w:rsidRDefault="00662108" w:rsidP="00662108">
      <w:pPr>
        <w:jc w:val="center"/>
        <w:rPr>
          <w:rFonts w:cstheme="minorHAnsi"/>
          <w:b/>
          <w:color w:val="244061" w:themeColor="accent1" w:themeShade="80"/>
          <w:sz w:val="24"/>
          <w:szCs w:val="24"/>
        </w:rPr>
      </w:pPr>
      <w:r w:rsidRPr="001A310A">
        <w:rPr>
          <w:rFonts w:cstheme="minorHAnsi"/>
          <w:b/>
          <w:color w:val="244061" w:themeColor="accent1" w:themeShade="80"/>
          <w:sz w:val="24"/>
          <w:szCs w:val="24"/>
        </w:rPr>
        <w:t>FLOYD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color w:val="244061" w:themeColor="accent1" w:themeShade="80"/>
          <w:sz w:val="20"/>
          <w:szCs w:val="20"/>
        </w:rPr>
      </w:pPr>
      <w:r w:rsidRPr="001A310A">
        <w:rPr>
          <w:rFonts w:cstheme="minorHAnsi"/>
          <w:color w:val="244061" w:themeColor="accent1" w:themeShade="80"/>
          <w:sz w:val="20"/>
          <w:szCs w:val="20"/>
        </w:rPr>
        <w:t>A Prospective, Single-Arm Multi-Centre Study of the ENSEAL® X1 Curved Jaw Tissue Sealer and Generator G11 in Upper GI, Lower GI, and Gynaecological Procedures</w:t>
      </w:r>
    </w:p>
    <w:p w:rsidR="00662108" w:rsidRPr="001A310A" w:rsidRDefault="00662108" w:rsidP="00662108">
      <w:pPr>
        <w:jc w:val="center"/>
        <w:rPr>
          <w:rFonts w:cstheme="minorHAnsi"/>
          <w:color w:val="365F91" w:themeColor="accent1" w:themeShade="BF"/>
          <w:sz w:val="20"/>
          <w:szCs w:val="20"/>
        </w:rPr>
      </w:pPr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The device will be used for a vessel </w:t>
      </w:r>
      <w:proofErr w:type="spellStart"/>
      <w:r w:rsidRPr="001A310A">
        <w:rPr>
          <w:rFonts w:cstheme="minorHAnsi"/>
          <w:color w:val="365F91" w:themeColor="accent1" w:themeShade="BF"/>
          <w:sz w:val="20"/>
          <w:szCs w:val="20"/>
        </w:rPr>
        <w:t>transection</w:t>
      </w:r>
      <w:proofErr w:type="spellEnd"/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 during upper GI, lower GI, or gynaecological procedures. Subjects will be followed post-op for approx. 6 weeks.</w:t>
      </w:r>
    </w:p>
    <w:p w:rsidR="00662108" w:rsidRPr="001A310A" w:rsidRDefault="00662108" w:rsidP="00662108">
      <w:pPr>
        <w:spacing w:after="120"/>
        <w:rPr>
          <w:rFonts w:cstheme="minorHAnsi"/>
          <w:color w:val="244061" w:themeColor="accent1" w:themeShade="80"/>
          <w:sz w:val="28"/>
          <w:szCs w:val="28"/>
          <w:u w:val="single"/>
        </w:rPr>
      </w:pPr>
    </w:p>
    <w:p w:rsidR="00662108" w:rsidRPr="001A310A" w:rsidRDefault="00662108" w:rsidP="00662108">
      <w:pPr>
        <w:spacing w:after="120"/>
        <w:jc w:val="center"/>
        <w:rPr>
          <w:rFonts w:cstheme="minorHAnsi"/>
          <w:color w:val="244061" w:themeColor="accent1" w:themeShade="80"/>
          <w:sz w:val="28"/>
          <w:szCs w:val="28"/>
          <w:u w:val="single"/>
        </w:rPr>
      </w:pPr>
      <w:r w:rsidRPr="001A310A">
        <w:rPr>
          <w:rFonts w:cstheme="minorHAnsi"/>
          <w:color w:val="244061" w:themeColor="accent1" w:themeShade="80"/>
          <w:sz w:val="28"/>
          <w:szCs w:val="28"/>
          <w:u w:val="single"/>
        </w:rPr>
        <w:t>Coming Soon in theatres</w:t>
      </w:r>
    </w:p>
    <w:p w:rsidR="00662108" w:rsidRPr="001A310A" w:rsidRDefault="00662108" w:rsidP="00662108">
      <w:pPr>
        <w:jc w:val="center"/>
        <w:rPr>
          <w:rFonts w:cstheme="minorHAnsi"/>
          <w:b/>
          <w:color w:val="244061" w:themeColor="accent1" w:themeShade="80"/>
        </w:rPr>
      </w:pPr>
      <w:r w:rsidRPr="001A310A">
        <w:rPr>
          <w:rFonts w:cstheme="minorHAnsi"/>
          <w:b/>
          <w:color w:val="244061" w:themeColor="accent1" w:themeShade="80"/>
        </w:rPr>
        <w:t>RESULT-HIP</w:t>
      </w:r>
    </w:p>
    <w:p w:rsidR="00662108" w:rsidRPr="001A310A" w:rsidRDefault="00662108" w:rsidP="00662108">
      <w:pPr>
        <w:spacing w:after="120"/>
        <w:jc w:val="center"/>
        <w:rPr>
          <w:rFonts w:cstheme="minorHAnsi"/>
          <w:color w:val="244061" w:themeColor="accent1" w:themeShade="80"/>
          <w:sz w:val="20"/>
          <w:szCs w:val="20"/>
        </w:rPr>
      </w:pPr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The impact of </w:t>
      </w:r>
      <w:proofErr w:type="spellStart"/>
      <w:r w:rsidRPr="001A310A">
        <w:rPr>
          <w:rFonts w:cstheme="minorHAnsi"/>
          <w:color w:val="244061" w:themeColor="accent1" w:themeShade="80"/>
          <w:sz w:val="20"/>
          <w:szCs w:val="20"/>
        </w:rPr>
        <w:t>REstrictive</w:t>
      </w:r>
      <w:proofErr w:type="spellEnd"/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 versus </w:t>
      </w:r>
      <w:proofErr w:type="spellStart"/>
      <w:r w:rsidRPr="001A310A">
        <w:rPr>
          <w:rFonts w:cstheme="minorHAnsi"/>
          <w:color w:val="244061" w:themeColor="accent1" w:themeShade="80"/>
          <w:sz w:val="20"/>
          <w:szCs w:val="20"/>
        </w:rPr>
        <w:t>LIberAl</w:t>
      </w:r>
      <w:proofErr w:type="spellEnd"/>
      <w:r w:rsidRPr="001A310A">
        <w:rPr>
          <w:rFonts w:cstheme="minorHAnsi"/>
          <w:color w:val="244061" w:themeColor="accent1" w:themeShade="80"/>
          <w:sz w:val="20"/>
          <w:szCs w:val="20"/>
        </w:rPr>
        <w:t xml:space="preserve"> Transfusion strategy on cardiac injury and death in patients undergoing surgery for Hip Fracture (RESULT-Hip)</w:t>
      </w:r>
    </w:p>
    <w:p w:rsidR="005615E6" w:rsidRDefault="00662108" w:rsidP="00662108">
      <w:r w:rsidRPr="001A310A">
        <w:rPr>
          <w:rFonts w:cstheme="minorHAnsi"/>
          <w:color w:val="365F91" w:themeColor="accent1" w:themeShade="BF"/>
          <w:sz w:val="20"/>
          <w:szCs w:val="20"/>
        </w:rPr>
        <w:t>Anaemic patients (</w:t>
      </w:r>
      <w:proofErr w:type="spellStart"/>
      <w:r w:rsidRPr="001A310A">
        <w:rPr>
          <w:rFonts w:cstheme="minorHAnsi"/>
          <w:color w:val="365F91" w:themeColor="accent1" w:themeShade="BF"/>
          <w:sz w:val="20"/>
          <w:szCs w:val="20"/>
        </w:rPr>
        <w:t>Hb</w:t>
      </w:r>
      <w:proofErr w:type="spellEnd"/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 ≤90 g.L-1 from enrolment until 7 days post-op will be randomised to either restrictive (triggered at </w:t>
      </w:r>
      <w:proofErr w:type="spellStart"/>
      <w:r w:rsidRPr="001A310A">
        <w:rPr>
          <w:rFonts w:cstheme="minorHAnsi"/>
          <w:color w:val="365F91" w:themeColor="accent1" w:themeShade="BF"/>
          <w:sz w:val="20"/>
          <w:szCs w:val="20"/>
        </w:rPr>
        <w:t>Hb</w:t>
      </w:r>
      <w:proofErr w:type="spellEnd"/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 ≤75 g.L-1) or liberal (triggered at ≤</w:t>
      </w:r>
      <w:proofErr w:type="spellStart"/>
      <w:r w:rsidRPr="001A310A">
        <w:rPr>
          <w:rFonts w:cstheme="minorHAnsi"/>
          <w:color w:val="365F91" w:themeColor="accent1" w:themeShade="BF"/>
          <w:sz w:val="20"/>
          <w:szCs w:val="20"/>
        </w:rPr>
        <w:t>Hb</w:t>
      </w:r>
      <w:proofErr w:type="spellEnd"/>
      <w:r w:rsidRPr="001A310A">
        <w:rPr>
          <w:rFonts w:cstheme="minorHAnsi"/>
          <w:color w:val="365F91" w:themeColor="accent1" w:themeShade="BF"/>
          <w:sz w:val="20"/>
          <w:szCs w:val="20"/>
        </w:rPr>
        <w:t xml:space="preserve"> 90 g.L-1) transfusion strategy. After randomisation they will remain in this transfusion group for the duration of hospital stay (or 30 days whichever is less)</w:t>
      </w:r>
    </w:p>
    <w:sectPr w:rsidR="005615E6" w:rsidSect="0056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62108"/>
    <w:rsid w:val="00157E8C"/>
    <w:rsid w:val="005615E6"/>
    <w:rsid w:val="00662108"/>
    <w:rsid w:val="00D3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10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21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1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criticalcare@nhslothian.scot.nhs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987</Words>
  <Characters>5629</Characters>
  <Application>Microsoft Office Word</Application>
  <DocSecurity>0</DocSecurity>
  <Lines>46</Lines>
  <Paragraphs>13</Paragraphs>
  <ScaleCrop>false</ScaleCrop>
  <Company>NHS Lothian</Company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Birch</dc:creator>
  <cp:lastModifiedBy>Sophie Birch</cp:lastModifiedBy>
  <cp:revision>1</cp:revision>
  <dcterms:created xsi:type="dcterms:W3CDTF">2021-09-08T13:15:00Z</dcterms:created>
  <dcterms:modified xsi:type="dcterms:W3CDTF">2021-09-08T13:21:00Z</dcterms:modified>
</cp:coreProperties>
</file>