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18" w:rsidRDefault="005D616E">
      <w:pPr>
        <w:pStyle w:val="Heading4"/>
        <w:ind w:left="0" w:firstLine="0"/>
        <w:rPr>
          <w:rFonts w:ascii="Arial" w:hAnsi="Arial"/>
          <w:u w:val="none"/>
        </w:rPr>
      </w:pPr>
      <w:r>
        <w:rPr>
          <w:rFonts w:ascii="Arial" w:hAnsi="Arial"/>
          <w:bCs w:val="0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8915400</wp:posOffset>
            </wp:positionH>
            <wp:positionV relativeFrom="paragraph">
              <wp:posOffset>-554990</wp:posOffset>
            </wp:positionV>
            <wp:extent cx="880110" cy="831850"/>
            <wp:effectExtent l="19050" t="0" r="0" b="0"/>
            <wp:wrapTight wrapText="bothSides">
              <wp:wrapPolygon edited="0">
                <wp:start x="-468" y="0"/>
                <wp:lineTo x="-468" y="21270"/>
                <wp:lineTo x="21506" y="21270"/>
                <wp:lineTo x="21506" y="0"/>
                <wp:lineTo x="-468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5290">
        <w:rPr>
          <w:rFonts w:ascii="Arial" w:hAnsi="Arial"/>
          <w:u w:val="none"/>
        </w:rPr>
        <w:t>Critical Care VTE prophylaxis p</w:t>
      </w:r>
      <w:r w:rsidR="00876018" w:rsidRPr="00FD48C0">
        <w:rPr>
          <w:rFonts w:ascii="Arial" w:hAnsi="Arial"/>
          <w:u w:val="none"/>
        </w:rPr>
        <w:t xml:space="preserve">rotocol </w:t>
      </w:r>
    </w:p>
    <w:p w:rsidR="009C4C9F" w:rsidRPr="009C4C9F" w:rsidRDefault="009C4C9F" w:rsidP="009C4C9F"/>
    <w:p w:rsidR="00D038BC" w:rsidRDefault="00876018" w:rsidP="00D608AA">
      <w:pPr>
        <w:pStyle w:val="Heading7"/>
        <w:rPr>
          <w:rFonts w:ascii="Arial" w:hAnsi="Arial"/>
          <w:color w:val="auto"/>
          <w:sz w:val="24"/>
        </w:rPr>
      </w:pPr>
      <w:r w:rsidRPr="004F7FF8">
        <w:rPr>
          <w:rFonts w:ascii="Arial" w:hAnsi="Arial"/>
          <w:sz w:val="24"/>
        </w:rPr>
        <w:t xml:space="preserve">Indications: All patients on the </w:t>
      </w:r>
      <w:r w:rsidR="000632D7" w:rsidRPr="004F7FF8">
        <w:rPr>
          <w:rFonts w:ascii="Arial" w:hAnsi="Arial"/>
          <w:sz w:val="24"/>
        </w:rPr>
        <w:t>unit</w:t>
      </w:r>
      <w:r w:rsidR="000632D7" w:rsidRPr="004F7FF8">
        <w:rPr>
          <w:rFonts w:ascii="Arial" w:hAnsi="Arial"/>
          <w:b w:val="0"/>
          <w:bCs w:val="0"/>
          <w:sz w:val="24"/>
        </w:rPr>
        <w:t xml:space="preserve"> </w:t>
      </w:r>
      <w:r w:rsidR="000632D7" w:rsidRPr="000632D7">
        <w:rPr>
          <w:rFonts w:ascii="Arial" w:hAnsi="Arial"/>
          <w:bCs w:val="0"/>
          <w:color w:val="auto"/>
          <w:sz w:val="24"/>
        </w:rPr>
        <w:t>EXCEPT</w:t>
      </w:r>
      <w:r w:rsidR="0070171D" w:rsidRPr="0070171D">
        <w:rPr>
          <w:rFonts w:ascii="Arial" w:hAnsi="Arial"/>
          <w:color w:val="auto"/>
          <w:sz w:val="24"/>
        </w:rPr>
        <w:t xml:space="preserve"> </w:t>
      </w:r>
      <w:r w:rsidRPr="0070171D">
        <w:rPr>
          <w:rFonts w:ascii="Arial" w:hAnsi="Arial"/>
          <w:color w:val="auto"/>
          <w:sz w:val="24"/>
        </w:rPr>
        <w:t>NEURO PATIENTS-</w:t>
      </w:r>
      <w:r w:rsidR="0070171D" w:rsidRPr="0070171D">
        <w:rPr>
          <w:rFonts w:ascii="Arial" w:hAnsi="Arial"/>
          <w:color w:val="auto"/>
          <w:sz w:val="24"/>
        </w:rPr>
        <w:t xml:space="preserve"> SEE</w:t>
      </w:r>
      <w:r w:rsidRPr="0070171D">
        <w:rPr>
          <w:rFonts w:ascii="Arial" w:hAnsi="Arial"/>
          <w:color w:val="auto"/>
          <w:sz w:val="24"/>
        </w:rPr>
        <w:t xml:space="preserve"> BOX BELOW</w:t>
      </w:r>
    </w:p>
    <w:p w:rsidR="00017558" w:rsidRPr="00017558" w:rsidRDefault="00017558" w:rsidP="00017558"/>
    <w:p w:rsidR="00876018" w:rsidRPr="003B29A4" w:rsidRDefault="00ED7FBD" w:rsidP="00017558">
      <w:pPr>
        <w:pStyle w:val="BodyText2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B29A4">
        <w:rPr>
          <w:rFonts w:ascii="Arial" w:hAnsi="Arial" w:cs="Arial"/>
          <w:bCs/>
          <w:sz w:val="24"/>
          <w:szCs w:val="24"/>
        </w:rPr>
        <w:t xml:space="preserve">In critical care </w:t>
      </w:r>
      <w:r w:rsidR="00876018" w:rsidRPr="003B29A4">
        <w:rPr>
          <w:rFonts w:ascii="Arial" w:hAnsi="Arial" w:cs="Arial"/>
          <w:bCs/>
          <w:sz w:val="24"/>
          <w:szCs w:val="24"/>
        </w:rPr>
        <w:t>use</w:t>
      </w:r>
      <w:r w:rsidR="00F82351" w:rsidRPr="003B29A4">
        <w:rPr>
          <w:rFonts w:ascii="Arial" w:hAnsi="Arial" w:cs="Arial"/>
          <w:bCs/>
          <w:sz w:val="24"/>
          <w:szCs w:val="24"/>
        </w:rPr>
        <w:t xml:space="preserve"> subcu</w:t>
      </w:r>
      <w:r w:rsidR="0067170E" w:rsidRPr="003B29A4">
        <w:rPr>
          <w:rFonts w:ascii="Arial" w:hAnsi="Arial" w:cs="Arial"/>
          <w:bCs/>
          <w:sz w:val="24"/>
          <w:szCs w:val="24"/>
        </w:rPr>
        <w:t>taneous</w:t>
      </w:r>
      <w:r w:rsidR="00876018" w:rsidRPr="003B29A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C19AA" w:rsidRPr="003B29A4">
        <w:rPr>
          <w:rFonts w:ascii="Arial" w:hAnsi="Arial" w:cs="Arial"/>
          <w:bCs/>
          <w:sz w:val="24"/>
          <w:szCs w:val="24"/>
        </w:rPr>
        <w:t>dalteparin</w:t>
      </w:r>
      <w:proofErr w:type="spellEnd"/>
      <w:r w:rsidR="00EE5290" w:rsidRPr="003B29A4">
        <w:rPr>
          <w:rFonts w:ascii="Arial" w:hAnsi="Arial" w:cs="Arial"/>
          <w:bCs/>
          <w:sz w:val="24"/>
          <w:szCs w:val="24"/>
        </w:rPr>
        <w:t xml:space="preserve"> for VTE prophylaxis</w:t>
      </w:r>
      <w:r w:rsidR="000A4123" w:rsidRPr="003B29A4">
        <w:rPr>
          <w:rFonts w:ascii="Arial" w:hAnsi="Arial" w:cs="Arial"/>
          <w:bCs/>
          <w:sz w:val="24"/>
          <w:szCs w:val="24"/>
        </w:rPr>
        <w:t xml:space="preserve"> at doses below.</w:t>
      </w:r>
    </w:p>
    <w:p w:rsidR="00241F21" w:rsidRPr="003B29A4" w:rsidRDefault="006632AB" w:rsidP="00017558">
      <w:pPr>
        <w:pStyle w:val="BodyText2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B29A4">
        <w:rPr>
          <w:rFonts w:ascii="Arial" w:hAnsi="Arial" w:cs="Arial"/>
          <w:bCs/>
          <w:sz w:val="24"/>
          <w:szCs w:val="24"/>
        </w:rPr>
        <w:t xml:space="preserve">All patients should have a </w:t>
      </w:r>
      <w:r w:rsidR="005B5D40" w:rsidRPr="003B29A4">
        <w:rPr>
          <w:rFonts w:ascii="Arial" w:hAnsi="Arial" w:cs="Arial"/>
          <w:bCs/>
          <w:sz w:val="24"/>
          <w:szCs w:val="24"/>
        </w:rPr>
        <w:t>LMW (low molecular weight) Heparin level measured</w:t>
      </w:r>
      <w:r w:rsidR="00CB4784" w:rsidRPr="003B29A4">
        <w:rPr>
          <w:rFonts w:ascii="Arial" w:hAnsi="Arial" w:cs="Arial"/>
          <w:bCs/>
          <w:sz w:val="24"/>
          <w:szCs w:val="24"/>
        </w:rPr>
        <w:t xml:space="preserve"> after</w:t>
      </w:r>
      <w:r w:rsidR="00D608AA" w:rsidRPr="003B29A4">
        <w:rPr>
          <w:rFonts w:ascii="Arial" w:hAnsi="Arial" w:cs="Arial"/>
          <w:bCs/>
          <w:sz w:val="24"/>
          <w:szCs w:val="24"/>
        </w:rPr>
        <w:t xml:space="preserve"> </w:t>
      </w:r>
      <w:r w:rsidR="00437B8F" w:rsidRPr="003B29A4">
        <w:rPr>
          <w:rFonts w:ascii="Arial" w:hAnsi="Arial" w:cs="Arial"/>
          <w:bCs/>
          <w:sz w:val="24"/>
          <w:szCs w:val="24"/>
        </w:rPr>
        <w:t>7</w:t>
      </w:r>
      <w:r w:rsidR="00241F21" w:rsidRPr="003B29A4">
        <w:rPr>
          <w:rFonts w:ascii="Arial" w:hAnsi="Arial" w:cs="Arial"/>
          <w:bCs/>
          <w:sz w:val="24"/>
          <w:szCs w:val="24"/>
        </w:rPr>
        <w:t xml:space="preserve"> </w:t>
      </w:r>
      <w:r w:rsidRPr="003B29A4">
        <w:rPr>
          <w:rFonts w:ascii="Arial" w:hAnsi="Arial" w:cs="Arial"/>
          <w:bCs/>
          <w:sz w:val="24"/>
          <w:szCs w:val="24"/>
        </w:rPr>
        <w:t xml:space="preserve">days if </w:t>
      </w:r>
      <w:proofErr w:type="spellStart"/>
      <w:r w:rsidR="00997FDB" w:rsidRPr="003B29A4">
        <w:rPr>
          <w:rFonts w:ascii="Arial" w:hAnsi="Arial" w:cs="Arial"/>
          <w:bCs/>
          <w:sz w:val="24"/>
          <w:szCs w:val="24"/>
        </w:rPr>
        <w:t>CrCl</w:t>
      </w:r>
      <w:proofErr w:type="spellEnd"/>
      <w:r w:rsidR="00997FDB" w:rsidRPr="003B29A4">
        <w:rPr>
          <w:rFonts w:ascii="Arial" w:hAnsi="Arial" w:cs="Arial"/>
          <w:bCs/>
          <w:sz w:val="24"/>
          <w:szCs w:val="24"/>
        </w:rPr>
        <w:t xml:space="preserve"> </w:t>
      </w:r>
      <w:r w:rsidR="009C4C9F" w:rsidRPr="003B29A4">
        <w:rPr>
          <w:rFonts w:ascii="Arial" w:hAnsi="Arial" w:cs="Arial"/>
          <w:bCs/>
          <w:sz w:val="24"/>
          <w:szCs w:val="24"/>
        </w:rPr>
        <w:t>&lt;</w:t>
      </w:r>
      <w:r w:rsidRPr="003B29A4">
        <w:rPr>
          <w:rFonts w:ascii="Arial" w:hAnsi="Arial" w:cs="Arial"/>
          <w:bCs/>
          <w:sz w:val="24"/>
          <w:szCs w:val="24"/>
        </w:rPr>
        <w:t>30mls/min</w:t>
      </w:r>
      <w:r w:rsidR="00DF4BC3" w:rsidRPr="003B29A4">
        <w:rPr>
          <w:rFonts w:ascii="Arial" w:hAnsi="Arial" w:cs="Arial"/>
          <w:bCs/>
          <w:sz w:val="24"/>
          <w:szCs w:val="24"/>
        </w:rPr>
        <w:t>.</w:t>
      </w:r>
      <w:r w:rsidR="00FB336D" w:rsidRPr="003B29A4">
        <w:rPr>
          <w:rFonts w:ascii="Arial" w:hAnsi="Arial" w:cs="Arial"/>
          <w:bCs/>
          <w:sz w:val="24"/>
          <w:szCs w:val="24"/>
        </w:rPr>
        <w:t xml:space="preserve"> </w:t>
      </w:r>
    </w:p>
    <w:p w:rsidR="005B5D40" w:rsidRPr="003B29A4" w:rsidRDefault="00241F21" w:rsidP="00017558">
      <w:pPr>
        <w:pStyle w:val="BodyText2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B29A4">
        <w:rPr>
          <w:rFonts w:ascii="Arial" w:hAnsi="Arial" w:cs="Arial"/>
          <w:bCs/>
          <w:sz w:val="24"/>
          <w:szCs w:val="24"/>
        </w:rPr>
        <w:t xml:space="preserve">All patients should have a LMW Heparin level after 3 days if </w:t>
      </w:r>
      <w:r w:rsidR="00474E5B" w:rsidRPr="003B29A4">
        <w:rPr>
          <w:rFonts w:ascii="Arial" w:hAnsi="Arial" w:cs="Arial"/>
          <w:bCs/>
          <w:sz w:val="24"/>
          <w:szCs w:val="24"/>
        </w:rPr>
        <w:t xml:space="preserve">they are in both </w:t>
      </w:r>
      <w:r w:rsidRPr="003B29A4">
        <w:rPr>
          <w:rFonts w:ascii="Arial" w:hAnsi="Arial" w:cs="Arial"/>
          <w:bCs/>
          <w:sz w:val="24"/>
          <w:szCs w:val="24"/>
        </w:rPr>
        <w:t xml:space="preserve">extreme range of weight and </w:t>
      </w:r>
      <w:r w:rsidR="00DF4BC3" w:rsidRPr="003B29A4">
        <w:rPr>
          <w:rFonts w:ascii="Arial" w:hAnsi="Arial" w:cs="Arial"/>
          <w:bCs/>
          <w:sz w:val="24"/>
          <w:szCs w:val="24"/>
        </w:rPr>
        <w:t xml:space="preserve">have </w:t>
      </w:r>
      <w:r w:rsidRPr="003B29A4">
        <w:rPr>
          <w:rFonts w:ascii="Arial" w:hAnsi="Arial" w:cs="Arial"/>
          <w:bCs/>
          <w:sz w:val="24"/>
          <w:szCs w:val="24"/>
        </w:rPr>
        <w:t>renal impairment (</w:t>
      </w:r>
      <w:proofErr w:type="spellStart"/>
      <w:r w:rsidRPr="003B29A4">
        <w:rPr>
          <w:rFonts w:ascii="Arial" w:hAnsi="Arial" w:cs="Arial"/>
          <w:bCs/>
          <w:sz w:val="24"/>
          <w:szCs w:val="24"/>
        </w:rPr>
        <w:t>CrCl</w:t>
      </w:r>
      <w:proofErr w:type="spellEnd"/>
      <w:r w:rsidR="00DF4BC3" w:rsidRPr="003B29A4">
        <w:rPr>
          <w:rFonts w:ascii="Arial" w:hAnsi="Arial" w:cs="Arial"/>
          <w:bCs/>
          <w:sz w:val="24"/>
          <w:szCs w:val="24"/>
        </w:rPr>
        <w:t>&lt;10</w:t>
      </w:r>
      <w:r w:rsidR="004B0948">
        <w:rPr>
          <w:rFonts w:ascii="Arial" w:hAnsi="Arial" w:cs="Arial"/>
          <w:bCs/>
          <w:sz w:val="24"/>
          <w:szCs w:val="24"/>
        </w:rPr>
        <w:t>ml/min</w:t>
      </w:r>
      <w:r w:rsidR="00DF4BC3" w:rsidRPr="003B29A4">
        <w:rPr>
          <w:rFonts w:ascii="Arial" w:hAnsi="Arial" w:cs="Arial"/>
          <w:bCs/>
          <w:sz w:val="24"/>
          <w:szCs w:val="24"/>
        </w:rPr>
        <w:t xml:space="preserve"> or</w:t>
      </w:r>
      <w:r w:rsidR="0056486B" w:rsidRPr="003B29A4">
        <w:rPr>
          <w:rFonts w:ascii="Arial" w:hAnsi="Arial" w:cs="Arial"/>
          <w:bCs/>
          <w:sz w:val="24"/>
          <w:szCs w:val="24"/>
        </w:rPr>
        <w:t xml:space="preserve"> requiring </w:t>
      </w:r>
      <w:r w:rsidR="00DF4BC3" w:rsidRPr="003B29A4">
        <w:rPr>
          <w:rFonts w:ascii="Arial" w:hAnsi="Arial" w:cs="Arial"/>
          <w:bCs/>
          <w:sz w:val="24"/>
          <w:szCs w:val="24"/>
        </w:rPr>
        <w:t xml:space="preserve"> CVVHD</w:t>
      </w:r>
      <w:r w:rsidR="0056486B" w:rsidRPr="003B29A4">
        <w:rPr>
          <w:rFonts w:ascii="Arial" w:hAnsi="Arial" w:cs="Arial"/>
          <w:bCs/>
          <w:sz w:val="24"/>
          <w:szCs w:val="24"/>
        </w:rPr>
        <w:t xml:space="preserve"> renal replacement therapy</w:t>
      </w:r>
      <w:r w:rsidR="00DF4BC3" w:rsidRPr="003B29A4">
        <w:rPr>
          <w:rFonts w:ascii="Arial" w:hAnsi="Arial" w:cs="Arial"/>
          <w:bCs/>
          <w:sz w:val="24"/>
          <w:szCs w:val="24"/>
        </w:rPr>
        <w:t>). S</w:t>
      </w:r>
      <w:r w:rsidR="00474E5B" w:rsidRPr="003B29A4">
        <w:rPr>
          <w:rFonts w:ascii="Arial" w:hAnsi="Arial" w:cs="Arial"/>
          <w:bCs/>
          <w:sz w:val="24"/>
          <w:szCs w:val="24"/>
        </w:rPr>
        <w:t>ee tabl</w:t>
      </w:r>
      <w:r w:rsidR="00DF4BC3" w:rsidRPr="003B29A4">
        <w:rPr>
          <w:rFonts w:ascii="Arial" w:hAnsi="Arial" w:cs="Arial"/>
          <w:bCs/>
          <w:sz w:val="24"/>
          <w:szCs w:val="24"/>
        </w:rPr>
        <w:t>e and groups highlighted in red.</w:t>
      </w:r>
    </w:p>
    <w:p w:rsidR="00474E5B" w:rsidRPr="003B29A4" w:rsidRDefault="004B0948" w:rsidP="00017558">
      <w:pPr>
        <w:pStyle w:val="BodyText2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All patients with </w:t>
      </w:r>
      <w:proofErr w:type="spellStart"/>
      <w:r>
        <w:rPr>
          <w:rFonts w:ascii="Arial" w:hAnsi="Arial" w:cs="Arial"/>
          <w:bCs/>
          <w:sz w:val="24"/>
          <w:szCs w:val="24"/>
        </w:rPr>
        <w:t>CrCl</w:t>
      </w:r>
      <w:proofErr w:type="spellEnd"/>
      <w:r>
        <w:rPr>
          <w:rFonts w:ascii="Arial" w:hAnsi="Arial" w:cs="Arial"/>
          <w:bCs/>
          <w:sz w:val="24"/>
          <w:szCs w:val="24"/>
        </w:rPr>
        <w:t>&lt;30ml</w:t>
      </w:r>
      <w:r w:rsidR="00DF4BC3" w:rsidRPr="003B29A4">
        <w:rPr>
          <w:rFonts w:ascii="Arial" w:hAnsi="Arial" w:cs="Arial"/>
          <w:bCs/>
          <w:sz w:val="24"/>
          <w:szCs w:val="24"/>
        </w:rPr>
        <w:t>/min</w:t>
      </w:r>
      <w:r w:rsidR="00474E5B" w:rsidRPr="003B29A4">
        <w:rPr>
          <w:rFonts w:ascii="Arial" w:hAnsi="Arial" w:cs="Arial"/>
          <w:bCs/>
          <w:sz w:val="24"/>
          <w:szCs w:val="24"/>
        </w:rPr>
        <w:t xml:space="preserve"> requiring an invasive procedure/intervention e.g. biopsy/surgery: withhold s/c </w:t>
      </w:r>
      <w:proofErr w:type="spellStart"/>
      <w:r w:rsidR="00474E5B" w:rsidRPr="003B29A4">
        <w:rPr>
          <w:rFonts w:ascii="Arial" w:hAnsi="Arial" w:cs="Arial"/>
          <w:bCs/>
          <w:sz w:val="24"/>
          <w:szCs w:val="24"/>
        </w:rPr>
        <w:t>dalteparin</w:t>
      </w:r>
      <w:proofErr w:type="spellEnd"/>
      <w:r w:rsidR="00474E5B" w:rsidRPr="003B29A4">
        <w:rPr>
          <w:rFonts w:ascii="Arial" w:hAnsi="Arial" w:cs="Arial"/>
          <w:bCs/>
          <w:sz w:val="24"/>
          <w:szCs w:val="24"/>
        </w:rPr>
        <w:t xml:space="preserve"> the evening before the procedure, and take  a “trough” LMW Heparin level to ensure there is no accumulation (level should be less than 0.1 anti</w:t>
      </w:r>
      <w:r>
        <w:rPr>
          <w:rFonts w:ascii="Arial" w:hAnsi="Arial" w:cs="Arial"/>
          <w:bCs/>
          <w:sz w:val="24"/>
          <w:szCs w:val="24"/>
        </w:rPr>
        <w:t>-</w:t>
      </w:r>
      <w:proofErr w:type="spellStart"/>
      <w:r w:rsidR="00474E5B" w:rsidRPr="003B29A4">
        <w:rPr>
          <w:rFonts w:ascii="Arial" w:hAnsi="Arial" w:cs="Arial"/>
          <w:bCs/>
          <w:sz w:val="24"/>
          <w:szCs w:val="24"/>
        </w:rPr>
        <w:t>Xa</w:t>
      </w:r>
      <w:proofErr w:type="spellEnd"/>
      <w:r w:rsidR="00474E5B" w:rsidRPr="003B29A4">
        <w:rPr>
          <w:rFonts w:ascii="Arial" w:hAnsi="Arial" w:cs="Arial"/>
          <w:bCs/>
          <w:sz w:val="24"/>
          <w:szCs w:val="24"/>
        </w:rPr>
        <w:t xml:space="preserve"> units/ml).</w:t>
      </w:r>
    </w:p>
    <w:p w:rsidR="006632AB" w:rsidRPr="003B29A4" w:rsidRDefault="003D6206" w:rsidP="00017558">
      <w:pPr>
        <w:pStyle w:val="BodyText2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B29A4">
        <w:rPr>
          <w:rFonts w:ascii="Arial" w:hAnsi="Arial"/>
          <w:sz w:val="24"/>
          <w:szCs w:val="24"/>
        </w:rPr>
        <w:t xml:space="preserve">To check </w:t>
      </w:r>
      <w:r w:rsidR="00CB4784" w:rsidRPr="003B29A4">
        <w:rPr>
          <w:rFonts w:ascii="Arial" w:hAnsi="Arial"/>
          <w:sz w:val="24"/>
          <w:szCs w:val="24"/>
        </w:rPr>
        <w:t xml:space="preserve">an </w:t>
      </w:r>
      <w:r w:rsidR="004B0948">
        <w:rPr>
          <w:rFonts w:ascii="Arial" w:hAnsi="Arial"/>
          <w:sz w:val="24"/>
          <w:szCs w:val="24"/>
        </w:rPr>
        <w:t>anti-</w:t>
      </w:r>
      <w:proofErr w:type="spellStart"/>
      <w:r w:rsidRPr="003B29A4">
        <w:rPr>
          <w:rFonts w:ascii="Arial" w:hAnsi="Arial"/>
          <w:sz w:val="24"/>
          <w:szCs w:val="24"/>
        </w:rPr>
        <w:t>Xa</w:t>
      </w:r>
      <w:proofErr w:type="spellEnd"/>
      <w:r w:rsidRPr="003B29A4">
        <w:rPr>
          <w:rFonts w:ascii="Arial" w:hAnsi="Arial"/>
          <w:sz w:val="24"/>
          <w:szCs w:val="24"/>
        </w:rPr>
        <w:t xml:space="preserve"> </w:t>
      </w:r>
      <w:proofErr w:type="gramStart"/>
      <w:r w:rsidRPr="003B29A4">
        <w:rPr>
          <w:rFonts w:ascii="Arial" w:hAnsi="Arial"/>
          <w:sz w:val="24"/>
          <w:szCs w:val="24"/>
        </w:rPr>
        <w:t>level</w:t>
      </w:r>
      <w:r w:rsidR="00303FFB" w:rsidRPr="003B29A4">
        <w:rPr>
          <w:rFonts w:ascii="Arial" w:hAnsi="Arial"/>
          <w:sz w:val="24"/>
          <w:szCs w:val="24"/>
        </w:rPr>
        <w:t xml:space="preserve"> see</w:t>
      </w:r>
      <w:proofErr w:type="gramEnd"/>
      <w:r w:rsidR="00303FFB" w:rsidRPr="003B29A4">
        <w:rPr>
          <w:rFonts w:ascii="Arial" w:hAnsi="Arial"/>
          <w:sz w:val="24"/>
          <w:szCs w:val="24"/>
        </w:rPr>
        <w:t xml:space="preserve"> guidance below</w:t>
      </w:r>
      <w:r w:rsidR="00D22E40" w:rsidRPr="003B29A4">
        <w:rPr>
          <w:rFonts w:ascii="Arial" w:hAnsi="Arial"/>
          <w:sz w:val="24"/>
          <w:szCs w:val="24"/>
        </w:rPr>
        <w:t>.</w:t>
      </w:r>
    </w:p>
    <w:p w:rsidR="00C23015" w:rsidRPr="003B29A4" w:rsidRDefault="00997FDB" w:rsidP="00017558">
      <w:pPr>
        <w:pStyle w:val="BodyText2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3B29A4">
        <w:rPr>
          <w:rFonts w:ascii="Arial" w:hAnsi="Arial"/>
          <w:sz w:val="24"/>
          <w:szCs w:val="24"/>
        </w:rPr>
        <w:t xml:space="preserve">For patients with </w:t>
      </w:r>
      <w:proofErr w:type="spellStart"/>
      <w:r w:rsidRPr="003B29A4">
        <w:rPr>
          <w:rFonts w:ascii="Arial" w:hAnsi="Arial"/>
          <w:sz w:val="24"/>
          <w:szCs w:val="24"/>
        </w:rPr>
        <w:t>CrCl</w:t>
      </w:r>
      <w:proofErr w:type="spellEnd"/>
      <w:r w:rsidRPr="003B29A4">
        <w:rPr>
          <w:rFonts w:ascii="Arial" w:hAnsi="Arial"/>
          <w:sz w:val="24"/>
          <w:szCs w:val="24"/>
        </w:rPr>
        <w:t xml:space="preserve"> </w:t>
      </w:r>
      <w:r w:rsidR="004B0948">
        <w:rPr>
          <w:rFonts w:ascii="Arial" w:hAnsi="Arial"/>
          <w:sz w:val="24"/>
          <w:szCs w:val="24"/>
        </w:rPr>
        <w:t>&lt;30 ml</w:t>
      </w:r>
      <w:r w:rsidR="008F39A0" w:rsidRPr="003B29A4">
        <w:rPr>
          <w:rFonts w:ascii="Arial" w:hAnsi="Arial"/>
          <w:sz w:val="24"/>
          <w:szCs w:val="24"/>
        </w:rPr>
        <w:t>/min</w:t>
      </w:r>
      <w:r w:rsidR="009C4C9F" w:rsidRPr="003B29A4">
        <w:rPr>
          <w:rFonts w:ascii="Arial" w:hAnsi="Arial"/>
          <w:sz w:val="24"/>
          <w:szCs w:val="24"/>
        </w:rPr>
        <w:t xml:space="preserve"> who may require surgery</w:t>
      </w:r>
      <w:r w:rsidR="008F39A0" w:rsidRPr="003B29A4">
        <w:rPr>
          <w:rFonts w:ascii="Arial" w:hAnsi="Arial"/>
          <w:sz w:val="24"/>
          <w:szCs w:val="24"/>
        </w:rPr>
        <w:t xml:space="preserve"> within 24</w:t>
      </w:r>
      <w:r w:rsidR="00FB336D" w:rsidRPr="003B29A4">
        <w:rPr>
          <w:rFonts w:ascii="Arial" w:hAnsi="Arial"/>
          <w:sz w:val="24"/>
          <w:szCs w:val="24"/>
        </w:rPr>
        <w:t xml:space="preserve"> </w:t>
      </w:r>
      <w:r w:rsidR="008F39A0" w:rsidRPr="003B29A4">
        <w:rPr>
          <w:rFonts w:ascii="Arial" w:hAnsi="Arial"/>
          <w:sz w:val="24"/>
          <w:szCs w:val="24"/>
        </w:rPr>
        <w:t>hours</w:t>
      </w:r>
      <w:r w:rsidR="00CB4784" w:rsidRPr="003B29A4">
        <w:rPr>
          <w:rFonts w:ascii="Arial" w:hAnsi="Arial"/>
          <w:sz w:val="24"/>
          <w:szCs w:val="24"/>
        </w:rPr>
        <w:t xml:space="preserve"> (elective or emergency)</w:t>
      </w:r>
      <w:r w:rsidRPr="003B29A4">
        <w:rPr>
          <w:rFonts w:ascii="Arial" w:hAnsi="Arial"/>
          <w:sz w:val="24"/>
          <w:szCs w:val="24"/>
        </w:rPr>
        <w:t>,</w:t>
      </w:r>
      <w:r w:rsidR="008F39A0" w:rsidRPr="003B29A4">
        <w:rPr>
          <w:rFonts w:ascii="Arial" w:hAnsi="Arial"/>
          <w:sz w:val="24"/>
          <w:szCs w:val="24"/>
        </w:rPr>
        <w:t xml:space="preserve"> </w:t>
      </w:r>
      <w:r w:rsidR="0067170E" w:rsidRPr="003B29A4">
        <w:rPr>
          <w:rFonts w:ascii="Arial" w:hAnsi="Arial"/>
          <w:sz w:val="24"/>
          <w:szCs w:val="24"/>
        </w:rPr>
        <w:t xml:space="preserve">use </w:t>
      </w:r>
      <w:proofErr w:type="spellStart"/>
      <w:r w:rsidR="008F39A0" w:rsidRPr="003B29A4">
        <w:rPr>
          <w:rFonts w:ascii="Arial" w:hAnsi="Arial"/>
          <w:sz w:val="24"/>
          <w:szCs w:val="24"/>
        </w:rPr>
        <w:t>unfractionated</w:t>
      </w:r>
      <w:proofErr w:type="spellEnd"/>
      <w:r w:rsidR="008F39A0" w:rsidRPr="003B29A4">
        <w:rPr>
          <w:rFonts w:ascii="Arial" w:hAnsi="Arial"/>
          <w:sz w:val="24"/>
          <w:szCs w:val="24"/>
        </w:rPr>
        <w:t xml:space="preserve"> heparin</w:t>
      </w:r>
      <w:r w:rsidR="009C4C9F" w:rsidRPr="003B29A4">
        <w:rPr>
          <w:rFonts w:ascii="Arial" w:hAnsi="Arial"/>
          <w:sz w:val="24"/>
          <w:szCs w:val="24"/>
        </w:rPr>
        <w:t xml:space="preserve"> 5000units sc twice daily</w:t>
      </w:r>
      <w:r w:rsidR="00A128B4" w:rsidRPr="003B29A4">
        <w:rPr>
          <w:rFonts w:ascii="Arial" w:hAnsi="Arial"/>
          <w:sz w:val="24"/>
          <w:szCs w:val="24"/>
        </w:rPr>
        <w:t>.</w:t>
      </w:r>
      <w:r w:rsidR="00DC1B06" w:rsidRPr="003B29A4">
        <w:rPr>
          <w:rFonts w:ascii="Arial" w:hAnsi="Arial"/>
          <w:sz w:val="24"/>
          <w:szCs w:val="24"/>
        </w:rPr>
        <w:t xml:space="preserve"> </w:t>
      </w:r>
      <w:r w:rsidR="00A128B4" w:rsidRPr="003B29A4">
        <w:rPr>
          <w:rFonts w:ascii="Arial" w:hAnsi="Arial"/>
          <w:sz w:val="24"/>
          <w:szCs w:val="24"/>
        </w:rPr>
        <w:t xml:space="preserve">Includes all Transplant patients in the first 24hours. Discuss with relevant specialties </w:t>
      </w:r>
      <w:r w:rsidR="00DC1B06" w:rsidRPr="003B29A4">
        <w:rPr>
          <w:rFonts w:ascii="Arial" w:hAnsi="Arial"/>
          <w:sz w:val="24"/>
          <w:szCs w:val="24"/>
        </w:rPr>
        <w:t>thereafter.</w:t>
      </w:r>
    </w:p>
    <w:p w:rsidR="00303FFB" w:rsidRPr="003B29A4" w:rsidRDefault="00303FFB" w:rsidP="009E4AC0">
      <w:pPr>
        <w:pStyle w:val="BodyText2"/>
        <w:jc w:val="left"/>
        <w:rPr>
          <w:rFonts w:ascii="Arial" w:hAnsi="Arial" w:cs="Arial"/>
          <w:bCs/>
          <w:sz w:val="24"/>
          <w:szCs w:val="24"/>
        </w:rPr>
      </w:pPr>
    </w:p>
    <w:p w:rsidR="004E477C" w:rsidRDefault="004E477C" w:rsidP="009E4AC0">
      <w:pPr>
        <w:pStyle w:val="BodyText2"/>
        <w:jc w:val="left"/>
        <w:rPr>
          <w:rFonts w:ascii="Arial" w:hAnsi="Arial" w:cs="Arial"/>
          <w:bCs/>
          <w:sz w:val="22"/>
          <w:szCs w:val="22"/>
        </w:rPr>
      </w:pPr>
    </w:p>
    <w:p w:rsidR="004E477C" w:rsidRDefault="004E477C" w:rsidP="009E4AC0">
      <w:pPr>
        <w:pStyle w:val="BodyText2"/>
        <w:jc w:val="left"/>
        <w:rPr>
          <w:rFonts w:ascii="Arial" w:hAnsi="Arial" w:cs="Arial"/>
          <w:bCs/>
          <w:sz w:val="22"/>
          <w:szCs w:val="22"/>
        </w:rPr>
      </w:pPr>
    </w:p>
    <w:p w:rsidR="007B2E20" w:rsidRDefault="00303FFB" w:rsidP="007B2E20">
      <w:pPr>
        <w:spacing w:line="276" w:lineRule="auto"/>
        <w:rPr>
          <w:rFonts w:ascii="Arial" w:hAnsi="Arial" w:cs="Arial"/>
          <w:b/>
          <w:color w:val="FF0000"/>
        </w:rPr>
      </w:pPr>
      <w:r w:rsidRPr="00E3335A">
        <w:rPr>
          <w:rFonts w:ascii="Arial" w:hAnsi="Arial" w:cs="Arial"/>
          <w:b/>
          <w:color w:val="FF0000"/>
        </w:rPr>
        <w:t>Guidance on LMW</w:t>
      </w:r>
      <w:r w:rsidR="004B0948">
        <w:rPr>
          <w:rFonts w:ascii="Arial" w:hAnsi="Arial" w:cs="Arial"/>
          <w:b/>
          <w:color w:val="FF0000"/>
        </w:rPr>
        <w:t xml:space="preserve"> He</w:t>
      </w:r>
      <w:r w:rsidRPr="00E3335A">
        <w:rPr>
          <w:rFonts w:ascii="Arial" w:hAnsi="Arial" w:cs="Arial"/>
          <w:b/>
          <w:color w:val="FF0000"/>
        </w:rPr>
        <w:t xml:space="preserve">parin (anti-factor </w:t>
      </w:r>
      <w:proofErr w:type="spellStart"/>
      <w:r w:rsidRPr="00E3335A">
        <w:rPr>
          <w:rFonts w:ascii="Arial" w:hAnsi="Arial" w:cs="Arial"/>
          <w:b/>
          <w:color w:val="FF0000"/>
        </w:rPr>
        <w:t>Xa</w:t>
      </w:r>
      <w:proofErr w:type="spellEnd"/>
      <w:r w:rsidRPr="00E3335A">
        <w:rPr>
          <w:rFonts w:ascii="Arial" w:hAnsi="Arial" w:cs="Arial"/>
          <w:b/>
          <w:color w:val="FF0000"/>
        </w:rPr>
        <w:t xml:space="preserve">) monitoring for </w:t>
      </w:r>
      <w:r w:rsidRPr="00E3335A">
        <w:rPr>
          <w:rFonts w:ascii="Arial" w:hAnsi="Arial" w:cs="Arial"/>
          <w:b/>
          <w:i/>
          <w:color w:val="FF0000"/>
        </w:rPr>
        <w:t xml:space="preserve">prophylactic </w:t>
      </w:r>
      <w:r w:rsidRPr="00E3335A">
        <w:rPr>
          <w:rFonts w:ascii="Arial" w:hAnsi="Arial" w:cs="Arial"/>
          <w:b/>
          <w:color w:val="FF0000"/>
        </w:rPr>
        <w:t>doses of LMWH</w:t>
      </w:r>
    </w:p>
    <w:p w:rsidR="00017558" w:rsidRDefault="00017558" w:rsidP="007B2E20">
      <w:pPr>
        <w:spacing w:line="276" w:lineRule="auto"/>
        <w:rPr>
          <w:rFonts w:ascii="Arial" w:hAnsi="Arial" w:cs="Arial"/>
          <w:b/>
          <w:color w:val="FF0000"/>
        </w:rPr>
      </w:pPr>
    </w:p>
    <w:p w:rsidR="00303FFB" w:rsidRPr="003B29A4" w:rsidRDefault="00303FFB" w:rsidP="00017558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3B29A4">
        <w:rPr>
          <w:rFonts w:ascii="Arial" w:hAnsi="Arial" w:cs="Arial"/>
        </w:rPr>
        <w:t>Order as “LMW Heparin assay” on TRAK (search for “heparin” and you will get 5 choices – choose “LMW Heparin assay”; automated test done at RIE site, available 24 hours a day, please inform haematology laboratory staff if request is urgent; courier to RIE lab if at other sites</w:t>
      </w:r>
    </w:p>
    <w:p w:rsidR="00303FFB" w:rsidRPr="003B29A4" w:rsidRDefault="00303FFB" w:rsidP="00017558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3B29A4">
        <w:rPr>
          <w:rFonts w:ascii="Arial" w:hAnsi="Arial" w:cs="Arial"/>
        </w:rPr>
        <w:t xml:space="preserve">Use a green-top citrated tube; ensure sample is filled to the “level” marked on the side of the tube as the lab cannot assay the sample if </w:t>
      </w:r>
      <w:proofErr w:type="spellStart"/>
      <w:r w:rsidRPr="003B29A4">
        <w:rPr>
          <w:rFonts w:ascii="Arial" w:hAnsi="Arial" w:cs="Arial"/>
        </w:rPr>
        <w:t>underfilled</w:t>
      </w:r>
      <w:proofErr w:type="spellEnd"/>
      <w:r w:rsidRPr="003B29A4">
        <w:rPr>
          <w:rFonts w:ascii="Arial" w:hAnsi="Arial" w:cs="Arial"/>
        </w:rPr>
        <w:t>.</w:t>
      </w:r>
    </w:p>
    <w:p w:rsidR="00303FFB" w:rsidRPr="003B29A4" w:rsidRDefault="00303FFB" w:rsidP="00017558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3B29A4">
        <w:rPr>
          <w:rFonts w:ascii="Arial" w:hAnsi="Arial" w:cs="Arial"/>
        </w:rPr>
        <w:t>Level must be checked 3-4 hours post administration of the dose of LMW</w:t>
      </w:r>
      <w:r w:rsidR="004B0948">
        <w:rPr>
          <w:rFonts w:ascii="Arial" w:hAnsi="Arial" w:cs="Arial"/>
        </w:rPr>
        <w:t xml:space="preserve"> </w:t>
      </w:r>
      <w:r w:rsidRPr="003B29A4">
        <w:rPr>
          <w:rFonts w:ascii="Arial" w:hAnsi="Arial" w:cs="Arial"/>
        </w:rPr>
        <w:t>H</w:t>
      </w:r>
      <w:r w:rsidR="004B0948">
        <w:rPr>
          <w:rFonts w:ascii="Arial" w:hAnsi="Arial" w:cs="Arial"/>
        </w:rPr>
        <w:t>eparin</w:t>
      </w:r>
      <w:r w:rsidR="006C024B" w:rsidRPr="003B29A4">
        <w:rPr>
          <w:rFonts w:ascii="Arial" w:hAnsi="Arial" w:cs="Arial"/>
        </w:rPr>
        <w:t>.</w:t>
      </w:r>
    </w:p>
    <w:p w:rsidR="00303FFB" w:rsidRPr="003B29A4" w:rsidRDefault="00303FFB" w:rsidP="00017558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</w:rPr>
      </w:pPr>
      <w:r w:rsidRPr="003B29A4">
        <w:rPr>
          <w:rFonts w:ascii="Arial" w:hAnsi="Arial" w:cs="Arial"/>
        </w:rPr>
        <w:t>Target “peak” range is 0.1-0.4 units/ml</w:t>
      </w:r>
      <w:r w:rsidR="006C024B" w:rsidRPr="003B29A4">
        <w:rPr>
          <w:rFonts w:ascii="Arial" w:hAnsi="Arial" w:cs="Arial"/>
        </w:rPr>
        <w:t>.</w:t>
      </w:r>
    </w:p>
    <w:p w:rsidR="004E477C" w:rsidRPr="003B29A4" w:rsidRDefault="00303FFB" w:rsidP="004E477C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 w:cs="Arial"/>
          <w:bCs/>
        </w:rPr>
      </w:pPr>
      <w:r w:rsidRPr="003B29A4">
        <w:rPr>
          <w:rFonts w:ascii="Arial" w:hAnsi="Arial" w:cs="Arial"/>
        </w:rPr>
        <w:t>Check a one-off level and thereafter as required</w:t>
      </w:r>
      <w:r w:rsidR="006C024B" w:rsidRPr="003B29A4">
        <w:rPr>
          <w:rFonts w:ascii="Arial" w:hAnsi="Arial" w:cs="Arial"/>
        </w:rPr>
        <w:t>.</w:t>
      </w:r>
    </w:p>
    <w:p w:rsidR="004E477C" w:rsidRDefault="004E477C" w:rsidP="004E477C">
      <w:pPr>
        <w:spacing w:after="200" w:line="276" w:lineRule="auto"/>
        <w:rPr>
          <w:rFonts w:ascii="Arial" w:hAnsi="Arial" w:cs="Arial"/>
          <w:bCs/>
          <w:sz w:val="22"/>
          <w:szCs w:val="22"/>
        </w:rPr>
      </w:pPr>
    </w:p>
    <w:p w:rsidR="004E477C" w:rsidRDefault="004E477C" w:rsidP="004E477C">
      <w:pPr>
        <w:spacing w:after="200" w:line="276" w:lineRule="auto"/>
        <w:rPr>
          <w:rFonts w:ascii="Arial" w:hAnsi="Arial" w:cs="Arial"/>
          <w:bCs/>
          <w:sz w:val="22"/>
          <w:szCs w:val="22"/>
        </w:rPr>
      </w:pPr>
    </w:p>
    <w:tbl>
      <w:tblPr>
        <w:tblpPr w:leftFromText="180" w:rightFromText="180" w:vertAnchor="text" w:tblpXSpec="right" w:tblpY="1"/>
        <w:tblOverlap w:val="never"/>
        <w:tblW w:w="15452" w:type="dxa"/>
        <w:tblLook w:val="01E0"/>
      </w:tblPr>
      <w:tblGrid>
        <w:gridCol w:w="568"/>
        <w:gridCol w:w="14884"/>
      </w:tblGrid>
      <w:tr w:rsidR="00997FDB" w:rsidRPr="00017558" w:rsidTr="00567A94">
        <w:trPr>
          <w:trHeight w:val="672"/>
        </w:trPr>
        <w:tc>
          <w:tcPr>
            <w:tcW w:w="568" w:type="dxa"/>
          </w:tcPr>
          <w:p w:rsidR="00997FDB" w:rsidRPr="00017558" w:rsidRDefault="00997F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884" w:type="dxa"/>
          </w:tcPr>
          <w:p w:rsidR="005B5D40" w:rsidRPr="00C450DB" w:rsidRDefault="006C4298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Ph</w:t>
            </w:r>
            <w:r w:rsidR="00401C4A"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armacological </w:t>
            </w:r>
            <w:proofErr w:type="spellStart"/>
            <w:r w:rsidR="00401C4A"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thromboprophylaxis</w:t>
            </w:r>
            <w:proofErr w:type="spellEnd"/>
            <w:r w:rsidR="009C36A1"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- DALTEPARIN</w:t>
            </w:r>
          </w:p>
          <w:p w:rsidR="003476A8" w:rsidRPr="00C450DB" w:rsidRDefault="003476A8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0656" w:type="dxa"/>
              <w:jc w:val="center"/>
              <w:tblInd w:w="1" w:type="dxa"/>
              <w:tblLook w:val="04A0"/>
            </w:tblPr>
            <w:tblGrid>
              <w:gridCol w:w="1264"/>
              <w:gridCol w:w="1686"/>
              <w:gridCol w:w="2408"/>
              <w:gridCol w:w="2408"/>
              <w:gridCol w:w="2890"/>
            </w:tblGrid>
            <w:tr w:rsidR="006C4298" w:rsidRPr="00C450DB" w:rsidTr="003476A8">
              <w:trPr>
                <w:trHeight w:val="11"/>
                <w:jc w:val="center"/>
              </w:trPr>
              <w:tc>
                <w:tcPr>
                  <w:tcW w:w="1264" w:type="dxa"/>
                </w:tcPr>
                <w:p w:rsidR="006C4298" w:rsidRPr="00C450DB" w:rsidRDefault="006C429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CrCl</w:t>
                  </w:r>
                  <w:proofErr w:type="spellEnd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mls</w:t>
                  </w:r>
                  <w:proofErr w:type="spellEnd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/min</w:t>
                  </w:r>
                </w:p>
              </w:tc>
              <w:tc>
                <w:tcPr>
                  <w:tcW w:w="1686" w:type="dxa"/>
                </w:tcPr>
                <w:p w:rsidR="006C4298" w:rsidRPr="00C450DB" w:rsidRDefault="006C429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&lt;50kg</w:t>
                  </w:r>
                </w:p>
              </w:tc>
              <w:tc>
                <w:tcPr>
                  <w:tcW w:w="2408" w:type="dxa"/>
                </w:tcPr>
                <w:p w:rsidR="006C4298" w:rsidRPr="00C450DB" w:rsidRDefault="006C429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50-100kg</w:t>
                  </w:r>
                </w:p>
              </w:tc>
              <w:tc>
                <w:tcPr>
                  <w:tcW w:w="2408" w:type="dxa"/>
                </w:tcPr>
                <w:p w:rsidR="006C4298" w:rsidRPr="00C450DB" w:rsidRDefault="006C429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100-150kg</w:t>
                  </w:r>
                </w:p>
              </w:tc>
              <w:tc>
                <w:tcPr>
                  <w:tcW w:w="2890" w:type="dxa"/>
                </w:tcPr>
                <w:p w:rsidR="006C4298" w:rsidRPr="00C450DB" w:rsidRDefault="006C429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&gt;150kg</w:t>
                  </w:r>
                </w:p>
              </w:tc>
            </w:tr>
            <w:tr w:rsidR="008172BA" w:rsidRPr="00C450DB" w:rsidTr="003476A8">
              <w:trPr>
                <w:trHeight w:val="39"/>
                <w:jc w:val="center"/>
              </w:trPr>
              <w:tc>
                <w:tcPr>
                  <w:tcW w:w="1264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&gt;30</w:t>
                  </w:r>
                </w:p>
              </w:tc>
              <w:tc>
                <w:tcPr>
                  <w:tcW w:w="1686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2500 units daily</w:t>
                  </w:r>
                </w:p>
              </w:tc>
              <w:tc>
                <w:tcPr>
                  <w:tcW w:w="2408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5000 units daily</w:t>
                  </w:r>
                </w:p>
              </w:tc>
              <w:tc>
                <w:tcPr>
                  <w:tcW w:w="2408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5000 units twice daily</w:t>
                  </w:r>
                </w:p>
              </w:tc>
              <w:tc>
                <w:tcPr>
                  <w:tcW w:w="2890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7500 units twice daily</w:t>
                  </w:r>
                </w:p>
              </w:tc>
            </w:tr>
            <w:tr w:rsidR="008172BA" w:rsidRPr="00C450DB" w:rsidTr="003476A8">
              <w:trPr>
                <w:trHeight w:val="58"/>
                <w:jc w:val="center"/>
              </w:trPr>
              <w:tc>
                <w:tcPr>
                  <w:tcW w:w="1264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10-30</w:t>
                  </w:r>
                </w:p>
              </w:tc>
              <w:tc>
                <w:tcPr>
                  <w:tcW w:w="1686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*</w:t>
                  </w: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2500 units daily</w:t>
                  </w:r>
                </w:p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(with caution)</w:t>
                  </w:r>
                </w:p>
              </w:tc>
              <w:tc>
                <w:tcPr>
                  <w:tcW w:w="2408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5000 units daily</w:t>
                  </w:r>
                </w:p>
              </w:tc>
              <w:tc>
                <w:tcPr>
                  <w:tcW w:w="2408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5000 units twice daily</w:t>
                  </w:r>
                </w:p>
              </w:tc>
              <w:tc>
                <w:tcPr>
                  <w:tcW w:w="2890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*7500 units twice daily</w:t>
                  </w:r>
                </w:p>
              </w:tc>
            </w:tr>
            <w:tr w:rsidR="008172BA" w:rsidRPr="00C450DB" w:rsidTr="003476A8">
              <w:trPr>
                <w:trHeight w:val="42"/>
                <w:jc w:val="center"/>
              </w:trPr>
              <w:tc>
                <w:tcPr>
                  <w:tcW w:w="1264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&lt;10 or CVVHD</w:t>
                  </w:r>
                </w:p>
              </w:tc>
              <w:tc>
                <w:tcPr>
                  <w:tcW w:w="1686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*</w:t>
                  </w: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2500 units daily</w:t>
                  </w:r>
                </w:p>
                <w:p w:rsidR="00482458" w:rsidRPr="00C450DB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(with caution)</w:t>
                  </w:r>
                </w:p>
              </w:tc>
              <w:tc>
                <w:tcPr>
                  <w:tcW w:w="2408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*</w:t>
                  </w:r>
                  <w:r w:rsidR="00BE46C6"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*</w:t>
                  </w: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5000 units daily</w:t>
                  </w:r>
                </w:p>
              </w:tc>
              <w:tc>
                <w:tcPr>
                  <w:tcW w:w="2408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*</w:t>
                  </w:r>
                  <w:r w:rsidR="00BE46C6"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*</w:t>
                  </w: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500</w:t>
                  </w:r>
                  <w:r w:rsidR="00A40305"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0</w:t>
                  </w: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 xml:space="preserve"> units daily</w:t>
                  </w:r>
                </w:p>
              </w:tc>
              <w:tc>
                <w:tcPr>
                  <w:tcW w:w="2890" w:type="dxa"/>
                </w:tcPr>
                <w:p w:rsidR="008172BA" w:rsidRPr="00C450DB" w:rsidRDefault="008172B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</w:rPr>
                    <w:t>*7500 units daily</w:t>
                  </w:r>
                </w:p>
              </w:tc>
            </w:tr>
          </w:tbl>
          <w:p w:rsidR="004846B4" w:rsidRPr="00C450DB" w:rsidRDefault="003476A8" w:rsidP="00567A94">
            <w:pPr>
              <w:pStyle w:val="BodyText2"/>
              <w:tabs>
                <w:tab w:val="right" w:pos="14668"/>
              </w:tabs>
              <w:ind w:left="405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                 </w:t>
            </w:r>
            <w:r w:rsidR="00943BC6" w:rsidRPr="00C450D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*</w:t>
            </w:r>
            <w:r w:rsidR="00943BC6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>Check anti</w:t>
            </w:r>
            <w:r w:rsidR="00CA45A8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proofErr w:type="spellStart"/>
            <w:r w:rsidR="00943BC6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>Xa</w:t>
            </w:r>
            <w:proofErr w:type="spellEnd"/>
            <w:r w:rsidR="00943BC6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level after </w:t>
            </w:r>
            <w:r w:rsidR="004E11F0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 days in extreme </w:t>
            </w:r>
            <w:r w:rsidR="004846B4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range of weight and renal </w:t>
            </w:r>
            <w:r w:rsidR="00BE46C6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>impairment</w:t>
            </w:r>
            <w:r w:rsidR="004E11F0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C36A1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</w:p>
          <w:p w:rsidR="00D608AA" w:rsidRPr="00C450DB" w:rsidRDefault="003476A8" w:rsidP="00567A94">
            <w:pPr>
              <w:pStyle w:val="BodyText2"/>
              <w:ind w:left="405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</w:t>
            </w:r>
            <w:r w:rsidR="00BE46C6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>**</w:t>
            </w:r>
            <w:r w:rsidR="004B0948">
              <w:rPr>
                <w:rFonts w:ascii="Arial" w:hAnsi="Arial" w:cs="Arial"/>
                <w:b/>
                <w:bCs/>
                <w:sz w:val="22"/>
                <w:szCs w:val="22"/>
              </w:rPr>
              <w:t>Check anti-</w:t>
            </w:r>
            <w:proofErr w:type="spellStart"/>
            <w:r w:rsidR="004B0948">
              <w:rPr>
                <w:rFonts w:ascii="Arial" w:hAnsi="Arial" w:cs="Arial"/>
                <w:b/>
                <w:bCs/>
                <w:sz w:val="22"/>
                <w:szCs w:val="22"/>
              </w:rPr>
              <w:t>Xa</w:t>
            </w:r>
            <w:proofErr w:type="spellEnd"/>
            <w:r w:rsid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level after</w:t>
            </w:r>
            <w:r w:rsidR="004E11F0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B1ED9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943BC6" w:rsidRPr="00C450D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days</w:t>
            </w:r>
          </w:p>
          <w:p w:rsidR="00482458" w:rsidRPr="00C450DB" w:rsidRDefault="00482458" w:rsidP="00567A94">
            <w:pPr>
              <w:pStyle w:val="BodyText2"/>
              <w:ind w:left="405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E4892" w:rsidRPr="00C450DB" w:rsidRDefault="00DE4892" w:rsidP="00567A94">
            <w:pPr>
              <w:pStyle w:val="BodyText2"/>
              <w:ind w:left="405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F4BC3" w:rsidRPr="00C450DB" w:rsidRDefault="007F5CB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Enhanced Pharmacological </w:t>
            </w:r>
            <w:proofErr w:type="spellStart"/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thromboprophylaxis</w:t>
            </w:r>
            <w:proofErr w:type="spellEnd"/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for </w:t>
            </w:r>
            <w:proofErr w:type="spellStart"/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Covid</w:t>
            </w:r>
            <w:proofErr w:type="spellEnd"/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19 (+)</w:t>
            </w:r>
            <w:proofErr w:type="spellStart"/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ve</w:t>
            </w:r>
            <w:proofErr w:type="spellEnd"/>
            <w:r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patients</w:t>
            </w:r>
            <w:r w:rsidR="004E11F0"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9C36A1" w:rsidRPr="00C450D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- DALTEPARIN</w:t>
            </w:r>
          </w:p>
          <w:p w:rsidR="003476A8" w:rsidRPr="00C450DB" w:rsidRDefault="003476A8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tbl>
            <w:tblPr>
              <w:tblStyle w:val="TableGrid"/>
              <w:tblW w:w="10656" w:type="dxa"/>
              <w:jc w:val="center"/>
              <w:tblInd w:w="1" w:type="dxa"/>
              <w:tblLook w:val="04A0"/>
            </w:tblPr>
            <w:tblGrid>
              <w:gridCol w:w="1264"/>
              <w:gridCol w:w="1686"/>
              <w:gridCol w:w="2408"/>
              <w:gridCol w:w="2408"/>
              <w:gridCol w:w="2890"/>
            </w:tblGrid>
            <w:tr w:rsidR="007F5CBB" w:rsidRPr="00C450DB" w:rsidTr="003476A8">
              <w:trPr>
                <w:trHeight w:val="11"/>
                <w:jc w:val="center"/>
              </w:trPr>
              <w:tc>
                <w:tcPr>
                  <w:tcW w:w="1264" w:type="dxa"/>
                </w:tcPr>
                <w:p w:rsidR="007F5CBB" w:rsidRPr="00C450DB" w:rsidRDefault="007F5CBB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CrCl</w:t>
                  </w:r>
                  <w:proofErr w:type="spellEnd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mls</w:t>
                  </w:r>
                  <w:proofErr w:type="spellEnd"/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/min</w:t>
                  </w:r>
                </w:p>
              </w:tc>
              <w:tc>
                <w:tcPr>
                  <w:tcW w:w="1686" w:type="dxa"/>
                </w:tcPr>
                <w:p w:rsidR="007F5CBB" w:rsidRPr="00C450DB" w:rsidRDefault="007F5CBB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&lt;50kg</w:t>
                  </w:r>
                </w:p>
              </w:tc>
              <w:tc>
                <w:tcPr>
                  <w:tcW w:w="2408" w:type="dxa"/>
                </w:tcPr>
                <w:p w:rsidR="007F5CBB" w:rsidRPr="00C450DB" w:rsidRDefault="007F5CBB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50-100kg</w:t>
                  </w:r>
                </w:p>
              </w:tc>
              <w:tc>
                <w:tcPr>
                  <w:tcW w:w="2408" w:type="dxa"/>
                </w:tcPr>
                <w:p w:rsidR="007F5CBB" w:rsidRPr="00C450DB" w:rsidRDefault="007F5CBB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100-150kg</w:t>
                  </w:r>
                </w:p>
              </w:tc>
              <w:tc>
                <w:tcPr>
                  <w:tcW w:w="2890" w:type="dxa"/>
                </w:tcPr>
                <w:p w:rsidR="007F5CBB" w:rsidRPr="00C450DB" w:rsidRDefault="007F5CBB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450DB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&gt;150kg</w:t>
                  </w:r>
                </w:p>
              </w:tc>
            </w:tr>
            <w:tr w:rsidR="00482458" w:rsidRPr="004B0948" w:rsidTr="003476A8">
              <w:trPr>
                <w:trHeight w:val="30"/>
                <w:jc w:val="center"/>
              </w:trPr>
              <w:tc>
                <w:tcPr>
                  <w:tcW w:w="1264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&gt;30</w:t>
                  </w:r>
                </w:p>
              </w:tc>
              <w:tc>
                <w:tcPr>
                  <w:tcW w:w="1686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2500 units 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twice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daily </w:t>
                  </w:r>
                </w:p>
              </w:tc>
              <w:tc>
                <w:tcPr>
                  <w:tcW w:w="2408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5000 units twice daily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408" w:type="dxa"/>
                </w:tcPr>
                <w:p w:rsidR="00482458" w:rsidRPr="004B0948" w:rsidRDefault="0098721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7500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units twice daily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890" w:type="dxa"/>
                </w:tcPr>
                <w:p w:rsidR="00482458" w:rsidRPr="004B0948" w:rsidRDefault="003E0A71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</w:t>
                  </w:r>
                  <w:r w:rsidR="00401C4A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,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000 units twice daily</w:t>
                  </w:r>
                </w:p>
              </w:tc>
            </w:tr>
            <w:tr w:rsidR="00482458" w:rsidRPr="004B0948" w:rsidTr="003476A8">
              <w:trPr>
                <w:trHeight w:val="69"/>
                <w:jc w:val="center"/>
              </w:trPr>
              <w:tc>
                <w:tcPr>
                  <w:tcW w:w="1264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10-30</w:t>
                  </w:r>
                </w:p>
                <w:p w:rsidR="006B2B4D" w:rsidRPr="004B0948" w:rsidRDefault="006B2B4D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86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2500 units </w:t>
                  </w:r>
                  <w:r w:rsidR="00437B8F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twice </w:t>
                  </w:r>
                  <w:r w:rsidR="004E11F0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daily</w:t>
                  </w:r>
                </w:p>
                <w:p w:rsidR="006B2B4D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(with caution)</w:t>
                  </w:r>
                </w:p>
                <w:p w:rsidR="00401C4A" w:rsidRPr="004B0948" w:rsidRDefault="00401C4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408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5000 units </w:t>
                  </w:r>
                  <w:r w:rsidR="00437B8F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twice </w:t>
                  </w:r>
                  <w:r w:rsidR="00BC2207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daily</w:t>
                  </w:r>
                </w:p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408" w:type="dxa"/>
                </w:tcPr>
                <w:p w:rsidR="00482458" w:rsidRPr="004B0948" w:rsidRDefault="0098721A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7500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units </w:t>
                  </w:r>
                  <w:r w:rsidR="00437B8F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twice 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daily</w:t>
                  </w:r>
                </w:p>
              </w:tc>
              <w:tc>
                <w:tcPr>
                  <w:tcW w:w="2890" w:type="dxa"/>
                </w:tcPr>
                <w:p w:rsidR="00482458" w:rsidRPr="004B0948" w:rsidRDefault="003E0A71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10,000 units </w:t>
                  </w:r>
                  <w:r w:rsidR="00437B8F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twice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daily</w:t>
                  </w:r>
                </w:p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482458" w:rsidRPr="004B0948" w:rsidTr="003476A8">
              <w:trPr>
                <w:trHeight w:val="54"/>
                <w:jc w:val="center"/>
              </w:trPr>
              <w:tc>
                <w:tcPr>
                  <w:tcW w:w="1264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&lt;10 or CVVHD</w:t>
                  </w:r>
                </w:p>
              </w:tc>
              <w:tc>
                <w:tcPr>
                  <w:tcW w:w="1686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2500 units 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once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daily</w:t>
                  </w:r>
                </w:p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(with caution)</w:t>
                  </w:r>
                </w:p>
              </w:tc>
              <w:tc>
                <w:tcPr>
                  <w:tcW w:w="2408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5000 units 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once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daily</w:t>
                  </w:r>
                </w:p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408" w:type="dxa"/>
                </w:tcPr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7500 units </w:t>
                  </w:r>
                  <w:r w:rsidR="003E0A71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once 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daily</w:t>
                  </w:r>
                </w:p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890" w:type="dxa"/>
                </w:tcPr>
                <w:p w:rsidR="00482458" w:rsidRPr="004B0948" w:rsidRDefault="003E0A71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10</w:t>
                  </w:r>
                  <w:r w:rsidR="00401C4A"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,</w:t>
                  </w:r>
                  <w:r w:rsidRPr="004B094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000 units once daily</w:t>
                  </w:r>
                </w:p>
                <w:p w:rsidR="00482458" w:rsidRPr="004B0948" w:rsidRDefault="00482458" w:rsidP="00342A8D">
                  <w:pPr>
                    <w:pStyle w:val="BodyText2"/>
                    <w:framePr w:hSpace="180" w:wrap="around" w:vAnchor="text" w:hAnchor="text" w:xAlign="right" w:y="1"/>
                    <w:suppressOverlap/>
                    <w:jc w:val="left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6C024B" w:rsidRPr="004B0948" w:rsidRDefault="006C024B" w:rsidP="00567A94">
            <w:pPr>
              <w:pStyle w:val="BodyText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</w:t>
            </w:r>
            <w:r w:rsidR="00912ECA" w:rsidRPr="004B0948">
              <w:rPr>
                <w:rFonts w:ascii="Arial" w:hAnsi="Arial" w:cs="Arial"/>
                <w:b/>
                <w:bCs/>
                <w:sz w:val="22"/>
                <w:szCs w:val="22"/>
              </w:rPr>
              <w:t>Check anti-</w:t>
            </w:r>
            <w:proofErr w:type="spellStart"/>
            <w:r w:rsidR="00912ECA" w:rsidRPr="004B0948">
              <w:rPr>
                <w:rFonts w:ascii="Arial" w:hAnsi="Arial" w:cs="Arial"/>
                <w:b/>
                <w:bCs/>
                <w:sz w:val="22"/>
                <w:szCs w:val="22"/>
              </w:rPr>
              <w:t>Xa</w:t>
            </w:r>
            <w:proofErr w:type="spellEnd"/>
            <w:r w:rsidR="00912ECA" w:rsidRP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levels, 3-4 hours after 1</w:t>
            </w:r>
            <w:r w:rsidR="00912ECA" w:rsidRPr="004B0948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st</w:t>
            </w:r>
            <w:r w:rsidR="00912ECA" w:rsidRP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dose </w:t>
            </w:r>
            <w:r w:rsidR="008F4ED1" w:rsidRPr="004B0948">
              <w:rPr>
                <w:rFonts w:ascii="Arial" w:hAnsi="Arial" w:cs="Arial"/>
                <w:b/>
                <w:bCs/>
                <w:sz w:val="22"/>
                <w:szCs w:val="22"/>
              </w:rPr>
              <w:t>and discuss with Haematology</w:t>
            </w:r>
            <w:r w:rsidRPr="004B0948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:rsidR="006C024B" w:rsidRDefault="006C024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</w:t>
            </w:r>
            <w:r w:rsid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</w:t>
            </w:r>
            <w:r w:rsidRP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Note Covid-19 patients on CVVHD might require full anticoagulation with </w:t>
            </w:r>
            <w:proofErr w:type="spellStart"/>
            <w:r w:rsidRPr="004B0948">
              <w:rPr>
                <w:rFonts w:ascii="Arial" w:hAnsi="Arial" w:cs="Arial"/>
                <w:b/>
                <w:bCs/>
                <w:sz w:val="22"/>
                <w:szCs w:val="22"/>
              </w:rPr>
              <w:t>unfractionated</w:t>
            </w:r>
            <w:proofErr w:type="spellEnd"/>
            <w:r w:rsidRPr="004B09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heparin.</w:t>
            </w:r>
          </w:p>
          <w:p w:rsidR="00E47B30" w:rsidRDefault="00E47B30" w:rsidP="00E47B30">
            <w:pPr>
              <w:pStyle w:val="BodyText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*Review enhanced protocol Day 14</w:t>
            </w:r>
            <w:r w:rsidR="00970F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or prior to discharge </w:t>
            </w:r>
            <w:r w:rsidR="00342A8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from critical care </w:t>
            </w:r>
            <w:r w:rsidR="00970F72">
              <w:rPr>
                <w:rFonts w:ascii="Arial" w:hAnsi="Arial" w:cs="Arial"/>
                <w:b/>
                <w:bCs/>
                <w:sz w:val="22"/>
                <w:szCs w:val="22"/>
              </w:rPr>
              <w:t>if earlier than D14</w:t>
            </w:r>
          </w:p>
          <w:p w:rsidR="00E47B30" w:rsidRPr="004B0948" w:rsidRDefault="00E47B30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C024B" w:rsidRPr="00C450DB" w:rsidRDefault="006C024B" w:rsidP="00567A94">
            <w:pPr>
              <w:pStyle w:val="BodyText2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7252CB" w:rsidRDefault="007252C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3F4125" w:rsidRDefault="003F4125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67170E" w:rsidRPr="00C450DB" w:rsidRDefault="0067170E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Cautions and contraindications:</w:t>
            </w:r>
          </w:p>
          <w:p w:rsidR="00C23015" w:rsidRPr="00C450DB" w:rsidRDefault="0067170E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potentially bleeding lesions (e.g.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varices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>, active peptic ulcer in last 3 months)</w:t>
            </w:r>
            <w:r w:rsidR="00C23015" w:rsidRPr="00C450DB">
              <w:rPr>
                <w:rFonts w:ascii="Arial" w:hAnsi="Arial" w:cs="Arial"/>
                <w:bCs/>
                <w:sz w:val="24"/>
                <w:szCs w:val="24"/>
              </w:rPr>
              <w:t xml:space="preserve">     </w:t>
            </w:r>
          </w:p>
          <w:p w:rsidR="0067170E" w:rsidRPr="00C450DB" w:rsidRDefault="0067170E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advanced liver disease</w:t>
            </w:r>
            <w:r w:rsidR="00C23015" w:rsidRPr="00C450DB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                                                              </w:t>
            </w:r>
          </w:p>
          <w:p w:rsidR="0067170E" w:rsidRPr="00C450DB" w:rsidRDefault="0067170E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severe uncontrolled arterial</w:t>
            </w:r>
            <w:r w:rsidR="00D038BC" w:rsidRPr="00C450DB">
              <w:rPr>
                <w:rFonts w:ascii="Arial" w:hAnsi="Arial" w:cs="Arial"/>
                <w:bCs/>
                <w:sz w:val="24"/>
                <w:szCs w:val="24"/>
              </w:rPr>
              <w:t xml:space="preserve"> hypertension</w:t>
            </w:r>
          </w:p>
          <w:p w:rsidR="00D038BC" w:rsidRPr="00C450DB" w:rsidRDefault="00D038BC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uncorrected bleeding disorders (e.g. haemophilias)</w:t>
            </w:r>
          </w:p>
          <w:p w:rsidR="00D038BC" w:rsidRPr="00C450DB" w:rsidRDefault="00D608AA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D038BC" w:rsidRPr="00C450DB">
              <w:rPr>
                <w:rFonts w:ascii="Arial" w:hAnsi="Arial" w:cs="Arial"/>
                <w:bCs/>
                <w:sz w:val="24"/>
                <w:szCs w:val="24"/>
              </w:rPr>
              <w:t>ctive bleeding of any sort</w:t>
            </w:r>
          </w:p>
          <w:p w:rsidR="00C23015" w:rsidRPr="00C450DB" w:rsidRDefault="00D038BC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platelet count &lt;50 x 10</w:t>
            </w:r>
            <w:r w:rsidRPr="00C450DB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9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>/L</w:t>
            </w:r>
            <w:r w:rsidR="00CA45A8" w:rsidRPr="00C450DB">
              <w:rPr>
                <w:rFonts w:ascii="Arial" w:hAnsi="Arial" w:cs="Arial"/>
                <w:bCs/>
                <w:sz w:val="24"/>
                <w:szCs w:val="24"/>
              </w:rPr>
              <w:t xml:space="preserve"> * </w:t>
            </w:r>
            <w:r w:rsidR="002427A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for </w:t>
            </w:r>
            <w:proofErr w:type="spellStart"/>
            <w:r w:rsidR="002427A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Covid</w:t>
            </w:r>
            <w:proofErr w:type="spellEnd"/>
            <w:r w:rsidR="002427A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-19 (+)</w:t>
            </w:r>
            <w:proofErr w:type="spellStart"/>
            <w:r w:rsidR="002427A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ve</w:t>
            </w:r>
            <w:proofErr w:type="spellEnd"/>
            <w:r w:rsidR="002427A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patients platelet</w:t>
            </w:r>
            <w:r w:rsidR="00CA45A8"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count&lt;30 x 10</w:t>
            </w:r>
            <w:r w:rsidR="00CA45A8"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  <w:vertAlign w:val="superscript"/>
              </w:rPr>
              <w:t>9</w:t>
            </w:r>
            <w:r w:rsidR="00CA45A8"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/L</w:t>
            </w:r>
          </w:p>
          <w:p w:rsidR="00D608AA" w:rsidRPr="00C450DB" w:rsidRDefault="00D038BC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acquired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coagulopathy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i.e.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APTTr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≥1.5 or INR ≥1.5</w:t>
            </w:r>
          </w:p>
          <w:p w:rsidR="00D038BC" w:rsidRPr="00C450DB" w:rsidRDefault="00D038BC" w:rsidP="00567A94">
            <w:pPr>
              <w:pStyle w:val="BodyText2"/>
              <w:numPr>
                <w:ilvl w:val="0"/>
                <w:numId w:val="15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previous history of HIT</w:t>
            </w:r>
            <w:r w:rsidR="00B846E5" w:rsidRPr="00C450DB"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</w:p>
          <w:p w:rsidR="00C450DB" w:rsidRPr="00C450DB" w:rsidRDefault="00C450DB" w:rsidP="00567A94">
            <w:pPr>
              <w:pStyle w:val="BodyText2"/>
              <w:ind w:left="3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997FDB" w:rsidRPr="00C450DB" w:rsidRDefault="0067170E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Mechanical </w:t>
            </w:r>
            <w:proofErr w:type="spellStart"/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thromboprophylaxis</w:t>
            </w:r>
            <w:proofErr w:type="spellEnd"/>
          </w:p>
          <w:p w:rsidR="0067170E" w:rsidRPr="00C450DB" w:rsidRDefault="0067170E" w:rsidP="00567A94">
            <w:pPr>
              <w:pStyle w:val="BodyText2"/>
              <w:numPr>
                <w:ilvl w:val="0"/>
                <w:numId w:val="9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All patients will wear graduated ela</w:t>
            </w:r>
            <w:r w:rsidR="00C23015" w:rsidRPr="00C450DB">
              <w:rPr>
                <w:rFonts w:ascii="Arial" w:hAnsi="Arial" w:cs="Arial"/>
                <w:bCs/>
                <w:sz w:val="24"/>
                <w:szCs w:val="24"/>
              </w:rPr>
              <w:t>stic compression stockings (TEDS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>).</w:t>
            </w:r>
          </w:p>
          <w:p w:rsidR="004E477C" w:rsidRPr="00C450DB" w:rsidRDefault="0067170E" w:rsidP="00567A94">
            <w:pPr>
              <w:pStyle w:val="BodyText2"/>
              <w:numPr>
                <w:ilvl w:val="0"/>
                <w:numId w:val="9"/>
              </w:num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Intermittent pneumatic compression device</w:t>
            </w:r>
            <w:r w:rsidR="009562E0" w:rsidRPr="00C450DB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(IPCD) should be used if pharmacological prophylaxis contraindicated. </w:t>
            </w:r>
          </w:p>
          <w:p w:rsidR="00017558" w:rsidRPr="00C450DB" w:rsidRDefault="00017558" w:rsidP="00567A94">
            <w:pPr>
              <w:pStyle w:val="BodyText2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017558" w:rsidRPr="00C450DB" w:rsidRDefault="00017558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Mechanical </w:t>
            </w:r>
            <w:proofErr w:type="spellStart"/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thromboprophylaxis</w:t>
            </w:r>
            <w:proofErr w:type="spellEnd"/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should NOT be used if patients have any of the following: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a stroke where IPCD should be used alone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massive leg oedema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severe peripheral artery disease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severe peripheral neuropathy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major leg deformity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dermatitis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20"/>
              </w:num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4"/>
                <w:szCs w:val="24"/>
              </w:rPr>
              <w:t>an existing DVT in a leg</w:t>
            </w:r>
          </w:p>
          <w:p w:rsidR="00017558" w:rsidRPr="00C450DB" w:rsidRDefault="00017558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F4125" w:rsidRDefault="003F4125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017558" w:rsidRPr="00C450DB" w:rsidRDefault="00017558" w:rsidP="00567A94">
            <w:pPr>
              <w:pStyle w:val="BodyText2"/>
              <w:jc w:val="lef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NEURO PATIENTS-mechanical </w:t>
            </w:r>
            <w:proofErr w:type="spellStart"/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thromboprophylaxis</w:t>
            </w:r>
            <w:proofErr w:type="spellEnd"/>
            <w:r w:rsidRPr="00C450DB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as above.</w:t>
            </w:r>
          </w:p>
          <w:p w:rsidR="00017558" w:rsidRPr="00C450DB" w:rsidRDefault="00017558" w:rsidP="00567A94">
            <w:pPr>
              <w:pStyle w:val="BodyText2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>Subarachnoid haemorrhage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>: once aneurysm is secured (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e.g.coiled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or clipped),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as above.</w:t>
            </w:r>
          </w:p>
          <w:p w:rsidR="00017558" w:rsidRPr="00C450DB" w:rsidRDefault="00017558" w:rsidP="00567A94">
            <w:pPr>
              <w:pStyle w:val="BodyText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>Intracerebral</w:t>
            </w:r>
            <w:proofErr w:type="spellEnd"/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haemorrhage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: use of pharmacological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thromboprophylaxis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should be discussed with the referring neurosurgeon initially and at 14 days.</w:t>
            </w:r>
          </w:p>
          <w:p w:rsidR="00C450DB" w:rsidRPr="00C450DB" w:rsidRDefault="00017558" w:rsidP="00567A94">
            <w:pPr>
              <w:rPr>
                <w:rFonts w:ascii="Arial" w:hAnsi="Arial" w:cs="Arial"/>
                <w:color w:val="FF0000"/>
              </w:rPr>
            </w:pPr>
            <w:r w:rsidRPr="00C450DB">
              <w:rPr>
                <w:rFonts w:ascii="Arial" w:hAnsi="Arial" w:cs="Arial"/>
                <w:b/>
                <w:bCs/>
              </w:rPr>
              <w:t>Traumatic head injury</w:t>
            </w:r>
            <w:r w:rsidRPr="00C450DB">
              <w:rPr>
                <w:rFonts w:ascii="Arial" w:hAnsi="Arial" w:cs="Arial"/>
                <w:bCs/>
              </w:rPr>
              <w:t xml:space="preserve">: should not receive pharmacological </w:t>
            </w:r>
            <w:proofErr w:type="spellStart"/>
            <w:r w:rsidRPr="00C450DB">
              <w:rPr>
                <w:rFonts w:ascii="Arial" w:hAnsi="Arial" w:cs="Arial"/>
                <w:bCs/>
              </w:rPr>
              <w:t>thromboprophylaxis</w:t>
            </w:r>
            <w:proofErr w:type="spellEnd"/>
            <w:r w:rsidRPr="00C450DB">
              <w:rPr>
                <w:rFonts w:ascii="Arial" w:hAnsi="Arial" w:cs="Arial"/>
                <w:bCs/>
              </w:rPr>
              <w:t xml:space="preserve"> initially.</w:t>
            </w:r>
            <w:r w:rsidR="00C450DB" w:rsidRPr="00C450DB">
              <w:rPr>
                <w:rFonts w:ascii="Arial" w:hAnsi="Arial" w:cs="Arial"/>
                <w:color w:val="FF0000"/>
              </w:rPr>
              <w:t xml:space="preserve">VTE prophylaxis should be given within 48-72 hours of injury in stable* traumatic brain injury following discussion with the neurosurgery. </w:t>
            </w:r>
          </w:p>
          <w:p w:rsidR="00C450DB" w:rsidRPr="00C450DB" w:rsidRDefault="00C450DB" w:rsidP="00567A94">
            <w:pPr>
              <w:rPr>
                <w:rFonts w:ascii="Arial" w:hAnsi="Arial" w:cs="Arial"/>
                <w:color w:val="FF0000"/>
              </w:rPr>
            </w:pPr>
            <w:r w:rsidRPr="00C450DB">
              <w:rPr>
                <w:rFonts w:ascii="Arial" w:hAnsi="Arial" w:cs="Arial"/>
                <w:color w:val="FF0000"/>
              </w:rPr>
              <w:t>*clinical, radiological and/or monitoring parameters</w:t>
            </w:r>
            <w:r w:rsidR="008F0988">
              <w:rPr>
                <w:rFonts w:ascii="Arial" w:hAnsi="Arial" w:cs="Arial"/>
                <w:color w:val="FF0000"/>
              </w:rPr>
              <w:t>.</w:t>
            </w:r>
          </w:p>
          <w:p w:rsidR="008F0988" w:rsidRDefault="008F0988" w:rsidP="00567A94">
            <w:pPr>
              <w:pStyle w:val="BodyText2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017558" w:rsidRPr="00C450DB" w:rsidRDefault="00017558" w:rsidP="00567A94">
            <w:pPr>
              <w:pStyle w:val="BodyText2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>Elective neurosurgery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: All patients should receive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017558" w:rsidRPr="00C450DB" w:rsidRDefault="00017558" w:rsidP="00567A94">
            <w:pPr>
              <w:pStyle w:val="BodyText2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>Spinal cord injury</w:t>
            </w:r>
            <w:r w:rsidR="008F098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(SCI)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: All patients should receive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unless incomplete SCI associated with suspected or proven spinal haematoma.</w:t>
            </w:r>
          </w:p>
          <w:p w:rsidR="00017558" w:rsidRPr="00C450DB" w:rsidRDefault="00017558" w:rsidP="00567A94">
            <w:pPr>
              <w:pStyle w:val="BodyText2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>Haemorrhagic stroke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>: Use of aspirin and heparin should be discussed with the stroke team initially and at 14 days.</w:t>
            </w:r>
          </w:p>
          <w:p w:rsidR="00C450DB" w:rsidRPr="00C450DB" w:rsidRDefault="00017558" w:rsidP="00567A94">
            <w:pPr>
              <w:pStyle w:val="BodyText2"/>
              <w:rPr>
                <w:rFonts w:ascii="Arial" w:hAnsi="Arial" w:cs="Arial"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/>
                <w:bCs/>
                <w:sz w:val="24"/>
                <w:szCs w:val="24"/>
              </w:rPr>
              <w:t>Cerebral infarction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: If no thrombolysis given, aspirin 300mg should be considered immediately, then continued (300mg daily) for 2 weeks. If thrombolysis has been given, withhold aspirin for 24 hours. Discuss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with stroke team at 24 hours pos</w:t>
            </w:r>
            <w:r w:rsidR="00C450DB">
              <w:rPr>
                <w:rFonts w:ascii="Arial" w:hAnsi="Arial" w:cs="Arial"/>
                <w:bCs/>
                <w:sz w:val="24"/>
                <w:szCs w:val="24"/>
              </w:rPr>
              <w:t>t event for all stroke patient</w:t>
            </w:r>
            <w:r w:rsidR="008F0988">
              <w:rPr>
                <w:rFonts w:ascii="Arial" w:hAnsi="Arial" w:cs="Arial"/>
                <w:bCs/>
                <w:sz w:val="24"/>
                <w:szCs w:val="24"/>
              </w:rPr>
              <w:t>s.</w:t>
            </w:r>
          </w:p>
          <w:p w:rsidR="00C450DB" w:rsidRPr="00C450DB" w:rsidRDefault="00C450DB" w:rsidP="00567A94">
            <w:pPr>
              <w:pStyle w:val="BodyText2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C450DB" w:rsidRDefault="00C450DB" w:rsidP="00567A94">
            <w:pPr>
              <w:pStyle w:val="BodyText2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17558" w:rsidRPr="00C450DB" w:rsidRDefault="00017558" w:rsidP="00567A94">
            <w:pPr>
              <w:pStyle w:val="BodyText2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Cs/>
                <w:sz w:val="22"/>
                <w:szCs w:val="22"/>
              </w:rPr>
              <w:t>References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10"/>
              </w:numPr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Douketis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 J et al. Prophylaxis against deep vein thrombosis in critically ill patients with severe renal insufficiency with the low molecular-weight heparin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: an assessment of safety and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pharmacodynamics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>: the DIRECT study. Arch Intern Med. 2008;168(16):1805-12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10"/>
              </w:numPr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The PROTECT Investigators for the Canadian Critical Care Trials Group and the Australian and New Zealand Intensive Care Society Clinical Trials Group.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 versus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Unfractionated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 Heparin in Critically ill Patients. The New England Journal of Medicine. 2011</w:t>
            </w:r>
            <w:proofErr w:type="gram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;363:1305</w:t>
            </w:r>
            <w:proofErr w:type="gramEnd"/>
            <w:r w:rsidRPr="00C450DB">
              <w:rPr>
                <w:rFonts w:ascii="Arial" w:hAnsi="Arial" w:cs="Arial"/>
                <w:bCs/>
                <w:sz w:val="22"/>
                <w:szCs w:val="22"/>
              </w:rPr>
              <w:t>-1314.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10"/>
              </w:numPr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Park D et al. Treatment with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Dalteparin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 is associated with a lower risk of bleeding compared to treatment with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unfractionated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 heparin in patients with renal insufficiency. J Gen Intern Med. 2016 Feb</w:t>
            </w:r>
            <w:proofErr w:type="gram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;31</w:t>
            </w:r>
            <w:proofErr w:type="gramEnd"/>
            <w:r w:rsidRPr="00C450DB">
              <w:rPr>
                <w:rFonts w:ascii="Arial" w:hAnsi="Arial" w:cs="Arial"/>
                <w:bCs/>
                <w:sz w:val="22"/>
                <w:szCs w:val="22"/>
              </w:rPr>
              <w:t>(2):182-187.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10"/>
              </w:numPr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Cs/>
                <w:sz w:val="22"/>
                <w:szCs w:val="22"/>
              </w:rPr>
              <w:t>University Hospital Division Antithrombotic Guide (NHS Lothian). Version 4.1. October 2018.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10"/>
              </w:numPr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Scottish Intercollegiate Guidelines Network (SIGN).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Prohylaxis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 of Venous </w:t>
            </w:r>
            <w:proofErr w:type="spellStart"/>
            <w:r w:rsidRPr="00C450DB">
              <w:rPr>
                <w:rFonts w:ascii="Arial" w:hAnsi="Arial" w:cs="Arial"/>
                <w:bCs/>
                <w:sz w:val="22"/>
                <w:szCs w:val="22"/>
              </w:rPr>
              <w:t>Thromboembolism</w:t>
            </w:r>
            <w:proofErr w:type="spellEnd"/>
            <w:r w:rsidRPr="00C450DB">
              <w:rPr>
                <w:rFonts w:ascii="Arial" w:hAnsi="Arial" w:cs="Arial"/>
                <w:bCs/>
                <w:sz w:val="22"/>
                <w:szCs w:val="22"/>
              </w:rPr>
              <w:t xml:space="preserve">. Edinburgh:SIGN,2014.(SIGN publication no.122) </w:t>
            </w:r>
          </w:p>
          <w:p w:rsidR="00017558" w:rsidRPr="00C450DB" w:rsidRDefault="00017558" w:rsidP="00567A94">
            <w:pPr>
              <w:pStyle w:val="BodyText2"/>
              <w:numPr>
                <w:ilvl w:val="0"/>
                <w:numId w:val="10"/>
              </w:num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50DB">
              <w:rPr>
                <w:rFonts w:ascii="Arial" w:hAnsi="Arial" w:cs="Arial"/>
                <w:bCs/>
                <w:sz w:val="22"/>
                <w:szCs w:val="22"/>
              </w:rPr>
              <w:t>International Stroke Trial Collaborative Group. The International Stroke Trial (IST): a randomised trial of aspirin, subcutaneous</w:t>
            </w:r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heparin, both or neither among 19, 435 patients with acute </w:t>
            </w:r>
            <w:proofErr w:type="spellStart"/>
            <w:r w:rsidRPr="00C450DB">
              <w:rPr>
                <w:rFonts w:ascii="Arial" w:hAnsi="Arial" w:cs="Arial"/>
                <w:bCs/>
                <w:sz w:val="24"/>
                <w:szCs w:val="24"/>
              </w:rPr>
              <w:t>ischaemic</w:t>
            </w:r>
            <w:proofErr w:type="spellEnd"/>
            <w:r w:rsidRPr="00C450DB">
              <w:rPr>
                <w:rFonts w:ascii="Arial" w:hAnsi="Arial" w:cs="Arial"/>
                <w:bCs/>
                <w:sz w:val="24"/>
                <w:szCs w:val="24"/>
              </w:rPr>
              <w:t xml:space="preserve"> stroke. Lancet 1997:349:1569-81</w:t>
            </w:r>
          </w:p>
        </w:tc>
      </w:tr>
      <w:tr w:rsidR="00997FDB" w:rsidRPr="001C486D" w:rsidTr="00567A94">
        <w:trPr>
          <w:trHeight w:val="574"/>
        </w:trPr>
        <w:tc>
          <w:tcPr>
            <w:tcW w:w="568" w:type="dxa"/>
          </w:tcPr>
          <w:p w:rsidR="00997FDB" w:rsidRPr="00B66E1F" w:rsidRDefault="00997FDB" w:rsidP="00567A94">
            <w:pPr>
              <w:pStyle w:val="BodyText2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884" w:type="dxa"/>
          </w:tcPr>
          <w:p w:rsidR="007B2E20" w:rsidRPr="00967F76" w:rsidRDefault="007B2E20" w:rsidP="00567A94">
            <w:pPr>
              <w:pStyle w:val="BodyText2"/>
              <w:jc w:val="left"/>
              <w:rPr>
                <w:rFonts w:ascii="Arial" w:hAnsi="Arial" w:cs="Arial"/>
                <w:bCs/>
              </w:rPr>
            </w:pPr>
          </w:p>
        </w:tc>
      </w:tr>
    </w:tbl>
    <w:p w:rsidR="003E0A71" w:rsidRPr="003E0A71" w:rsidRDefault="00567A94" w:rsidP="000175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</w:r>
    </w:p>
    <w:sectPr w:rsidR="003E0A71" w:rsidRPr="003E0A71" w:rsidSect="00F54E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567" w:right="1134" w:bottom="567" w:left="720" w:header="709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A31" w:rsidRDefault="00EC7A31">
      <w:r>
        <w:separator/>
      </w:r>
    </w:p>
  </w:endnote>
  <w:endnote w:type="continuationSeparator" w:id="0">
    <w:p w:rsidR="00EC7A31" w:rsidRDefault="00EC7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E77" w:rsidRDefault="00F54E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7AA" w:rsidRPr="00A14CD5" w:rsidRDefault="002427AA" w:rsidP="00DB5DDC">
    <w:pPr>
      <w:rPr>
        <w:rFonts w:ascii="Arial" w:hAnsi="Arial" w:cs="Arial"/>
        <w:b/>
        <w:sz w:val="22"/>
        <w:szCs w:val="22"/>
      </w:rPr>
    </w:pPr>
    <w:r>
      <w:t xml:space="preserve">                       </w:t>
    </w:r>
  </w:p>
  <w:tbl>
    <w:tblPr>
      <w:tblpPr w:leftFromText="180" w:rightFromText="180" w:vertAnchor="text" w:horzAnchor="margin" w:tblpXSpec="center" w:tblpY="20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4261"/>
      <w:gridCol w:w="6337"/>
    </w:tblGrid>
    <w:tr w:rsidR="002427AA" w:rsidTr="00017558">
      <w:tc>
        <w:tcPr>
          <w:tcW w:w="1059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DB5DDC">
          <w:pPr>
            <w:tabs>
              <w:tab w:val="left" w:pos="945"/>
            </w:tabs>
            <w:rPr>
              <w:rFonts w:ascii="Arial" w:hAnsi="Arial" w:cs="Arial"/>
              <w:b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 xml:space="preserve">Title: </w:t>
          </w:r>
          <w:r w:rsidRPr="005F60D8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 xml:space="preserve"> VTE prophylaxis</w:t>
          </w:r>
        </w:p>
      </w:tc>
    </w:tr>
    <w:tr w:rsidR="002427AA" w:rsidTr="00017558">
      <w:tc>
        <w:tcPr>
          <w:tcW w:w="4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1B2BE0">
          <w:pPr>
            <w:tabs>
              <w:tab w:val="left" w:pos="945"/>
            </w:tabs>
            <w:rPr>
              <w:rFonts w:ascii="Arial" w:hAnsi="Arial" w:cs="Arial"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 xml:space="preserve">ID: </w:t>
          </w:r>
          <w:r w:rsidRPr="005F60D8">
            <w:rPr>
              <w:rFonts w:ascii="Arial" w:hAnsi="Arial" w:cs="Arial"/>
              <w:bCs/>
              <w:sz w:val="20"/>
              <w:szCs w:val="20"/>
            </w:rPr>
            <w:t xml:space="preserve">  </w:t>
          </w:r>
        </w:p>
      </w:tc>
      <w:tc>
        <w:tcPr>
          <w:tcW w:w="63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8F4ED1">
          <w:pPr>
            <w:tabs>
              <w:tab w:val="left" w:pos="945"/>
            </w:tabs>
            <w:rPr>
              <w:rFonts w:ascii="Arial" w:hAnsi="Arial" w:cs="Arial"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>Authors</w:t>
          </w:r>
          <w:r w:rsidRPr="005F60D8">
            <w:rPr>
              <w:rFonts w:ascii="Arial" w:hAnsi="Arial" w:cs="Arial"/>
              <w:bCs/>
              <w:sz w:val="20"/>
              <w:szCs w:val="20"/>
            </w:rPr>
            <w:t xml:space="preserve">:  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Dr </w:t>
          </w:r>
          <w:r w:rsidRPr="005F60D8">
            <w:rPr>
              <w:rFonts w:ascii="Arial" w:hAnsi="Arial" w:cs="Arial"/>
              <w:bCs/>
              <w:sz w:val="20"/>
              <w:szCs w:val="20"/>
            </w:rPr>
            <w:t>K Kefala,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 Dr J Anderson, Dr A Page, Dr D Kerslake, C Hannah</w:t>
          </w:r>
        </w:p>
      </w:tc>
    </w:tr>
    <w:tr w:rsidR="002427AA" w:rsidTr="00017558">
      <w:tc>
        <w:tcPr>
          <w:tcW w:w="4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1B2BE0">
          <w:pPr>
            <w:tabs>
              <w:tab w:val="left" w:pos="945"/>
            </w:tabs>
            <w:rPr>
              <w:rFonts w:ascii="Arial" w:hAnsi="Arial" w:cs="Arial"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 xml:space="preserve">Status Draft/Final: </w:t>
          </w:r>
          <w:r>
            <w:rPr>
              <w:rFonts w:ascii="Arial" w:hAnsi="Arial" w:cs="Arial"/>
              <w:bCs/>
              <w:sz w:val="20"/>
              <w:szCs w:val="20"/>
            </w:rPr>
            <w:t>FINAL (Version 1.0)</w:t>
          </w:r>
        </w:p>
      </w:tc>
      <w:tc>
        <w:tcPr>
          <w:tcW w:w="63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1B2BE0">
          <w:pPr>
            <w:tabs>
              <w:tab w:val="left" w:pos="945"/>
            </w:tabs>
            <w:rPr>
              <w:rFonts w:ascii="Arial" w:hAnsi="Arial" w:cs="Arial"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 xml:space="preserve">Approved by: </w:t>
          </w:r>
          <w:r w:rsidRPr="009C36A1">
            <w:rPr>
              <w:rFonts w:ascii="Arial" w:hAnsi="Arial" w:cs="Arial"/>
              <w:bCs/>
              <w:sz w:val="20"/>
              <w:szCs w:val="20"/>
            </w:rPr>
            <w:t>Lothian Critical Care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5F60D8">
            <w:rPr>
              <w:rFonts w:ascii="Arial" w:hAnsi="Arial" w:cs="Arial"/>
              <w:bCs/>
              <w:sz w:val="20"/>
              <w:szCs w:val="20"/>
            </w:rPr>
            <w:t>QIT editorial group</w:t>
          </w:r>
        </w:p>
      </w:tc>
    </w:tr>
    <w:tr w:rsidR="002427AA" w:rsidTr="00017558">
      <w:tc>
        <w:tcPr>
          <w:tcW w:w="4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1B2BE0">
          <w:pPr>
            <w:tabs>
              <w:tab w:val="left" w:pos="945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5F60D8" w:rsidRDefault="002427AA" w:rsidP="00453954">
          <w:pPr>
            <w:tabs>
              <w:tab w:val="left" w:pos="945"/>
            </w:tabs>
            <w:rPr>
              <w:rFonts w:ascii="Arial" w:hAnsi="Arial" w:cs="Arial"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>Written: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 April 2020</w:t>
          </w:r>
        </w:p>
      </w:tc>
    </w:tr>
    <w:tr w:rsidR="002427AA" w:rsidTr="00017558">
      <w:tc>
        <w:tcPr>
          <w:tcW w:w="4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9C36A1" w:rsidRDefault="002427AA" w:rsidP="001B2BE0">
          <w:pPr>
            <w:tabs>
              <w:tab w:val="left" w:pos="945"/>
            </w:tabs>
            <w:rPr>
              <w:rFonts w:ascii="Arial" w:hAnsi="Arial" w:cs="Arial"/>
              <w:bCs/>
              <w:sz w:val="20"/>
              <w:szCs w:val="20"/>
            </w:rPr>
          </w:pPr>
          <w:r w:rsidRPr="005F60D8">
            <w:rPr>
              <w:rFonts w:ascii="Arial" w:hAnsi="Arial" w:cs="Arial"/>
              <w:b/>
              <w:bCs/>
              <w:sz w:val="20"/>
              <w:szCs w:val="20"/>
            </w:rPr>
            <w:t>Reviewed on: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C450DB">
            <w:rPr>
              <w:rFonts w:ascii="Arial" w:hAnsi="Arial" w:cs="Arial"/>
              <w:bCs/>
              <w:sz w:val="20"/>
              <w:szCs w:val="20"/>
            </w:rPr>
            <w:t>November 2020</w:t>
          </w:r>
        </w:p>
      </w:tc>
      <w:tc>
        <w:tcPr>
          <w:tcW w:w="63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27AA" w:rsidRPr="009C36A1" w:rsidRDefault="002427AA" w:rsidP="004E11F0">
          <w:pPr>
            <w:tabs>
              <w:tab w:val="left" w:pos="945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Next review :</w:t>
          </w:r>
          <w:r>
            <w:rPr>
              <w:rFonts w:ascii="Arial" w:hAnsi="Arial" w:cs="Arial"/>
              <w:bCs/>
              <w:sz w:val="20"/>
              <w:szCs w:val="20"/>
            </w:rPr>
            <w:t>November 2022</w:t>
          </w:r>
        </w:p>
      </w:tc>
    </w:tr>
  </w:tbl>
  <w:p w:rsidR="002427AA" w:rsidRPr="00833891" w:rsidRDefault="002427AA" w:rsidP="00DB5DDC">
    <w:pPr>
      <w:jc w:val="center"/>
      <w:rPr>
        <w:b/>
      </w:rPr>
    </w:pPr>
  </w:p>
  <w:p w:rsidR="002427AA" w:rsidRDefault="002427AA">
    <w:pPr>
      <w:pStyle w:val="Footer"/>
    </w:pPr>
  </w:p>
  <w:p w:rsidR="002427AA" w:rsidRDefault="002427AA" w:rsidP="00B66E1F"/>
  <w:p w:rsidR="002427AA" w:rsidRPr="00ED7FBD" w:rsidRDefault="002427AA" w:rsidP="00170C04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E77" w:rsidRDefault="00F54E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A31" w:rsidRDefault="00EC7A31">
      <w:r>
        <w:separator/>
      </w:r>
    </w:p>
  </w:footnote>
  <w:footnote w:type="continuationSeparator" w:id="0">
    <w:p w:rsidR="00EC7A31" w:rsidRDefault="00EC7A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E77" w:rsidRDefault="00F54E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A94" w:rsidRPr="00567A94" w:rsidRDefault="00567A94" w:rsidP="00567A94">
    <w:pPr>
      <w:pStyle w:val="Header"/>
      <w:jc w:val="center"/>
      <w:rPr>
        <w:rFonts w:ascii="Arial" w:hAnsi="Arial" w:cs="Arial"/>
      </w:rPr>
    </w:pPr>
    <w:r w:rsidRPr="00567A94">
      <w:rPr>
        <w:rFonts w:ascii="Arial" w:hAnsi="Arial" w:cs="Arial"/>
      </w:rPr>
      <w:t>FOR CRITICAL CARE USE ONLY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E77" w:rsidRDefault="00F54E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77F0"/>
    <w:multiLevelType w:val="hybridMultilevel"/>
    <w:tmpl w:val="FF1C5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BA6"/>
    <w:multiLevelType w:val="hybridMultilevel"/>
    <w:tmpl w:val="8736929A"/>
    <w:lvl w:ilvl="0" w:tplc="5AC467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07D4F"/>
    <w:multiLevelType w:val="hybridMultilevel"/>
    <w:tmpl w:val="280A8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E2210"/>
    <w:multiLevelType w:val="hybridMultilevel"/>
    <w:tmpl w:val="5FB070A4"/>
    <w:lvl w:ilvl="0" w:tplc="A4CA5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53CD5"/>
    <w:multiLevelType w:val="hybridMultilevel"/>
    <w:tmpl w:val="E3FCF62E"/>
    <w:lvl w:ilvl="0" w:tplc="2384E856">
      <w:numFmt w:val="bullet"/>
      <w:lvlText w:val=""/>
      <w:lvlJc w:val="left"/>
      <w:pPr>
        <w:ind w:left="237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>
    <w:nsid w:val="29234FB4"/>
    <w:multiLevelType w:val="hybridMultilevel"/>
    <w:tmpl w:val="F09E7C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04748"/>
    <w:multiLevelType w:val="hybridMultilevel"/>
    <w:tmpl w:val="4B72D7A2"/>
    <w:lvl w:ilvl="0" w:tplc="110E83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9292C"/>
    <w:multiLevelType w:val="hybridMultilevel"/>
    <w:tmpl w:val="85AC7996"/>
    <w:lvl w:ilvl="0" w:tplc="5AC467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2771D"/>
    <w:multiLevelType w:val="hybridMultilevel"/>
    <w:tmpl w:val="EDFA1468"/>
    <w:lvl w:ilvl="0" w:tplc="C2E8E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443EE"/>
    <w:multiLevelType w:val="hybridMultilevel"/>
    <w:tmpl w:val="7EE44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F46D6"/>
    <w:multiLevelType w:val="hybridMultilevel"/>
    <w:tmpl w:val="C936CBA4"/>
    <w:lvl w:ilvl="0" w:tplc="9C527A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FB45DC"/>
    <w:multiLevelType w:val="hybridMultilevel"/>
    <w:tmpl w:val="933AACCA"/>
    <w:lvl w:ilvl="0" w:tplc="5AC467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8628F"/>
    <w:multiLevelType w:val="hybridMultilevel"/>
    <w:tmpl w:val="B51A1758"/>
    <w:lvl w:ilvl="0" w:tplc="9B601AC0">
      <w:start w:val="10"/>
      <w:numFmt w:val="bullet"/>
      <w:lvlText w:val=""/>
      <w:lvlJc w:val="left"/>
      <w:pPr>
        <w:ind w:left="405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4D422C48"/>
    <w:multiLevelType w:val="hybridMultilevel"/>
    <w:tmpl w:val="EBEC5F5E"/>
    <w:lvl w:ilvl="0" w:tplc="5AC467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748AC"/>
    <w:multiLevelType w:val="hybridMultilevel"/>
    <w:tmpl w:val="947E27B0"/>
    <w:lvl w:ilvl="0" w:tplc="C2E8E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324E5"/>
    <w:multiLevelType w:val="hybridMultilevel"/>
    <w:tmpl w:val="1B32CA0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8F87301"/>
    <w:multiLevelType w:val="hybridMultilevel"/>
    <w:tmpl w:val="9F865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8471C2"/>
    <w:multiLevelType w:val="hybridMultilevel"/>
    <w:tmpl w:val="EA4848DE"/>
    <w:lvl w:ilvl="0" w:tplc="5AC4672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E3A2CF4"/>
    <w:multiLevelType w:val="hybridMultilevel"/>
    <w:tmpl w:val="B3EC177A"/>
    <w:lvl w:ilvl="0" w:tplc="6F629BA0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6F5375"/>
    <w:multiLevelType w:val="hybridMultilevel"/>
    <w:tmpl w:val="A52E50B4"/>
    <w:lvl w:ilvl="0" w:tplc="0560A904">
      <w:start w:val="25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27B44"/>
    <w:multiLevelType w:val="hybridMultilevel"/>
    <w:tmpl w:val="66346000"/>
    <w:lvl w:ilvl="0" w:tplc="5AC467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734A4"/>
    <w:multiLevelType w:val="hybridMultilevel"/>
    <w:tmpl w:val="DFF08D56"/>
    <w:lvl w:ilvl="0" w:tplc="C2E8ED0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C67E72"/>
    <w:multiLevelType w:val="hybridMultilevel"/>
    <w:tmpl w:val="7F2E81E6"/>
    <w:lvl w:ilvl="0" w:tplc="5AC467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E2A8C"/>
    <w:multiLevelType w:val="hybridMultilevel"/>
    <w:tmpl w:val="C5B40178"/>
    <w:lvl w:ilvl="0" w:tplc="4FD86A5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7"/>
  </w:num>
  <w:num w:numId="6">
    <w:abstractNumId w:val="5"/>
  </w:num>
  <w:num w:numId="7">
    <w:abstractNumId w:val="15"/>
  </w:num>
  <w:num w:numId="8">
    <w:abstractNumId w:val="10"/>
  </w:num>
  <w:num w:numId="9">
    <w:abstractNumId w:val="3"/>
  </w:num>
  <w:num w:numId="10">
    <w:abstractNumId w:val="6"/>
  </w:num>
  <w:num w:numId="11">
    <w:abstractNumId w:val="23"/>
  </w:num>
  <w:num w:numId="12">
    <w:abstractNumId w:val="12"/>
  </w:num>
  <w:num w:numId="13">
    <w:abstractNumId w:val="20"/>
  </w:num>
  <w:num w:numId="14">
    <w:abstractNumId w:val="22"/>
  </w:num>
  <w:num w:numId="15">
    <w:abstractNumId w:val="11"/>
  </w:num>
  <w:num w:numId="16">
    <w:abstractNumId w:val="14"/>
  </w:num>
  <w:num w:numId="17">
    <w:abstractNumId w:val="8"/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3"/>
  </w:num>
  <w:num w:numId="21">
    <w:abstractNumId w:val="7"/>
  </w:num>
  <w:num w:numId="22">
    <w:abstractNumId w:val="9"/>
  </w:num>
  <w:num w:numId="23">
    <w:abstractNumId w:val="0"/>
  </w:num>
  <w:num w:numId="24">
    <w:abstractNumId w:val="2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837FE7"/>
    <w:rsid w:val="0000361E"/>
    <w:rsid w:val="00003788"/>
    <w:rsid w:val="000123F8"/>
    <w:rsid w:val="00013BD0"/>
    <w:rsid w:val="00017558"/>
    <w:rsid w:val="00024041"/>
    <w:rsid w:val="00042D28"/>
    <w:rsid w:val="00055607"/>
    <w:rsid w:val="000632D7"/>
    <w:rsid w:val="00077E1A"/>
    <w:rsid w:val="000870DF"/>
    <w:rsid w:val="000A4123"/>
    <w:rsid w:val="000C70F0"/>
    <w:rsid w:val="000F3F68"/>
    <w:rsid w:val="000F523D"/>
    <w:rsid w:val="00101F25"/>
    <w:rsid w:val="001070F7"/>
    <w:rsid w:val="00113ACD"/>
    <w:rsid w:val="00122831"/>
    <w:rsid w:val="00125C9A"/>
    <w:rsid w:val="00132D9F"/>
    <w:rsid w:val="00136187"/>
    <w:rsid w:val="00144CE9"/>
    <w:rsid w:val="00170C04"/>
    <w:rsid w:val="001804C5"/>
    <w:rsid w:val="00193015"/>
    <w:rsid w:val="001B1ED9"/>
    <w:rsid w:val="001B2BE0"/>
    <w:rsid w:val="001C486D"/>
    <w:rsid w:val="001D4E22"/>
    <w:rsid w:val="001E0301"/>
    <w:rsid w:val="002019AE"/>
    <w:rsid w:val="00204C9C"/>
    <w:rsid w:val="00241F21"/>
    <w:rsid w:val="002427AA"/>
    <w:rsid w:val="00265101"/>
    <w:rsid w:val="00277050"/>
    <w:rsid w:val="002817D0"/>
    <w:rsid w:val="00286A3E"/>
    <w:rsid w:val="00290790"/>
    <w:rsid w:val="002B3F9E"/>
    <w:rsid w:val="002B47FF"/>
    <w:rsid w:val="002C70A5"/>
    <w:rsid w:val="002D59E6"/>
    <w:rsid w:val="003035A2"/>
    <w:rsid w:val="003039B4"/>
    <w:rsid w:val="00303FFB"/>
    <w:rsid w:val="00306FFE"/>
    <w:rsid w:val="00307662"/>
    <w:rsid w:val="00310CCE"/>
    <w:rsid w:val="00315EC4"/>
    <w:rsid w:val="003412F3"/>
    <w:rsid w:val="00341FE7"/>
    <w:rsid w:val="00342A8D"/>
    <w:rsid w:val="003476A8"/>
    <w:rsid w:val="003505A7"/>
    <w:rsid w:val="00363B0F"/>
    <w:rsid w:val="00370992"/>
    <w:rsid w:val="00371193"/>
    <w:rsid w:val="00390DB2"/>
    <w:rsid w:val="003B29A4"/>
    <w:rsid w:val="003D0CDB"/>
    <w:rsid w:val="003D6206"/>
    <w:rsid w:val="003E0A71"/>
    <w:rsid w:val="003E0BE2"/>
    <w:rsid w:val="003F4125"/>
    <w:rsid w:val="00401C4A"/>
    <w:rsid w:val="0040676F"/>
    <w:rsid w:val="004112ED"/>
    <w:rsid w:val="00415DA7"/>
    <w:rsid w:val="0043076D"/>
    <w:rsid w:val="00437804"/>
    <w:rsid w:val="00437B8F"/>
    <w:rsid w:val="00443A05"/>
    <w:rsid w:val="004474C7"/>
    <w:rsid w:val="00453954"/>
    <w:rsid w:val="00470336"/>
    <w:rsid w:val="00474E5B"/>
    <w:rsid w:val="00482458"/>
    <w:rsid w:val="004846B4"/>
    <w:rsid w:val="004849C5"/>
    <w:rsid w:val="00491A7E"/>
    <w:rsid w:val="004A4306"/>
    <w:rsid w:val="004A7B89"/>
    <w:rsid w:val="004B0948"/>
    <w:rsid w:val="004E11F0"/>
    <w:rsid w:val="004E477C"/>
    <w:rsid w:val="004E5A82"/>
    <w:rsid w:val="004F3BA5"/>
    <w:rsid w:val="004F7FF8"/>
    <w:rsid w:val="005009CE"/>
    <w:rsid w:val="00515B69"/>
    <w:rsid w:val="00521F7D"/>
    <w:rsid w:val="005312EF"/>
    <w:rsid w:val="00541F27"/>
    <w:rsid w:val="0054693A"/>
    <w:rsid w:val="005568DD"/>
    <w:rsid w:val="0056486B"/>
    <w:rsid w:val="00567A94"/>
    <w:rsid w:val="005826C5"/>
    <w:rsid w:val="00595978"/>
    <w:rsid w:val="005B5D40"/>
    <w:rsid w:val="005C19ED"/>
    <w:rsid w:val="005C39E6"/>
    <w:rsid w:val="005D53D3"/>
    <w:rsid w:val="005D616E"/>
    <w:rsid w:val="005F60D8"/>
    <w:rsid w:val="00601919"/>
    <w:rsid w:val="00653CD5"/>
    <w:rsid w:val="006544D2"/>
    <w:rsid w:val="006632AB"/>
    <w:rsid w:val="00664EC0"/>
    <w:rsid w:val="0067170E"/>
    <w:rsid w:val="00681BAB"/>
    <w:rsid w:val="00685086"/>
    <w:rsid w:val="006A42AA"/>
    <w:rsid w:val="006B2B4D"/>
    <w:rsid w:val="006C024B"/>
    <w:rsid w:val="006C4298"/>
    <w:rsid w:val="006C73CE"/>
    <w:rsid w:val="007015E5"/>
    <w:rsid w:val="0070171D"/>
    <w:rsid w:val="007152D5"/>
    <w:rsid w:val="00716356"/>
    <w:rsid w:val="007252CB"/>
    <w:rsid w:val="00737363"/>
    <w:rsid w:val="007560F3"/>
    <w:rsid w:val="00756D46"/>
    <w:rsid w:val="00772E42"/>
    <w:rsid w:val="00784A87"/>
    <w:rsid w:val="007952B8"/>
    <w:rsid w:val="007A4C9A"/>
    <w:rsid w:val="007A5813"/>
    <w:rsid w:val="007A5899"/>
    <w:rsid w:val="007A6843"/>
    <w:rsid w:val="007B2E20"/>
    <w:rsid w:val="007B7E1D"/>
    <w:rsid w:val="007F0FC3"/>
    <w:rsid w:val="007F5CBB"/>
    <w:rsid w:val="008172BA"/>
    <w:rsid w:val="00824F95"/>
    <w:rsid w:val="00837A10"/>
    <w:rsid w:val="00837FE7"/>
    <w:rsid w:val="00841787"/>
    <w:rsid w:val="00864783"/>
    <w:rsid w:val="00876018"/>
    <w:rsid w:val="00876CC2"/>
    <w:rsid w:val="008C53C6"/>
    <w:rsid w:val="008F0988"/>
    <w:rsid w:val="008F375F"/>
    <w:rsid w:val="008F39A0"/>
    <w:rsid w:val="008F4ED1"/>
    <w:rsid w:val="008F6543"/>
    <w:rsid w:val="00901923"/>
    <w:rsid w:val="0091290F"/>
    <w:rsid w:val="00912ECA"/>
    <w:rsid w:val="00913150"/>
    <w:rsid w:val="009159CD"/>
    <w:rsid w:val="00943BC6"/>
    <w:rsid w:val="00945B9E"/>
    <w:rsid w:val="009562E0"/>
    <w:rsid w:val="00967F76"/>
    <w:rsid w:val="00970F72"/>
    <w:rsid w:val="00971D9F"/>
    <w:rsid w:val="009745DC"/>
    <w:rsid w:val="00975F75"/>
    <w:rsid w:val="0098721A"/>
    <w:rsid w:val="009928E5"/>
    <w:rsid w:val="00993562"/>
    <w:rsid w:val="00997FDB"/>
    <w:rsid w:val="009C36A1"/>
    <w:rsid w:val="009C4C9F"/>
    <w:rsid w:val="009D2BC7"/>
    <w:rsid w:val="009E4AC0"/>
    <w:rsid w:val="00A0371D"/>
    <w:rsid w:val="00A05B30"/>
    <w:rsid w:val="00A128B4"/>
    <w:rsid w:val="00A40305"/>
    <w:rsid w:val="00A428A3"/>
    <w:rsid w:val="00A61A02"/>
    <w:rsid w:val="00A720FA"/>
    <w:rsid w:val="00A72A54"/>
    <w:rsid w:val="00A779CB"/>
    <w:rsid w:val="00A851B7"/>
    <w:rsid w:val="00A9192F"/>
    <w:rsid w:val="00A976B9"/>
    <w:rsid w:val="00AA114F"/>
    <w:rsid w:val="00AA3A8B"/>
    <w:rsid w:val="00AA664E"/>
    <w:rsid w:val="00AB1AF5"/>
    <w:rsid w:val="00AD14F0"/>
    <w:rsid w:val="00AD6216"/>
    <w:rsid w:val="00AF243A"/>
    <w:rsid w:val="00B31A36"/>
    <w:rsid w:val="00B356EA"/>
    <w:rsid w:val="00B375C4"/>
    <w:rsid w:val="00B41DE3"/>
    <w:rsid w:val="00B425FF"/>
    <w:rsid w:val="00B429B8"/>
    <w:rsid w:val="00B6669D"/>
    <w:rsid w:val="00B66E1F"/>
    <w:rsid w:val="00B67D04"/>
    <w:rsid w:val="00B7217E"/>
    <w:rsid w:val="00B759AA"/>
    <w:rsid w:val="00B80E80"/>
    <w:rsid w:val="00B846E5"/>
    <w:rsid w:val="00B90F42"/>
    <w:rsid w:val="00B94DE5"/>
    <w:rsid w:val="00BC2207"/>
    <w:rsid w:val="00BE46C6"/>
    <w:rsid w:val="00BE785A"/>
    <w:rsid w:val="00C04887"/>
    <w:rsid w:val="00C104F4"/>
    <w:rsid w:val="00C14195"/>
    <w:rsid w:val="00C23015"/>
    <w:rsid w:val="00C23E0F"/>
    <w:rsid w:val="00C27C89"/>
    <w:rsid w:val="00C450DB"/>
    <w:rsid w:val="00C46E8A"/>
    <w:rsid w:val="00C55FF6"/>
    <w:rsid w:val="00C6058C"/>
    <w:rsid w:val="00C614EC"/>
    <w:rsid w:val="00C82017"/>
    <w:rsid w:val="00C86A0A"/>
    <w:rsid w:val="00CA45A8"/>
    <w:rsid w:val="00CA638D"/>
    <w:rsid w:val="00CA7FF8"/>
    <w:rsid w:val="00CB159E"/>
    <w:rsid w:val="00CB4784"/>
    <w:rsid w:val="00CC5C22"/>
    <w:rsid w:val="00CD2B26"/>
    <w:rsid w:val="00CE4FC7"/>
    <w:rsid w:val="00CE736F"/>
    <w:rsid w:val="00D038BC"/>
    <w:rsid w:val="00D21E0E"/>
    <w:rsid w:val="00D22E40"/>
    <w:rsid w:val="00D50B48"/>
    <w:rsid w:val="00D608AA"/>
    <w:rsid w:val="00D67FC4"/>
    <w:rsid w:val="00DB5DDC"/>
    <w:rsid w:val="00DC1B06"/>
    <w:rsid w:val="00DD4D33"/>
    <w:rsid w:val="00DE4892"/>
    <w:rsid w:val="00DF4BC3"/>
    <w:rsid w:val="00E3335A"/>
    <w:rsid w:val="00E47B30"/>
    <w:rsid w:val="00E66B7F"/>
    <w:rsid w:val="00E720F5"/>
    <w:rsid w:val="00E742ED"/>
    <w:rsid w:val="00E767D0"/>
    <w:rsid w:val="00EB523B"/>
    <w:rsid w:val="00EC19AA"/>
    <w:rsid w:val="00EC2E10"/>
    <w:rsid w:val="00EC7A31"/>
    <w:rsid w:val="00ED7FBD"/>
    <w:rsid w:val="00EE200A"/>
    <w:rsid w:val="00EE4FEB"/>
    <w:rsid w:val="00EE5290"/>
    <w:rsid w:val="00EE6050"/>
    <w:rsid w:val="00F53856"/>
    <w:rsid w:val="00F54E77"/>
    <w:rsid w:val="00F82351"/>
    <w:rsid w:val="00F86DF8"/>
    <w:rsid w:val="00F86E7B"/>
    <w:rsid w:val="00FA0B98"/>
    <w:rsid w:val="00FA3578"/>
    <w:rsid w:val="00FB336D"/>
    <w:rsid w:val="00FC2A9F"/>
    <w:rsid w:val="00FC68D7"/>
    <w:rsid w:val="00FD48C0"/>
    <w:rsid w:val="00FD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7FF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81BAB"/>
    <w:pPr>
      <w:keepNext/>
      <w:ind w:right="-1"/>
      <w:jc w:val="center"/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rsid w:val="00681BAB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681BAB"/>
    <w:pPr>
      <w:keepNext/>
      <w:jc w:val="center"/>
      <w:outlineLvl w:val="2"/>
    </w:pPr>
    <w:rPr>
      <w:rFonts w:ascii="Century Gothic" w:hAnsi="Century Gothic"/>
      <w:b/>
      <w:bCs/>
      <w:u w:val="single"/>
    </w:rPr>
  </w:style>
  <w:style w:type="paragraph" w:styleId="Heading4">
    <w:name w:val="heading 4"/>
    <w:basedOn w:val="Normal"/>
    <w:next w:val="Normal"/>
    <w:qFormat/>
    <w:rsid w:val="00681BAB"/>
    <w:pPr>
      <w:keepNext/>
      <w:ind w:left="2835" w:hanging="2835"/>
      <w:jc w:val="center"/>
      <w:outlineLvl w:val="3"/>
    </w:pPr>
    <w:rPr>
      <w:rFonts w:ascii="Century Gothic" w:hAnsi="Century Gothic" w:cs="Arial"/>
      <w:b/>
      <w:bCs/>
      <w:color w:val="FF0000"/>
      <w:sz w:val="32"/>
      <w:u w:val="single"/>
    </w:rPr>
  </w:style>
  <w:style w:type="paragraph" w:styleId="Heading5">
    <w:name w:val="heading 5"/>
    <w:basedOn w:val="Normal"/>
    <w:next w:val="Normal"/>
    <w:qFormat/>
    <w:rsid w:val="00681BAB"/>
    <w:pPr>
      <w:keepNext/>
      <w:outlineLvl w:val="4"/>
    </w:pPr>
    <w:rPr>
      <w:rFonts w:ascii="Century Gothic" w:hAnsi="Century Gothic" w:cs="Arial"/>
      <w:b/>
      <w:bCs/>
      <w:color w:val="FF0000"/>
      <w:sz w:val="22"/>
    </w:rPr>
  </w:style>
  <w:style w:type="paragraph" w:styleId="Heading6">
    <w:name w:val="heading 6"/>
    <w:basedOn w:val="Normal"/>
    <w:next w:val="Normal"/>
    <w:qFormat/>
    <w:rsid w:val="00681BAB"/>
    <w:pPr>
      <w:keepNext/>
      <w:outlineLvl w:val="5"/>
    </w:pPr>
    <w:rPr>
      <w:rFonts w:ascii="Century Gothic" w:hAnsi="Century Gothic" w:cs="Arial"/>
      <w:b/>
      <w:bCs/>
      <w:color w:val="FF0000"/>
      <w:sz w:val="19"/>
    </w:rPr>
  </w:style>
  <w:style w:type="paragraph" w:styleId="Heading7">
    <w:name w:val="heading 7"/>
    <w:basedOn w:val="Normal"/>
    <w:next w:val="Normal"/>
    <w:qFormat/>
    <w:rsid w:val="00681BAB"/>
    <w:pPr>
      <w:keepNext/>
      <w:ind w:left="2835" w:hanging="2835"/>
      <w:outlineLvl w:val="6"/>
    </w:pPr>
    <w:rPr>
      <w:rFonts w:ascii="Comic Sans MS" w:hAnsi="Comic Sans MS" w:cs="Arial"/>
      <w:b/>
      <w:bCs/>
      <w:color w:val="FF0000"/>
      <w:sz w:val="28"/>
    </w:rPr>
  </w:style>
  <w:style w:type="paragraph" w:styleId="Heading8">
    <w:name w:val="heading 8"/>
    <w:basedOn w:val="Normal"/>
    <w:next w:val="Normal"/>
    <w:qFormat/>
    <w:rsid w:val="00681BAB"/>
    <w:pPr>
      <w:keepNext/>
      <w:jc w:val="center"/>
      <w:outlineLvl w:val="7"/>
    </w:pPr>
    <w:rPr>
      <w:rFonts w:ascii="Comic Sans MS" w:hAnsi="Comic Sans MS"/>
      <w:b/>
      <w:bCs/>
      <w:color w:val="FF6600"/>
      <w:sz w:val="28"/>
    </w:rPr>
  </w:style>
  <w:style w:type="paragraph" w:styleId="Heading9">
    <w:name w:val="heading 9"/>
    <w:basedOn w:val="Normal"/>
    <w:next w:val="Normal"/>
    <w:qFormat/>
    <w:rsid w:val="00681BAB"/>
    <w:pPr>
      <w:keepNext/>
      <w:ind w:right="-1"/>
      <w:outlineLvl w:val="8"/>
    </w:pPr>
    <w:rPr>
      <w:rFonts w:ascii="Comic Sans MS" w:hAnsi="Comic Sans MS" w:cs="Arial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81BAB"/>
    <w:pPr>
      <w:jc w:val="both"/>
    </w:pPr>
    <w:rPr>
      <w:rFonts w:ascii="Century Gothic" w:hAnsi="Century Gothic"/>
      <w:sz w:val="20"/>
      <w:szCs w:val="20"/>
    </w:rPr>
  </w:style>
  <w:style w:type="paragraph" w:styleId="BodyTextIndent">
    <w:name w:val="Body Text Indent"/>
    <w:basedOn w:val="Normal"/>
    <w:rsid w:val="00681BAB"/>
    <w:pPr>
      <w:ind w:left="720" w:hanging="720"/>
      <w:jc w:val="both"/>
    </w:pPr>
    <w:rPr>
      <w:rFonts w:ascii="Arial" w:hAnsi="Arial" w:cs="Arial"/>
      <w:sz w:val="20"/>
    </w:rPr>
  </w:style>
  <w:style w:type="paragraph" w:styleId="BodyText">
    <w:name w:val="Body Text"/>
    <w:basedOn w:val="Normal"/>
    <w:rsid w:val="00681BAB"/>
    <w:rPr>
      <w:rFonts w:ascii="Arial" w:hAnsi="Arial" w:cs="Arial"/>
      <w:b/>
      <w:bCs/>
      <w:sz w:val="20"/>
    </w:rPr>
  </w:style>
  <w:style w:type="paragraph" w:styleId="BodyText3">
    <w:name w:val="Body Text 3"/>
    <w:basedOn w:val="Normal"/>
    <w:rsid w:val="00681BAB"/>
    <w:rPr>
      <w:rFonts w:ascii="Century Gothic" w:hAnsi="Century Gothic"/>
      <w:sz w:val="20"/>
    </w:rPr>
  </w:style>
  <w:style w:type="paragraph" w:styleId="Header">
    <w:name w:val="header"/>
    <w:basedOn w:val="Normal"/>
    <w:link w:val="HeaderChar"/>
    <w:uiPriority w:val="99"/>
    <w:rsid w:val="00681B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81BAB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681BAB"/>
    <w:pPr>
      <w:jc w:val="center"/>
    </w:pPr>
    <w:rPr>
      <w:b/>
      <w:bCs/>
      <w:sz w:val="28"/>
      <w:szCs w:val="28"/>
    </w:rPr>
  </w:style>
  <w:style w:type="paragraph" w:styleId="BodyTextIndent2">
    <w:name w:val="Body Text Indent 2"/>
    <w:basedOn w:val="Normal"/>
    <w:rsid w:val="00681BAB"/>
    <w:pPr>
      <w:ind w:left="7200" w:hanging="720"/>
      <w:jc w:val="both"/>
    </w:pPr>
    <w:rPr>
      <w:rFonts w:ascii="Comic Sans MS" w:hAnsi="Comic Sans MS" w:cs="Arial"/>
      <w:sz w:val="22"/>
    </w:rPr>
  </w:style>
  <w:style w:type="paragraph" w:customStyle="1" w:styleId="Default">
    <w:name w:val="Default"/>
    <w:rsid w:val="00CD2B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15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15EC4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B66E1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66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6E1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B7E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7E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7E1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B7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7E1D"/>
    <w:rPr>
      <w:b/>
      <w:bCs/>
    </w:rPr>
  </w:style>
  <w:style w:type="paragraph" w:styleId="ListParagraph">
    <w:name w:val="List Paragraph"/>
    <w:basedOn w:val="Normal"/>
    <w:uiPriority w:val="34"/>
    <w:qFormat/>
    <w:rsid w:val="0068508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03FFB"/>
    <w:rPr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3E0A71"/>
    <w:rPr>
      <w:rFonts w:eastAsiaTheme="minorHAnsi"/>
      <w:color w:val="365F91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A1B18-FA10-4C0E-B58B-FCA56AAE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Hospitals Division</vt:lpstr>
    </vt:vector>
  </TitlesOfParts>
  <Company>LUHNT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Hospitals Division</dc:title>
  <dc:creator>mary.purves</dc:creator>
  <cp:lastModifiedBy>Kallirroi Kefala</cp:lastModifiedBy>
  <cp:revision>4</cp:revision>
  <cp:lastPrinted>2020-09-30T14:43:00Z</cp:lastPrinted>
  <dcterms:created xsi:type="dcterms:W3CDTF">2020-11-10T10:56:00Z</dcterms:created>
  <dcterms:modified xsi:type="dcterms:W3CDTF">2020-11-10T14:23:00Z</dcterms:modified>
</cp:coreProperties>
</file>