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F7" w:rsidRDefault="00163688" w:rsidP="005824FB">
      <w:pPr>
        <w:autoSpaceDE w:val="0"/>
        <w:autoSpaceDN w:val="0"/>
        <w:adjustRightInd w:val="0"/>
        <w:jc w:val="center"/>
        <w:rPr>
          <w:rFonts w:cs="Arial"/>
          <w:b/>
          <w:color w:val="000000"/>
          <w:sz w:val="28"/>
          <w:szCs w:val="28"/>
          <w:lang w:eastAsia="en-GB"/>
        </w:rPr>
      </w:pPr>
      <w:r w:rsidRPr="00B50B81">
        <w:rPr>
          <w:rFonts w:cs="Arial"/>
          <w:b/>
          <w:noProof/>
          <w:color w:val="000000"/>
          <w:sz w:val="28"/>
          <w:szCs w:val="28"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5131302</wp:posOffset>
            </wp:positionH>
            <wp:positionV relativeFrom="paragraph">
              <wp:posOffset>133</wp:posOffset>
            </wp:positionV>
            <wp:extent cx="927100" cy="92710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2" name="Picture 0" descr="NHSLothia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HSLothian.jpg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1F57" w:rsidRDefault="00FC128C" w:rsidP="005824FB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eastAsia="en-GB"/>
        </w:rPr>
      </w:pPr>
      <w:r>
        <w:rPr>
          <w:rFonts w:cs="Arial"/>
          <w:b/>
          <w:bCs/>
          <w:color w:val="000000"/>
          <w:sz w:val="28"/>
          <w:szCs w:val="28"/>
          <w:lang w:eastAsia="en-GB"/>
        </w:rPr>
        <w:t>Pe</w:t>
      </w:r>
      <w:r w:rsidR="009D6CBE">
        <w:rPr>
          <w:rFonts w:cs="Arial"/>
          <w:b/>
          <w:bCs/>
          <w:color w:val="000000"/>
          <w:sz w:val="28"/>
          <w:szCs w:val="28"/>
          <w:lang w:eastAsia="en-GB"/>
        </w:rPr>
        <w:t xml:space="preserve">ripheral </w:t>
      </w:r>
      <w:proofErr w:type="spellStart"/>
      <w:r w:rsidR="009D6CBE">
        <w:rPr>
          <w:rFonts w:cs="Arial"/>
          <w:b/>
          <w:bCs/>
          <w:color w:val="000000"/>
          <w:sz w:val="28"/>
          <w:szCs w:val="28"/>
          <w:lang w:eastAsia="en-GB"/>
        </w:rPr>
        <w:t>Noradrenaline</w:t>
      </w:r>
      <w:proofErr w:type="spellEnd"/>
      <w:r w:rsidR="009D6CBE">
        <w:rPr>
          <w:rFonts w:cs="Arial"/>
          <w:b/>
          <w:bCs/>
          <w:color w:val="000000"/>
          <w:sz w:val="28"/>
          <w:szCs w:val="28"/>
          <w:lang w:eastAsia="en-GB"/>
        </w:rPr>
        <w:t xml:space="preserve"> Infusion in Critical C</w:t>
      </w:r>
      <w:r>
        <w:rPr>
          <w:rFonts w:cs="Arial"/>
          <w:b/>
          <w:bCs/>
          <w:color w:val="000000"/>
          <w:sz w:val="28"/>
          <w:szCs w:val="28"/>
          <w:lang w:eastAsia="en-GB"/>
        </w:rPr>
        <w:t>are</w:t>
      </w:r>
    </w:p>
    <w:p w:rsidR="00FC128C" w:rsidRDefault="00FC128C" w:rsidP="005824FB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eastAsia="en-GB"/>
        </w:rPr>
      </w:pPr>
    </w:p>
    <w:p w:rsidR="00FC128C" w:rsidRDefault="00FC128C" w:rsidP="00FC128C">
      <w:r>
        <w:t>This guideline is for use in the following areas only:</w:t>
      </w:r>
    </w:p>
    <w:p w:rsidR="00FC128C" w:rsidRPr="00FC128C" w:rsidRDefault="00FC128C" w:rsidP="00FC128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C128C">
        <w:rPr>
          <w:rFonts w:ascii="Arial" w:hAnsi="Arial" w:cs="Arial"/>
        </w:rPr>
        <w:t xml:space="preserve">WGH: </w:t>
      </w:r>
      <w:r w:rsidR="00E35F4F">
        <w:rPr>
          <w:rFonts w:ascii="Arial" w:hAnsi="Arial" w:cs="Arial"/>
        </w:rPr>
        <w:t xml:space="preserve">Intensive care unit </w:t>
      </w:r>
      <w:r w:rsidRPr="00FC128C">
        <w:rPr>
          <w:rFonts w:ascii="Arial" w:hAnsi="Arial" w:cs="Arial"/>
        </w:rPr>
        <w:t>Ward 20</w:t>
      </w:r>
    </w:p>
    <w:p w:rsidR="00FC128C" w:rsidRPr="00FC128C" w:rsidRDefault="00FC128C" w:rsidP="00FC128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C128C">
        <w:rPr>
          <w:rFonts w:ascii="Arial" w:hAnsi="Arial" w:cs="Arial"/>
        </w:rPr>
        <w:t>SJH:</w:t>
      </w:r>
      <w:r w:rsidR="00E35F4F">
        <w:rPr>
          <w:rFonts w:ascii="Arial" w:hAnsi="Arial" w:cs="Arial"/>
        </w:rPr>
        <w:t xml:space="preserve"> I</w:t>
      </w:r>
      <w:r w:rsidR="0070392C">
        <w:rPr>
          <w:rFonts w:ascii="Arial" w:hAnsi="Arial" w:cs="Arial"/>
        </w:rPr>
        <w:t xml:space="preserve">ntensive care unit </w:t>
      </w:r>
    </w:p>
    <w:p w:rsidR="00FC128C" w:rsidRDefault="00FC128C" w:rsidP="00FC128C">
      <w:pPr>
        <w:rPr>
          <w:i/>
          <w:iCs/>
        </w:rPr>
      </w:pPr>
      <w:r>
        <w:t xml:space="preserve">Peripheral noradrenaline infusions may be commenced in other areas under direction of the ICU team </w:t>
      </w:r>
      <w:r w:rsidRPr="00FC128C">
        <w:rPr>
          <w:i/>
          <w:iCs/>
        </w:rPr>
        <w:t>in a patient awaiting transfer to any of the above areas</w:t>
      </w:r>
      <w:r>
        <w:rPr>
          <w:i/>
          <w:iCs/>
        </w:rPr>
        <w:t>.</w:t>
      </w:r>
    </w:p>
    <w:p w:rsidR="00FC128C" w:rsidRPr="00FC128C" w:rsidRDefault="00FC128C" w:rsidP="00FC128C">
      <w:r>
        <w:rPr>
          <w:lang w:eastAsia="en-GB"/>
        </w:rPr>
        <w:t xml:space="preserve">The decision to commence </w:t>
      </w:r>
      <w:proofErr w:type="spellStart"/>
      <w:r>
        <w:rPr>
          <w:lang w:eastAsia="en-GB"/>
        </w:rPr>
        <w:t>noradrenaline</w:t>
      </w:r>
      <w:proofErr w:type="spellEnd"/>
      <w:r>
        <w:rPr>
          <w:lang w:eastAsia="en-GB"/>
        </w:rPr>
        <w:t xml:space="preserve"> by peripheral infusion must be made by or discussed with the ICU consultant on call.</w:t>
      </w:r>
    </w:p>
    <w:p w:rsidR="00FC128C" w:rsidRPr="00FC128C" w:rsidRDefault="00FC128C" w:rsidP="00FC128C"/>
    <w:p w:rsidR="00FC128C" w:rsidRDefault="00FC128C" w:rsidP="00FC128C">
      <w:pPr>
        <w:rPr>
          <w:lang w:eastAsia="en-GB"/>
        </w:rPr>
      </w:pPr>
      <w:proofErr w:type="gramStart"/>
      <w:r w:rsidRPr="002B70D3">
        <w:rPr>
          <w:b/>
        </w:rPr>
        <w:t>Patient group</w:t>
      </w:r>
      <w:r>
        <w:br/>
      </w:r>
      <w:r>
        <w:rPr>
          <w:lang w:eastAsia="en-GB"/>
        </w:rPr>
        <w:t xml:space="preserve">Patients with mild/moderate hypotension requiring </w:t>
      </w:r>
      <w:proofErr w:type="spellStart"/>
      <w:r>
        <w:rPr>
          <w:lang w:eastAsia="en-GB"/>
        </w:rPr>
        <w:t>vasopressors</w:t>
      </w:r>
      <w:proofErr w:type="spellEnd"/>
      <w:r>
        <w:rPr>
          <w:lang w:eastAsia="en-GB"/>
        </w:rPr>
        <w:t>.</w:t>
      </w:r>
      <w:proofErr w:type="gramEnd"/>
    </w:p>
    <w:p w:rsidR="006E43E1" w:rsidRDefault="006E43E1" w:rsidP="00FC128C">
      <w:pPr>
        <w:rPr>
          <w:lang w:eastAsia="en-GB"/>
        </w:rPr>
      </w:pPr>
    </w:p>
    <w:p w:rsidR="00FC128C" w:rsidRPr="00FC128C" w:rsidRDefault="00FC128C" w:rsidP="00FC128C">
      <w:pPr>
        <w:rPr>
          <w:b/>
          <w:bCs/>
          <w:lang w:eastAsia="en-GB"/>
        </w:rPr>
      </w:pPr>
      <w:r w:rsidRPr="00FC128C">
        <w:rPr>
          <w:b/>
          <w:bCs/>
          <w:lang w:eastAsia="en-GB"/>
        </w:rPr>
        <w:t>Indications:</w:t>
      </w:r>
    </w:p>
    <w:p w:rsidR="00FC128C" w:rsidRDefault="00FC128C" w:rsidP="00D71845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GB"/>
        </w:rPr>
        <w:t>Bridging measure whilst awaiting CVC insertion e</w:t>
      </w:r>
      <w:r w:rsidR="001F6F00">
        <w:rPr>
          <w:rFonts w:ascii="Arial" w:hAnsi="Arial" w:cs="Arial"/>
          <w:sz w:val="24"/>
          <w:szCs w:val="24"/>
          <w:lang w:eastAsia="en-GB"/>
        </w:rPr>
        <w:t>.</w:t>
      </w:r>
      <w:r>
        <w:rPr>
          <w:rFonts w:ascii="Arial" w:hAnsi="Arial" w:cs="Arial"/>
          <w:sz w:val="24"/>
          <w:szCs w:val="24"/>
          <w:lang w:eastAsia="en-GB"/>
        </w:rPr>
        <w:t>g</w:t>
      </w:r>
      <w:r w:rsidR="001F6F00">
        <w:rPr>
          <w:rFonts w:ascii="Arial" w:hAnsi="Arial" w:cs="Arial"/>
          <w:sz w:val="24"/>
          <w:szCs w:val="24"/>
          <w:lang w:eastAsia="en-GB"/>
        </w:rPr>
        <w:t>.</w:t>
      </w:r>
      <w:r>
        <w:rPr>
          <w:rFonts w:ascii="Arial" w:hAnsi="Arial" w:cs="Arial"/>
          <w:sz w:val="24"/>
          <w:szCs w:val="24"/>
          <w:lang w:eastAsia="en-GB"/>
        </w:rPr>
        <w:t xml:space="preserve"> stabilisation of critically unwell patients awaiting transfer to ICU </w:t>
      </w:r>
    </w:p>
    <w:p w:rsidR="00FC128C" w:rsidRDefault="00FC128C" w:rsidP="00D71845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GB"/>
        </w:rPr>
        <w:t>In patients where CVC insertion carries additional risk (coagulopathy, thrombocytopenia)</w:t>
      </w:r>
    </w:p>
    <w:p w:rsidR="00FC128C" w:rsidRDefault="00FC128C" w:rsidP="00D71845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GB"/>
        </w:rPr>
        <w:t xml:space="preserve">Short term use in patients who are likely to require brief </w:t>
      </w:r>
      <w:proofErr w:type="spellStart"/>
      <w:r>
        <w:rPr>
          <w:rFonts w:ascii="Arial" w:hAnsi="Arial" w:cs="Arial"/>
          <w:sz w:val="24"/>
          <w:szCs w:val="24"/>
          <w:lang w:eastAsia="en-GB"/>
        </w:rPr>
        <w:t>vasopressor</w:t>
      </w:r>
      <w:proofErr w:type="spellEnd"/>
      <w:r>
        <w:rPr>
          <w:rFonts w:ascii="Arial" w:hAnsi="Arial" w:cs="Arial"/>
          <w:sz w:val="24"/>
          <w:szCs w:val="24"/>
          <w:lang w:eastAsia="en-GB"/>
        </w:rPr>
        <w:t xml:space="preserve"> support e</w:t>
      </w:r>
      <w:r w:rsidR="001F6F00">
        <w:rPr>
          <w:rFonts w:ascii="Arial" w:hAnsi="Arial" w:cs="Arial"/>
          <w:sz w:val="24"/>
          <w:szCs w:val="24"/>
          <w:lang w:eastAsia="en-GB"/>
        </w:rPr>
        <w:t>.</w:t>
      </w:r>
      <w:r>
        <w:rPr>
          <w:rFonts w:ascii="Arial" w:hAnsi="Arial" w:cs="Arial"/>
          <w:sz w:val="24"/>
          <w:szCs w:val="24"/>
          <w:lang w:eastAsia="en-GB"/>
        </w:rPr>
        <w:t>g</w:t>
      </w:r>
      <w:r w:rsidR="001F6F00">
        <w:rPr>
          <w:rFonts w:ascii="Arial" w:hAnsi="Arial" w:cs="Arial"/>
          <w:sz w:val="24"/>
          <w:szCs w:val="24"/>
          <w:lang w:eastAsia="en-GB"/>
        </w:rPr>
        <w:t>.</w:t>
      </w:r>
      <w:r>
        <w:rPr>
          <w:rFonts w:ascii="Arial" w:hAnsi="Arial" w:cs="Arial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en-GB"/>
        </w:rPr>
        <w:t>urosepsis</w:t>
      </w:r>
      <w:proofErr w:type="spellEnd"/>
      <w:r>
        <w:rPr>
          <w:rFonts w:ascii="Arial" w:hAnsi="Arial" w:cs="Arial"/>
          <w:sz w:val="24"/>
          <w:szCs w:val="24"/>
          <w:lang w:eastAsia="en-GB"/>
        </w:rPr>
        <w:t>, post-operative mild/moderate hypotension</w:t>
      </w:r>
    </w:p>
    <w:p w:rsidR="00FC128C" w:rsidRDefault="00FC128C" w:rsidP="00FC128C">
      <w:pPr>
        <w:ind w:left="360"/>
        <w:rPr>
          <w:lang w:eastAsia="en-GB"/>
        </w:rPr>
      </w:pPr>
    </w:p>
    <w:p w:rsidR="00FC128C" w:rsidRDefault="00FC128C" w:rsidP="00FC128C">
      <w:pPr>
        <w:shd w:val="clear" w:color="auto" w:fill="FFFFFF"/>
        <w:textAlignment w:val="baseline"/>
        <w:rPr>
          <w:b/>
          <w:lang w:eastAsia="en-GB"/>
        </w:rPr>
      </w:pPr>
      <w:r w:rsidRPr="002B70D3">
        <w:rPr>
          <w:b/>
          <w:lang w:eastAsia="en-GB"/>
        </w:rPr>
        <w:t>Concentration</w:t>
      </w:r>
    </w:p>
    <w:p w:rsidR="00E81F17" w:rsidRDefault="00FC128C" w:rsidP="00FC128C">
      <w:pPr>
        <w:shd w:val="clear" w:color="auto" w:fill="FFFFFF"/>
        <w:textAlignment w:val="baseline"/>
        <w:rPr>
          <w:lang w:eastAsia="en-GB"/>
        </w:rPr>
      </w:pPr>
      <w:r>
        <w:rPr>
          <w:bCs/>
          <w:lang w:eastAsia="en-GB"/>
        </w:rPr>
        <w:t xml:space="preserve">The standard concentration for administration via peripheral venous </w:t>
      </w:r>
      <w:proofErr w:type="spellStart"/>
      <w:r>
        <w:rPr>
          <w:bCs/>
          <w:lang w:eastAsia="en-GB"/>
        </w:rPr>
        <w:t>cannula</w:t>
      </w:r>
      <w:proofErr w:type="spellEnd"/>
      <w:r>
        <w:rPr>
          <w:bCs/>
          <w:lang w:eastAsia="en-GB"/>
        </w:rPr>
        <w:t xml:space="preserve"> is 16 micrograms/ml</w:t>
      </w:r>
      <w:r w:rsidR="009D6CBE">
        <w:rPr>
          <w:bCs/>
          <w:lang w:eastAsia="en-GB"/>
        </w:rPr>
        <w:t>.</w:t>
      </w:r>
      <w:r w:rsidR="00A42603">
        <w:rPr>
          <w:bCs/>
          <w:lang w:eastAsia="en-GB"/>
        </w:rPr>
        <w:t xml:space="preserve"> </w:t>
      </w:r>
      <w:proofErr w:type="gramStart"/>
      <w:r w:rsidR="001F5838">
        <w:rPr>
          <w:bCs/>
          <w:lang w:eastAsia="en-GB"/>
        </w:rPr>
        <w:t>D</w:t>
      </w:r>
      <w:r w:rsidR="00A42603">
        <w:rPr>
          <w:bCs/>
          <w:lang w:eastAsia="en-GB"/>
        </w:rPr>
        <w:t>ilute</w:t>
      </w:r>
      <w:proofErr w:type="gramEnd"/>
      <w:r w:rsidR="00A42603">
        <w:rPr>
          <w:bCs/>
          <w:lang w:eastAsia="en-GB"/>
        </w:rPr>
        <w:t xml:space="preserve"> 4mg </w:t>
      </w:r>
      <w:proofErr w:type="spellStart"/>
      <w:r w:rsidR="00A42603">
        <w:rPr>
          <w:bCs/>
          <w:lang w:eastAsia="en-GB"/>
        </w:rPr>
        <w:t>noradrenaline</w:t>
      </w:r>
      <w:proofErr w:type="spellEnd"/>
      <w:r w:rsidR="00A42603">
        <w:rPr>
          <w:bCs/>
          <w:lang w:eastAsia="en-GB"/>
        </w:rPr>
        <w:t xml:space="preserve"> (1mg/ml) with 246ml </w:t>
      </w:r>
      <w:r w:rsidR="001F5838">
        <w:rPr>
          <w:bCs/>
          <w:lang w:eastAsia="en-GB"/>
        </w:rPr>
        <w:t xml:space="preserve">of </w:t>
      </w:r>
      <w:r w:rsidR="00D5050A">
        <w:rPr>
          <w:bCs/>
          <w:lang w:eastAsia="en-GB"/>
        </w:rPr>
        <w:t xml:space="preserve">5% </w:t>
      </w:r>
      <w:r w:rsidR="009D6CBE">
        <w:rPr>
          <w:bCs/>
          <w:lang w:eastAsia="en-GB"/>
        </w:rPr>
        <w:t>g</w:t>
      </w:r>
      <w:r w:rsidR="00D5050A">
        <w:rPr>
          <w:bCs/>
          <w:lang w:eastAsia="en-GB"/>
        </w:rPr>
        <w:t>lucose</w:t>
      </w:r>
      <w:r w:rsidR="00A42603">
        <w:rPr>
          <w:bCs/>
          <w:lang w:eastAsia="en-GB"/>
        </w:rPr>
        <w:t xml:space="preserve"> to provide a final concentration of 16 micrograms/ml</w:t>
      </w:r>
      <w:r w:rsidR="001F5838">
        <w:rPr>
          <w:bCs/>
          <w:lang w:eastAsia="en-GB"/>
        </w:rPr>
        <w:t xml:space="preserve"> </w:t>
      </w:r>
      <w:r w:rsidR="009D6CBE">
        <w:rPr>
          <w:bCs/>
          <w:lang w:eastAsia="en-GB"/>
        </w:rPr>
        <w:t xml:space="preserve">in </w:t>
      </w:r>
      <w:r w:rsidR="001F5838">
        <w:rPr>
          <w:bCs/>
          <w:lang w:eastAsia="en-GB"/>
        </w:rPr>
        <w:t>a final volume of 250ml</w:t>
      </w:r>
      <w:r w:rsidR="001F6F00">
        <w:rPr>
          <w:bCs/>
          <w:lang w:eastAsia="en-GB"/>
        </w:rPr>
        <w:t>.</w:t>
      </w:r>
      <w:r>
        <w:rPr>
          <w:lang w:eastAsia="en-GB"/>
        </w:rPr>
        <w:br/>
      </w:r>
    </w:p>
    <w:p w:rsidR="00A42603" w:rsidRDefault="00A42603" w:rsidP="00FC128C">
      <w:pPr>
        <w:shd w:val="clear" w:color="auto" w:fill="FFFFFF"/>
        <w:textAlignment w:val="baseline"/>
        <w:rPr>
          <w:b/>
          <w:bCs/>
          <w:lang w:eastAsia="en-GB"/>
        </w:rPr>
      </w:pPr>
      <w:r>
        <w:rPr>
          <w:b/>
          <w:bCs/>
          <w:lang w:eastAsia="en-GB"/>
        </w:rPr>
        <w:t>Infusion rate</w:t>
      </w:r>
    </w:p>
    <w:p w:rsidR="001F0893" w:rsidRPr="001F0893" w:rsidRDefault="001F0893" w:rsidP="001F0893">
      <w:r w:rsidRPr="001F0893">
        <w:t xml:space="preserve">The initial rate of infusion is weight based, starting </w:t>
      </w:r>
      <w:r w:rsidRPr="001F0893">
        <w:rPr>
          <w:rFonts w:cs="Arial"/>
        </w:rPr>
        <w:t xml:space="preserve">at 0.05mcg/kg/min.  </w:t>
      </w:r>
    </w:p>
    <w:p w:rsidR="00A42603" w:rsidRPr="001F0893" w:rsidRDefault="005F6AC6" w:rsidP="00A42603">
      <w:pPr>
        <w:pStyle w:val="NoSpacing"/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 xml:space="preserve">Titrate to desired effect. </w:t>
      </w:r>
      <w:proofErr w:type="gramStart"/>
      <w:r>
        <w:rPr>
          <w:rFonts w:ascii="Arial" w:hAnsi="Arial" w:cs="Arial"/>
          <w:sz w:val="24"/>
          <w:szCs w:val="24"/>
          <w:lang w:eastAsia="en-GB"/>
        </w:rPr>
        <w:t>Maximum rate 25 ml/hr.</w:t>
      </w:r>
      <w:proofErr w:type="gramEnd"/>
    </w:p>
    <w:p w:rsidR="00A42603" w:rsidRDefault="00A42603" w:rsidP="00A42603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p w:rsidR="00802032" w:rsidRDefault="00802032" w:rsidP="00A42603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tbl>
      <w:tblPr>
        <w:tblStyle w:val="TableGrid"/>
        <w:tblW w:w="9215" w:type="dxa"/>
        <w:tblInd w:w="-318" w:type="dxa"/>
        <w:tblLook w:val="04A0"/>
      </w:tblPr>
      <w:tblGrid>
        <w:gridCol w:w="1195"/>
        <w:gridCol w:w="1783"/>
        <w:gridCol w:w="1523"/>
        <w:gridCol w:w="222"/>
        <w:gridCol w:w="1195"/>
        <w:gridCol w:w="1769"/>
        <w:gridCol w:w="1528"/>
      </w:tblGrid>
      <w:tr w:rsidR="006E43E1" w:rsidTr="00802032">
        <w:tc>
          <w:tcPr>
            <w:tcW w:w="9215" w:type="dxa"/>
            <w:gridSpan w:val="7"/>
            <w:shd w:val="pct5" w:color="auto" w:fill="auto"/>
          </w:tcPr>
          <w:p w:rsidR="006E43E1" w:rsidRPr="006812A9" w:rsidRDefault="006E43E1" w:rsidP="001D7AF3">
            <w:pPr>
              <w:jc w:val="center"/>
              <w:rPr>
                <w:rFonts w:cs="Arial"/>
                <w:sz w:val="22"/>
                <w:szCs w:val="22"/>
              </w:rPr>
            </w:pPr>
            <w:r w:rsidRPr="006812A9">
              <w:rPr>
                <w:rFonts w:cs="Arial"/>
                <w:sz w:val="22"/>
                <w:szCs w:val="22"/>
                <w:lang w:eastAsia="en-GB"/>
              </w:rPr>
              <w:t xml:space="preserve">Concentration and </w:t>
            </w:r>
            <w:proofErr w:type="spellStart"/>
            <w:r w:rsidRPr="006812A9">
              <w:rPr>
                <w:rFonts w:cs="Arial"/>
                <w:sz w:val="22"/>
                <w:szCs w:val="22"/>
                <w:lang w:eastAsia="en-GB"/>
              </w:rPr>
              <w:t>Diluent</w:t>
            </w:r>
            <w:proofErr w:type="spellEnd"/>
            <w:r w:rsidRPr="006812A9">
              <w:rPr>
                <w:rFonts w:cs="Arial"/>
                <w:sz w:val="22"/>
                <w:szCs w:val="22"/>
                <w:lang w:eastAsia="en-GB"/>
              </w:rPr>
              <w:t xml:space="preserve">: 4mg of </w:t>
            </w:r>
            <w:proofErr w:type="spellStart"/>
            <w:r w:rsidRPr="006812A9">
              <w:rPr>
                <w:rFonts w:cs="Arial"/>
                <w:sz w:val="22"/>
                <w:szCs w:val="22"/>
                <w:lang w:eastAsia="en-GB"/>
              </w:rPr>
              <w:t>N</w:t>
            </w:r>
            <w:r w:rsidR="003144CA">
              <w:rPr>
                <w:rFonts w:cs="Arial"/>
                <w:sz w:val="22"/>
                <w:szCs w:val="22"/>
                <w:lang w:eastAsia="en-GB"/>
              </w:rPr>
              <w:t>oradrenaline</w:t>
            </w:r>
            <w:proofErr w:type="spellEnd"/>
            <w:r w:rsidRPr="006812A9">
              <w:rPr>
                <w:rFonts w:cs="Arial"/>
                <w:sz w:val="22"/>
                <w:szCs w:val="22"/>
                <w:lang w:eastAsia="en-GB"/>
              </w:rPr>
              <w:t xml:space="preserve"> in 246 ml of 5% Glucose</w:t>
            </w:r>
          </w:p>
          <w:p w:rsidR="006E43E1" w:rsidRPr="006812A9" w:rsidRDefault="006E43E1" w:rsidP="001D7AF3">
            <w:pPr>
              <w:jc w:val="center"/>
              <w:rPr>
                <w:sz w:val="22"/>
                <w:szCs w:val="22"/>
              </w:rPr>
            </w:pPr>
          </w:p>
        </w:tc>
      </w:tr>
      <w:tr w:rsidR="006E43E1" w:rsidTr="00802032">
        <w:tc>
          <w:tcPr>
            <w:tcW w:w="1195" w:type="dxa"/>
            <w:shd w:val="pct5" w:color="auto" w:fill="auto"/>
          </w:tcPr>
          <w:p w:rsidR="006E43E1" w:rsidRPr="006812A9" w:rsidRDefault="006E43E1" w:rsidP="001D7AF3">
            <w:pPr>
              <w:rPr>
                <w:sz w:val="22"/>
                <w:szCs w:val="22"/>
              </w:rPr>
            </w:pPr>
            <w:r w:rsidRPr="006812A9">
              <w:rPr>
                <w:sz w:val="22"/>
                <w:szCs w:val="22"/>
              </w:rPr>
              <w:t>Estimated weight</w:t>
            </w:r>
          </w:p>
        </w:tc>
        <w:tc>
          <w:tcPr>
            <w:tcW w:w="1783" w:type="dxa"/>
            <w:shd w:val="pct5" w:color="auto" w:fill="auto"/>
          </w:tcPr>
          <w:p w:rsidR="006E43E1" w:rsidRPr="006812A9" w:rsidRDefault="006E43E1" w:rsidP="001D7AF3">
            <w:pPr>
              <w:rPr>
                <w:sz w:val="22"/>
                <w:szCs w:val="22"/>
              </w:rPr>
            </w:pPr>
            <w:r w:rsidRPr="006812A9">
              <w:rPr>
                <w:rFonts w:cs="Arial"/>
                <w:sz w:val="22"/>
                <w:szCs w:val="22"/>
                <w:lang w:eastAsia="en-GB"/>
              </w:rPr>
              <w:t>Starting dose of 0.05mcg/kg/min</w:t>
            </w:r>
          </w:p>
        </w:tc>
        <w:tc>
          <w:tcPr>
            <w:tcW w:w="1523" w:type="dxa"/>
            <w:shd w:val="pct5" w:color="auto" w:fill="auto"/>
          </w:tcPr>
          <w:p w:rsidR="006E43E1" w:rsidRDefault="006E43E1" w:rsidP="001D7AF3">
            <w:pPr>
              <w:rPr>
                <w:rFonts w:cs="Arial"/>
                <w:sz w:val="22"/>
                <w:szCs w:val="22"/>
              </w:rPr>
            </w:pPr>
            <w:r w:rsidRPr="006812A9">
              <w:rPr>
                <w:rFonts w:cs="Arial"/>
                <w:sz w:val="22"/>
                <w:szCs w:val="22"/>
                <w:lang w:eastAsia="en-GB"/>
              </w:rPr>
              <w:t>Peripheral infusion rate</w:t>
            </w:r>
          </w:p>
          <w:p w:rsidR="006E43E1" w:rsidRPr="006812A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  <w:shd w:val="pct50" w:color="auto" w:fill="auto"/>
          </w:tcPr>
          <w:p w:rsidR="006E43E1" w:rsidRPr="006812A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195" w:type="dxa"/>
            <w:shd w:val="pct5" w:color="auto" w:fill="auto"/>
          </w:tcPr>
          <w:p w:rsidR="006E43E1" w:rsidRPr="006812A9" w:rsidRDefault="006E43E1" w:rsidP="001D7AF3">
            <w:pPr>
              <w:rPr>
                <w:sz w:val="22"/>
                <w:szCs w:val="22"/>
              </w:rPr>
            </w:pPr>
            <w:r w:rsidRPr="006812A9">
              <w:rPr>
                <w:sz w:val="22"/>
                <w:szCs w:val="22"/>
              </w:rPr>
              <w:t>Estimated weight</w:t>
            </w:r>
          </w:p>
        </w:tc>
        <w:tc>
          <w:tcPr>
            <w:tcW w:w="1769" w:type="dxa"/>
            <w:shd w:val="pct5" w:color="auto" w:fill="auto"/>
          </w:tcPr>
          <w:p w:rsidR="006E43E1" w:rsidRPr="006812A9" w:rsidRDefault="006E43E1" w:rsidP="001D7AF3">
            <w:pPr>
              <w:rPr>
                <w:sz w:val="22"/>
                <w:szCs w:val="22"/>
              </w:rPr>
            </w:pPr>
            <w:r w:rsidRPr="006812A9">
              <w:rPr>
                <w:rFonts w:cs="Arial"/>
                <w:sz w:val="22"/>
                <w:szCs w:val="22"/>
                <w:lang w:eastAsia="en-GB"/>
              </w:rPr>
              <w:t>Starting dose of 0.05mcg/kg/min</w:t>
            </w:r>
          </w:p>
        </w:tc>
        <w:tc>
          <w:tcPr>
            <w:tcW w:w="1528" w:type="dxa"/>
            <w:shd w:val="pct5" w:color="auto" w:fill="auto"/>
          </w:tcPr>
          <w:p w:rsidR="006E43E1" w:rsidRPr="006812A9" w:rsidRDefault="006E43E1" w:rsidP="001D7AF3">
            <w:pPr>
              <w:rPr>
                <w:sz w:val="22"/>
                <w:szCs w:val="22"/>
              </w:rPr>
            </w:pPr>
            <w:r w:rsidRPr="006812A9">
              <w:rPr>
                <w:rFonts w:cs="Arial"/>
                <w:sz w:val="22"/>
                <w:szCs w:val="22"/>
                <w:lang w:eastAsia="en-GB"/>
              </w:rPr>
              <w:t>Peripheral infusion rate</w:t>
            </w:r>
          </w:p>
        </w:tc>
      </w:tr>
      <w:tr w:rsidR="006E43E1" w:rsidTr="00802032"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40kg</w:t>
            </w:r>
          </w:p>
        </w:tc>
        <w:tc>
          <w:tcPr>
            <w:tcW w:w="1783" w:type="dxa"/>
          </w:tcPr>
          <w:p w:rsidR="006E43E1" w:rsidRDefault="001F6F00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mcg/</w:t>
            </w:r>
            <w:r w:rsidR="006E43E1" w:rsidRPr="002F34F9">
              <w:rPr>
                <w:sz w:val="22"/>
                <w:szCs w:val="22"/>
              </w:rPr>
              <w:t>hr</w:t>
            </w:r>
          </w:p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7.5 ml/hr</w:t>
            </w:r>
          </w:p>
        </w:tc>
        <w:tc>
          <w:tcPr>
            <w:tcW w:w="222" w:type="dxa"/>
            <w:shd w:val="pct50" w:color="auto" w:fill="auto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80kg</w:t>
            </w:r>
          </w:p>
        </w:tc>
        <w:tc>
          <w:tcPr>
            <w:tcW w:w="1769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240 </w:t>
            </w:r>
            <w:r w:rsidR="001F6F00">
              <w:rPr>
                <w:sz w:val="22"/>
                <w:szCs w:val="22"/>
              </w:rPr>
              <w:t>mcg/</w:t>
            </w:r>
            <w:r w:rsidR="001F6F00" w:rsidRPr="002F34F9">
              <w:rPr>
                <w:sz w:val="22"/>
                <w:szCs w:val="22"/>
              </w:rPr>
              <w:t>hr</w:t>
            </w:r>
          </w:p>
        </w:tc>
        <w:tc>
          <w:tcPr>
            <w:tcW w:w="1528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  <w:r w:rsidR="001F6F00" w:rsidRPr="002F34F9">
              <w:rPr>
                <w:sz w:val="22"/>
                <w:szCs w:val="22"/>
              </w:rPr>
              <w:t>ml/hr</w:t>
            </w:r>
          </w:p>
        </w:tc>
      </w:tr>
      <w:tr w:rsidR="006E43E1" w:rsidTr="00802032"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50kg</w:t>
            </w:r>
          </w:p>
        </w:tc>
        <w:tc>
          <w:tcPr>
            <w:tcW w:w="1783" w:type="dxa"/>
          </w:tcPr>
          <w:p w:rsidR="006E43E1" w:rsidRDefault="001F6F00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 mcg/</w:t>
            </w:r>
            <w:r w:rsidR="006E43E1" w:rsidRPr="002F34F9">
              <w:rPr>
                <w:sz w:val="22"/>
                <w:szCs w:val="22"/>
              </w:rPr>
              <w:t>hr</w:t>
            </w:r>
          </w:p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9.4 </w:t>
            </w:r>
            <w:r w:rsidR="001F6F00" w:rsidRPr="002F34F9">
              <w:rPr>
                <w:sz w:val="22"/>
                <w:szCs w:val="22"/>
              </w:rPr>
              <w:t>ml/hr</w:t>
            </w:r>
          </w:p>
        </w:tc>
        <w:tc>
          <w:tcPr>
            <w:tcW w:w="222" w:type="dxa"/>
            <w:shd w:val="pct50" w:color="auto" w:fill="auto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90kg</w:t>
            </w:r>
          </w:p>
        </w:tc>
        <w:tc>
          <w:tcPr>
            <w:tcW w:w="1769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270 </w:t>
            </w:r>
            <w:r w:rsidR="001F6F00">
              <w:rPr>
                <w:sz w:val="22"/>
                <w:szCs w:val="22"/>
              </w:rPr>
              <w:t>mcg/</w:t>
            </w:r>
            <w:r w:rsidR="001F6F00" w:rsidRPr="002F34F9">
              <w:rPr>
                <w:sz w:val="22"/>
                <w:szCs w:val="22"/>
              </w:rPr>
              <w:t>hr</w:t>
            </w:r>
          </w:p>
        </w:tc>
        <w:tc>
          <w:tcPr>
            <w:tcW w:w="1528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16.9 </w:t>
            </w:r>
            <w:r w:rsidR="001F6F00" w:rsidRPr="002F34F9">
              <w:rPr>
                <w:sz w:val="22"/>
                <w:szCs w:val="22"/>
              </w:rPr>
              <w:t>ml/hr</w:t>
            </w:r>
          </w:p>
        </w:tc>
      </w:tr>
      <w:tr w:rsidR="006E43E1" w:rsidTr="00802032"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60kg</w:t>
            </w:r>
          </w:p>
        </w:tc>
        <w:tc>
          <w:tcPr>
            <w:tcW w:w="1783" w:type="dxa"/>
          </w:tcPr>
          <w:p w:rsidR="006E43E1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 xml:space="preserve">180 </w:t>
            </w:r>
            <w:r w:rsidR="001F6F00">
              <w:rPr>
                <w:sz w:val="22"/>
                <w:szCs w:val="22"/>
              </w:rPr>
              <w:t>mcg/</w:t>
            </w:r>
            <w:r w:rsidR="001F6F00" w:rsidRPr="002F34F9">
              <w:rPr>
                <w:sz w:val="22"/>
                <w:szCs w:val="22"/>
              </w:rPr>
              <w:t>hr</w:t>
            </w:r>
          </w:p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 xml:space="preserve">11.2 </w:t>
            </w:r>
            <w:r w:rsidR="001F6F00" w:rsidRPr="002F34F9">
              <w:rPr>
                <w:sz w:val="22"/>
                <w:szCs w:val="22"/>
              </w:rPr>
              <w:t>ml/hr</w:t>
            </w:r>
          </w:p>
        </w:tc>
        <w:tc>
          <w:tcPr>
            <w:tcW w:w="222" w:type="dxa"/>
            <w:shd w:val="pct50" w:color="auto" w:fill="auto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100kg</w:t>
            </w:r>
          </w:p>
        </w:tc>
        <w:tc>
          <w:tcPr>
            <w:tcW w:w="1769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 </w:t>
            </w:r>
            <w:r w:rsidR="001F6F00">
              <w:rPr>
                <w:sz w:val="22"/>
                <w:szCs w:val="22"/>
              </w:rPr>
              <w:t>mcg/</w:t>
            </w:r>
            <w:r w:rsidR="001F6F00" w:rsidRPr="002F34F9">
              <w:rPr>
                <w:sz w:val="22"/>
                <w:szCs w:val="22"/>
              </w:rPr>
              <w:t>hr</w:t>
            </w:r>
          </w:p>
        </w:tc>
        <w:tc>
          <w:tcPr>
            <w:tcW w:w="1528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18.8 </w:t>
            </w:r>
            <w:r w:rsidR="001F6F00" w:rsidRPr="002F34F9">
              <w:rPr>
                <w:sz w:val="22"/>
                <w:szCs w:val="22"/>
              </w:rPr>
              <w:t>ml/hr</w:t>
            </w:r>
          </w:p>
        </w:tc>
      </w:tr>
      <w:tr w:rsidR="006E43E1" w:rsidTr="00802032"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70kg</w:t>
            </w:r>
          </w:p>
        </w:tc>
        <w:tc>
          <w:tcPr>
            <w:tcW w:w="1783" w:type="dxa"/>
          </w:tcPr>
          <w:p w:rsidR="006E43E1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210 </w:t>
            </w:r>
            <w:r w:rsidR="001F6F00">
              <w:rPr>
                <w:sz w:val="22"/>
                <w:szCs w:val="22"/>
              </w:rPr>
              <w:t>mcg/</w:t>
            </w:r>
            <w:r w:rsidR="001F6F00" w:rsidRPr="002F34F9">
              <w:rPr>
                <w:sz w:val="22"/>
                <w:szCs w:val="22"/>
              </w:rPr>
              <w:t>hr</w:t>
            </w:r>
          </w:p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13.1 </w:t>
            </w:r>
            <w:r w:rsidR="001F6F00" w:rsidRPr="002F34F9">
              <w:rPr>
                <w:sz w:val="22"/>
                <w:szCs w:val="22"/>
              </w:rPr>
              <w:t>ml/hr</w:t>
            </w:r>
          </w:p>
        </w:tc>
        <w:tc>
          <w:tcPr>
            <w:tcW w:w="222" w:type="dxa"/>
            <w:shd w:val="pct50" w:color="auto" w:fill="auto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 w:rsidRPr="002F34F9">
              <w:rPr>
                <w:sz w:val="22"/>
                <w:szCs w:val="22"/>
              </w:rPr>
              <w:t>110kg</w:t>
            </w:r>
          </w:p>
        </w:tc>
        <w:tc>
          <w:tcPr>
            <w:tcW w:w="1769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330 </w:t>
            </w:r>
            <w:r w:rsidR="001F6F00">
              <w:rPr>
                <w:sz w:val="22"/>
                <w:szCs w:val="22"/>
              </w:rPr>
              <w:t>mcg/</w:t>
            </w:r>
            <w:r w:rsidR="001F6F00" w:rsidRPr="002F34F9">
              <w:rPr>
                <w:sz w:val="22"/>
                <w:szCs w:val="22"/>
              </w:rPr>
              <w:t>hr</w:t>
            </w:r>
          </w:p>
        </w:tc>
        <w:tc>
          <w:tcPr>
            <w:tcW w:w="1528" w:type="dxa"/>
          </w:tcPr>
          <w:p w:rsidR="006E43E1" w:rsidRPr="002F34F9" w:rsidRDefault="006E43E1" w:rsidP="001D7A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20.6 </w:t>
            </w:r>
            <w:r w:rsidR="001F6F00" w:rsidRPr="002F34F9">
              <w:rPr>
                <w:sz w:val="22"/>
                <w:szCs w:val="22"/>
              </w:rPr>
              <w:t>ml/hr</w:t>
            </w:r>
          </w:p>
        </w:tc>
      </w:tr>
    </w:tbl>
    <w:p w:rsidR="00E4334E" w:rsidRPr="001F0893" w:rsidRDefault="00E4334E" w:rsidP="00A42603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p w:rsidR="00A42603" w:rsidRPr="001F0893" w:rsidRDefault="00A42603" w:rsidP="00A42603">
      <w:pPr>
        <w:pStyle w:val="NoSpacing"/>
        <w:rPr>
          <w:rFonts w:ascii="Arial" w:hAnsi="Arial" w:cs="Arial"/>
          <w:iCs/>
          <w:sz w:val="24"/>
          <w:szCs w:val="24"/>
          <w:lang w:eastAsia="en-GB"/>
        </w:rPr>
      </w:pPr>
      <w:r w:rsidRPr="001F0893">
        <w:rPr>
          <w:rFonts w:ascii="Arial" w:hAnsi="Arial" w:cs="Arial"/>
          <w:sz w:val="24"/>
          <w:szCs w:val="24"/>
          <w:lang w:eastAsia="en-GB"/>
        </w:rPr>
        <w:t>Duration of infusion shou</w:t>
      </w:r>
      <w:r w:rsidR="003144CA">
        <w:rPr>
          <w:rFonts w:ascii="Arial" w:hAnsi="Arial" w:cs="Arial"/>
          <w:sz w:val="24"/>
          <w:szCs w:val="24"/>
          <w:lang w:eastAsia="en-GB"/>
        </w:rPr>
        <w:t>l</w:t>
      </w:r>
      <w:r w:rsidRPr="001F0893">
        <w:rPr>
          <w:rFonts w:ascii="Arial" w:hAnsi="Arial" w:cs="Arial"/>
          <w:sz w:val="24"/>
          <w:szCs w:val="24"/>
          <w:lang w:eastAsia="en-GB"/>
        </w:rPr>
        <w:t xml:space="preserve">d be decided on a case by case basis at the discretion of the responsible senior decision maker. </w:t>
      </w:r>
    </w:p>
    <w:p w:rsidR="00D71845" w:rsidRDefault="00D71845" w:rsidP="00A42603">
      <w:pPr>
        <w:pStyle w:val="NoSpacing"/>
        <w:rPr>
          <w:rFonts w:ascii="Arial" w:hAnsi="Arial" w:cs="Arial"/>
          <w:iCs/>
          <w:sz w:val="24"/>
          <w:szCs w:val="24"/>
          <w:lang w:eastAsia="en-GB"/>
        </w:rPr>
      </w:pPr>
    </w:p>
    <w:p w:rsidR="001F0893" w:rsidRDefault="001F0893" w:rsidP="00A42603">
      <w:pPr>
        <w:pStyle w:val="NoSpacing"/>
        <w:rPr>
          <w:rFonts w:ascii="Arial" w:hAnsi="Arial" w:cs="Arial"/>
          <w:iCs/>
          <w:sz w:val="24"/>
          <w:szCs w:val="24"/>
          <w:lang w:eastAsia="en-GB"/>
        </w:rPr>
      </w:pPr>
      <w:r>
        <w:rPr>
          <w:rFonts w:ascii="Arial" w:hAnsi="Arial" w:cs="Arial"/>
          <w:iCs/>
          <w:sz w:val="24"/>
          <w:szCs w:val="24"/>
          <w:lang w:eastAsia="en-GB"/>
        </w:rPr>
        <w:t xml:space="preserve">The concentration of peripheral </w:t>
      </w:r>
      <w:proofErr w:type="spellStart"/>
      <w:r>
        <w:rPr>
          <w:rFonts w:ascii="Arial" w:hAnsi="Arial" w:cs="Arial"/>
          <w:iCs/>
          <w:sz w:val="24"/>
          <w:szCs w:val="24"/>
          <w:lang w:eastAsia="en-GB"/>
        </w:rPr>
        <w:t>noradrenaline</w:t>
      </w:r>
      <w:proofErr w:type="spellEnd"/>
      <w:r>
        <w:rPr>
          <w:rFonts w:ascii="Arial" w:hAnsi="Arial" w:cs="Arial"/>
          <w:iCs/>
          <w:sz w:val="24"/>
          <w:szCs w:val="24"/>
          <w:lang w:eastAsia="en-GB"/>
        </w:rPr>
        <w:t xml:space="preserve"> is significantly weaker than that of</w:t>
      </w:r>
      <w:r w:rsidR="006E43E1">
        <w:rPr>
          <w:rFonts w:ascii="Arial" w:hAnsi="Arial" w:cs="Arial"/>
          <w:iCs/>
          <w:sz w:val="24"/>
          <w:szCs w:val="24"/>
          <w:lang w:eastAsia="en-GB"/>
        </w:rPr>
        <w:t xml:space="preserve"> centrally-administered</w:t>
      </w:r>
      <w:r>
        <w:rPr>
          <w:rFonts w:ascii="Arial" w:hAnsi="Arial" w:cs="Arial"/>
          <w:iCs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eastAsia="en-GB"/>
        </w:rPr>
        <w:t>noradrenaline</w:t>
      </w:r>
      <w:proofErr w:type="spellEnd"/>
      <w:r>
        <w:rPr>
          <w:rFonts w:ascii="Arial" w:hAnsi="Arial" w:cs="Arial"/>
          <w:iCs/>
          <w:sz w:val="24"/>
          <w:szCs w:val="24"/>
          <w:lang w:eastAsia="en-GB"/>
        </w:rPr>
        <w:t xml:space="preserve"> infusions. As such, it can be weaned </w:t>
      </w:r>
      <w:r w:rsidR="00845622">
        <w:rPr>
          <w:rFonts w:ascii="Arial" w:hAnsi="Arial" w:cs="Arial"/>
          <w:iCs/>
          <w:sz w:val="24"/>
          <w:szCs w:val="24"/>
          <w:lang w:eastAsia="en-GB"/>
        </w:rPr>
        <w:t xml:space="preserve">off </w:t>
      </w:r>
      <w:r>
        <w:rPr>
          <w:rFonts w:ascii="Arial" w:hAnsi="Arial" w:cs="Arial"/>
          <w:iCs/>
          <w:sz w:val="24"/>
          <w:szCs w:val="24"/>
          <w:lang w:eastAsia="en-GB"/>
        </w:rPr>
        <w:t>in 2ml increments.</w:t>
      </w:r>
    </w:p>
    <w:p w:rsidR="001F0893" w:rsidRDefault="001F0893" w:rsidP="00A42603">
      <w:pPr>
        <w:pStyle w:val="NoSpacing"/>
        <w:rPr>
          <w:rFonts w:ascii="Arial" w:hAnsi="Arial" w:cs="Arial"/>
          <w:iCs/>
          <w:sz w:val="24"/>
          <w:szCs w:val="24"/>
          <w:lang w:eastAsia="en-GB"/>
        </w:rPr>
      </w:pPr>
    </w:p>
    <w:p w:rsidR="00D71845" w:rsidRDefault="00D71845" w:rsidP="00A42603">
      <w:pPr>
        <w:pStyle w:val="NoSpacing"/>
        <w:rPr>
          <w:rFonts w:ascii="Arial" w:hAnsi="Arial" w:cs="Arial"/>
          <w:sz w:val="24"/>
          <w:szCs w:val="24"/>
        </w:rPr>
      </w:pPr>
      <w:r w:rsidRPr="00D71845">
        <w:rPr>
          <w:rFonts w:ascii="Arial" w:hAnsi="Arial" w:cs="Arial"/>
          <w:sz w:val="24"/>
          <w:szCs w:val="24"/>
        </w:rPr>
        <w:t>After discontinuation, flush the peripheral cannula with sodium chloride 0.9% at the same rate the medicine was infused to avoid adverse haemodynamic effects.</w:t>
      </w:r>
    </w:p>
    <w:p w:rsidR="00D71845" w:rsidRDefault="00D71845" w:rsidP="00A42603">
      <w:pPr>
        <w:pStyle w:val="NoSpacing"/>
        <w:rPr>
          <w:rFonts w:ascii="Arial" w:hAnsi="Arial" w:cs="Arial"/>
          <w:sz w:val="24"/>
          <w:szCs w:val="24"/>
        </w:rPr>
      </w:pPr>
    </w:p>
    <w:p w:rsidR="0034362D" w:rsidRDefault="00D71845" w:rsidP="00A42603">
      <w:pPr>
        <w:pStyle w:val="NoSpacing"/>
        <w:rPr>
          <w:rFonts w:ascii="Arial" w:hAnsi="Arial" w:cs="Arial"/>
          <w:b/>
          <w:bCs/>
          <w:iCs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</w:rPr>
        <w:t>C</w:t>
      </w:r>
      <w:r w:rsidRPr="00D71845">
        <w:rPr>
          <w:rFonts w:ascii="Arial" w:hAnsi="Arial" w:cs="Arial"/>
          <w:sz w:val="24"/>
          <w:szCs w:val="24"/>
        </w:rPr>
        <w:t xml:space="preserve">oncomitant administration of noradrenaline and other medicines via a Y-site should be avoided to prevent inadvertent bolus administration of </w:t>
      </w:r>
      <w:proofErr w:type="spellStart"/>
      <w:r w:rsidRPr="00D71845">
        <w:rPr>
          <w:rFonts w:ascii="Arial" w:hAnsi="Arial" w:cs="Arial"/>
          <w:sz w:val="24"/>
          <w:szCs w:val="24"/>
        </w:rPr>
        <w:t>noradrenaline</w:t>
      </w:r>
      <w:proofErr w:type="spellEnd"/>
    </w:p>
    <w:p w:rsidR="00354443" w:rsidRDefault="00354443" w:rsidP="00A42603">
      <w:pPr>
        <w:pStyle w:val="NoSpacing"/>
        <w:rPr>
          <w:rFonts w:ascii="Arial" w:hAnsi="Arial" w:cs="Arial"/>
          <w:b/>
          <w:bCs/>
          <w:iCs/>
          <w:sz w:val="24"/>
          <w:szCs w:val="24"/>
          <w:lang w:eastAsia="en-GB"/>
        </w:rPr>
      </w:pPr>
    </w:p>
    <w:p w:rsidR="00A42603" w:rsidRDefault="00A42603" w:rsidP="00A42603">
      <w:pPr>
        <w:pStyle w:val="NoSpacing"/>
        <w:rPr>
          <w:rFonts w:ascii="Arial" w:hAnsi="Arial" w:cs="Arial"/>
          <w:b/>
          <w:bCs/>
          <w:iCs/>
          <w:sz w:val="24"/>
          <w:szCs w:val="24"/>
          <w:lang w:eastAsia="en-GB"/>
        </w:rPr>
      </w:pPr>
      <w:r>
        <w:rPr>
          <w:rFonts w:ascii="Arial" w:hAnsi="Arial" w:cs="Arial"/>
          <w:b/>
          <w:bCs/>
          <w:iCs/>
          <w:sz w:val="24"/>
          <w:szCs w:val="24"/>
          <w:lang w:eastAsia="en-GB"/>
        </w:rPr>
        <w:t>Access</w:t>
      </w:r>
    </w:p>
    <w:p w:rsidR="00FB36B0" w:rsidRDefault="00FB36B0" w:rsidP="00FB36B0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>Peripheral noradrenaline infusion</w:t>
      </w:r>
      <w:r w:rsidRPr="00FB36B0">
        <w:rPr>
          <w:rFonts w:ascii="Arial" w:hAnsi="Arial" w:cs="Arial"/>
          <w:sz w:val="24"/>
          <w:szCs w:val="24"/>
          <w:lang w:eastAsia="en-GB"/>
        </w:rPr>
        <w:t xml:space="preserve"> should be </w:t>
      </w:r>
      <w:r>
        <w:rPr>
          <w:rFonts w:ascii="Arial" w:hAnsi="Arial" w:cs="Arial"/>
          <w:sz w:val="24"/>
          <w:szCs w:val="24"/>
          <w:lang w:eastAsia="en-GB"/>
        </w:rPr>
        <w:t xml:space="preserve">administered </w:t>
      </w:r>
      <w:r w:rsidRPr="00FB36B0">
        <w:rPr>
          <w:rFonts w:ascii="Arial" w:hAnsi="Arial" w:cs="Arial"/>
          <w:sz w:val="24"/>
          <w:szCs w:val="24"/>
          <w:lang w:eastAsia="en-GB"/>
        </w:rPr>
        <w:t>through at least a 20G peripheral venous cannula.</w:t>
      </w:r>
    </w:p>
    <w:p w:rsidR="00FB36B0" w:rsidRDefault="00FB36B0" w:rsidP="00FB36B0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  <w:lang w:eastAsia="en-GB"/>
        </w:rPr>
      </w:pPr>
      <w:r w:rsidRPr="00FB36B0">
        <w:rPr>
          <w:rFonts w:ascii="Arial" w:hAnsi="Arial" w:cs="Arial"/>
          <w:sz w:val="24"/>
          <w:szCs w:val="24"/>
          <w:lang w:eastAsia="en-GB"/>
        </w:rPr>
        <w:t>Locate in a site in the arm, proximal to the wrist in a clearly visible location</w:t>
      </w:r>
      <w:r>
        <w:rPr>
          <w:rFonts w:ascii="Arial" w:hAnsi="Arial" w:cs="Arial"/>
          <w:sz w:val="24"/>
          <w:szCs w:val="24"/>
          <w:lang w:eastAsia="en-GB"/>
        </w:rPr>
        <w:t>.</w:t>
      </w:r>
    </w:p>
    <w:p w:rsidR="00FB36B0" w:rsidRDefault="00FB36B0" w:rsidP="00FB36B0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 xml:space="preserve">Avoid sites of flexion in awake </w:t>
      </w:r>
      <w:r w:rsidR="00EF6911">
        <w:rPr>
          <w:rFonts w:ascii="Arial" w:hAnsi="Arial" w:cs="Arial"/>
          <w:sz w:val="24"/>
          <w:szCs w:val="24"/>
          <w:lang w:eastAsia="en-GB"/>
        </w:rPr>
        <w:t>pa</w:t>
      </w:r>
      <w:r>
        <w:rPr>
          <w:rFonts w:ascii="Arial" w:hAnsi="Arial" w:cs="Arial"/>
          <w:sz w:val="24"/>
          <w:szCs w:val="24"/>
          <w:lang w:eastAsia="en-GB"/>
        </w:rPr>
        <w:t xml:space="preserve">tients due to risk of occlusion </w:t>
      </w:r>
    </w:p>
    <w:p w:rsidR="00FB36B0" w:rsidRDefault="00FB36B0" w:rsidP="00FB36B0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>Avoid sites that have had more than 1 venepuncture</w:t>
      </w:r>
    </w:p>
    <w:p w:rsidR="00FB36B0" w:rsidRDefault="00FB36B0" w:rsidP="00FB36B0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>Ensure there is re</w:t>
      </w:r>
      <w:r w:rsidR="00EF6911">
        <w:rPr>
          <w:rFonts w:ascii="Arial" w:hAnsi="Arial" w:cs="Arial"/>
          <w:sz w:val="24"/>
          <w:szCs w:val="24"/>
          <w:lang w:eastAsia="en-GB"/>
        </w:rPr>
        <w:t>t</w:t>
      </w:r>
      <w:r>
        <w:rPr>
          <w:rFonts w:ascii="Arial" w:hAnsi="Arial" w:cs="Arial"/>
          <w:sz w:val="24"/>
          <w:szCs w:val="24"/>
          <w:lang w:eastAsia="en-GB"/>
        </w:rPr>
        <w:t>urn of blood following insertion of PVC and that PVC flus</w:t>
      </w:r>
      <w:r w:rsidR="00EF6911">
        <w:rPr>
          <w:rFonts w:ascii="Arial" w:hAnsi="Arial" w:cs="Arial"/>
          <w:sz w:val="24"/>
          <w:szCs w:val="24"/>
          <w:lang w:eastAsia="en-GB"/>
        </w:rPr>
        <w:t>h</w:t>
      </w:r>
      <w:r>
        <w:rPr>
          <w:rFonts w:ascii="Arial" w:hAnsi="Arial" w:cs="Arial"/>
          <w:sz w:val="24"/>
          <w:szCs w:val="24"/>
          <w:lang w:eastAsia="en-GB"/>
        </w:rPr>
        <w:t>es easily with 5-10ml of 0.9% sodium chloride. A clear dressing allowing inspection of point of insertion should be applied.</w:t>
      </w:r>
    </w:p>
    <w:p w:rsidR="00FB36B0" w:rsidRDefault="00FB36B0" w:rsidP="00FB36B0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>Site second PVC in case of failure of primary site</w:t>
      </w:r>
    </w:p>
    <w:p w:rsidR="00A42603" w:rsidRPr="00FB36B0" w:rsidRDefault="00FB36B0" w:rsidP="00FB36B0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>Infusion should be a dedicated line with no other infusions running, clearly labelled ‘peripheral noradrenaline’</w:t>
      </w:r>
      <w:r w:rsidRPr="00FB36B0">
        <w:rPr>
          <w:rFonts w:ascii="Arial" w:hAnsi="Arial" w:cs="Arial"/>
          <w:sz w:val="24"/>
          <w:szCs w:val="24"/>
          <w:lang w:eastAsia="en-GB"/>
        </w:rPr>
        <w:br/>
      </w:r>
    </w:p>
    <w:p w:rsidR="00D71845" w:rsidRDefault="00FB36B0" w:rsidP="00FB36B0">
      <w:pPr>
        <w:pStyle w:val="NoSpacing"/>
        <w:rPr>
          <w:rFonts w:ascii="Arial" w:hAnsi="Arial" w:cs="Arial"/>
          <w:sz w:val="24"/>
          <w:szCs w:val="24"/>
          <w:lang w:eastAsia="en-GB"/>
        </w:rPr>
      </w:pPr>
      <w:r w:rsidRPr="00FB36B0">
        <w:rPr>
          <w:rFonts w:ascii="Arial" w:hAnsi="Arial" w:cs="Arial"/>
          <w:b/>
          <w:sz w:val="24"/>
          <w:szCs w:val="24"/>
          <w:lang w:eastAsia="en-GB"/>
        </w:rPr>
        <w:t>Monitoring</w:t>
      </w:r>
      <w:r w:rsidRPr="00FB36B0">
        <w:rPr>
          <w:rFonts w:ascii="Arial" w:hAnsi="Arial" w:cs="Arial"/>
          <w:sz w:val="24"/>
          <w:szCs w:val="24"/>
          <w:lang w:eastAsia="en-GB"/>
        </w:rPr>
        <w:br/>
        <w:t>Invasive blood pressure monitoring via arterial line is recommended</w:t>
      </w:r>
      <w:r w:rsidR="00EF6911">
        <w:rPr>
          <w:rFonts w:ascii="Arial" w:hAnsi="Arial" w:cs="Arial"/>
          <w:sz w:val="24"/>
          <w:szCs w:val="24"/>
          <w:lang w:eastAsia="en-GB"/>
        </w:rPr>
        <w:t>.</w:t>
      </w:r>
      <w:r w:rsidRPr="00FB36B0">
        <w:rPr>
          <w:rFonts w:ascii="Arial" w:hAnsi="Arial" w:cs="Arial"/>
          <w:sz w:val="24"/>
          <w:szCs w:val="24"/>
          <w:lang w:eastAsia="en-GB"/>
        </w:rPr>
        <w:br/>
      </w:r>
      <w:r w:rsidR="00D71845">
        <w:rPr>
          <w:rFonts w:ascii="Arial" w:hAnsi="Arial" w:cs="Arial"/>
          <w:sz w:val="24"/>
          <w:szCs w:val="24"/>
          <w:lang w:eastAsia="en-GB"/>
        </w:rPr>
        <w:t xml:space="preserve">If non invasive BP monitoring used this should </w:t>
      </w:r>
      <w:r w:rsidRPr="00FB36B0">
        <w:rPr>
          <w:rFonts w:ascii="Arial" w:hAnsi="Arial" w:cs="Arial"/>
          <w:sz w:val="24"/>
          <w:szCs w:val="24"/>
          <w:lang w:eastAsia="en-GB"/>
        </w:rPr>
        <w:t>cycle</w:t>
      </w:r>
      <w:r w:rsidR="00D71845">
        <w:rPr>
          <w:rFonts w:ascii="Arial" w:hAnsi="Arial" w:cs="Arial"/>
          <w:sz w:val="24"/>
          <w:szCs w:val="24"/>
          <w:lang w:eastAsia="en-GB"/>
        </w:rPr>
        <w:t xml:space="preserve"> </w:t>
      </w:r>
      <w:r w:rsidRPr="00FB36B0">
        <w:rPr>
          <w:rFonts w:ascii="Arial" w:hAnsi="Arial" w:cs="Arial"/>
          <w:sz w:val="24"/>
          <w:szCs w:val="24"/>
          <w:lang w:eastAsia="en-GB"/>
        </w:rPr>
        <w:t>at 5 minute intervals</w:t>
      </w:r>
      <w:r w:rsidR="00D71845">
        <w:rPr>
          <w:rFonts w:ascii="Arial" w:hAnsi="Arial" w:cs="Arial"/>
          <w:sz w:val="24"/>
          <w:szCs w:val="24"/>
          <w:lang w:eastAsia="en-GB"/>
        </w:rPr>
        <w:t xml:space="preserve"> and cuff should be placed on different limb to infusion site</w:t>
      </w:r>
      <w:r w:rsidR="00EF6911">
        <w:rPr>
          <w:rFonts w:ascii="Arial" w:hAnsi="Arial" w:cs="Arial"/>
          <w:sz w:val="24"/>
          <w:szCs w:val="24"/>
          <w:lang w:eastAsia="en-GB"/>
        </w:rPr>
        <w:t>.</w:t>
      </w:r>
      <w:r w:rsidR="009D6CBE">
        <w:rPr>
          <w:rFonts w:ascii="Arial" w:hAnsi="Arial" w:cs="Arial"/>
          <w:sz w:val="24"/>
          <w:szCs w:val="24"/>
          <w:lang w:eastAsia="en-GB"/>
        </w:rPr>
        <w:t xml:space="preserve"> </w:t>
      </w:r>
      <w:r w:rsidRPr="00FB36B0">
        <w:rPr>
          <w:rFonts w:ascii="Arial" w:hAnsi="Arial" w:cs="Arial"/>
          <w:sz w:val="24"/>
          <w:szCs w:val="24"/>
          <w:lang w:eastAsia="en-GB"/>
        </w:rPr>
        <w:t xml:space="preserve">Inspect </w:t>
      </w:r>
      <w:proofErr w:type="spellStart"/>
      <w:r w:rsidRPr="00FB36B0">
        <w:rPr>
          <w:rFonts w:ascii="Arial" w:hAnsi="Arial" w:cs="Arial"/>
          <w:sz w:val="24"/>
          <w:szCs w:val="24"/>
          <w:lang w:eastAsia="en-GB"/>
        </w:rPr>
        <w:t>cannula</w:t>
      </w:r>
      <w:proofErr w:type="spellEnd"/>
      <w:r w:rsidRPr="00FB36B0">
        <w:rPr>
          <w:rFonts w:ascii="Arial" w:hAnsi="Arial" w:cs="Arial"/>
          <w:sz w:val="24"/>
          <w:szCs w:val="24"/>
          <w:lang w:eastAsia="en-GB"/>
        </w:rPr>
        <w:t xml:space="preserve"> site every 30 minutes (blanching, </w:t>
      </w:r>
      <w:proofErr w:type="spellStart"/>
      <w:r w:rsidRPr="00FB36B0">
        <w:rPr>
          <w:rFonts w:ascii="Arial" w:hAnsi="Arial" w:cs="Arial"/>
          <w:sz w:val="24"/>
          <w:szCs w:val="24"/>
          <w:lang w:eastAsia="en-GB"/>
        </w:rPr>
        <w:t>erythema</w:t>
      </w:r>
      <w:proofErr w:type="spellEnd"/>
      <w:r w:rsidRPr="00FB36B0">
        <w:rPr>
          <w:rFonts w:ascii="Arial" w:hAnsi="Arial" w:cs="Arial"/>
          <w:sz w:val="24"/>
          <w:szCs w:val="24"/>
          <w:lang w:eastAsia="en-GB"/>
        </w:rPr>
        <w:t xml:space="preserve">, swelling, </w:t>
      </w:r>
      <w:proofErr w:type="spellStart"/>
      <w:proofErr w:type="gramStart"/>
      <w:r w:rsidRPr="00FB36B0">
        <w:rPr>
          <w:rFonts w:ascii="Arial" w:hAnsi="Arial" w:cs="Arial"/>
          <w:sz w:val="24"/>
          <w:szCs w:val="24"/>
          <w:lang w:eastAsia="en-GB"/>
        </w:rPr>
        <w:t>extravasation</w:t>
      </w:r>
      <w:proofErr w:type="spellEnd"/>
      <w:proofErr w:type="gramEnd"/>
      <w:r w:rsidRPr="00FB36B0">
        <w:rPr>
          <w:rFonts w:ascii="Arial" w:hAnsi="Arial" w:cs="Arial"/>
          <w:sz w:val="24"/>
          <w:szCs w:val="24"/>
          <w:lang w:eastAsia="en-GB"/>
        </w:rPr>
        <w:t>)</w:t>
      </w:r>
      <w:r w:rsidR="00EF6911">
        <w:rPr>
          <w:rFonts w:ascii="Arial" w:hAnsi="Arial" w:cs="Arial"/>
          <w:sz w:val="24"/>
          <w:szCs w:val="24"/>
          <w:lang w:eastAsia="en-GB"/>
        </w:rPr>
        <w:t>.</w:t>
      </w:r>
    </w:p>
    <w:p w:rsidR="00D71845" w:rsidRDefault="00D71845" w:rsidP="00FB36B0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p w:rsidR="009D6CBE" w:rsidRDefault="009D6CBE" w:rsidP="00FB36B0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p w:rsidR="00D71845" w:rsidRDefault="00D71845" w:rsidP="00D71845">
      <w:pPr>
        <w:pStyle w:val="NoSpacing"/>
        <w:rPr>
          <w:rFonts w:ascii="Arial" w:hAnsi="Arial" w:cs="Arial"/>
          <w:bCs/>
          <w:sz w:val="24"/>
          <w:szCs w:val="24"/>
          <w:lang w:eastAsia="en-GB"/>
        </w:rPr>
      </w:pPr>
      <w:proofErr w:type="gramStart"/>
      <w:r>
        <w:rPr>
          <w:rFonts w:ascii="Arial" w:hAnsi="Arial" w:cs="Arial"/>
          <w:b/>
          <w:sz w:val="24"/>
          <w:szCs w:val="24"/>
          <w:lang w:eastAsia="en-GB"/>
        </w:rPr>
        <w:t xml:space="preserve">Management of </w:t>
      </w:r>
      <w:proofErr w:type="spellStart"/>
      <w:r>
        <w:rPr>
          <w:rFonts w:ascii="Arial" w:hAnsi="Arial" w:cs="Arial"/>
          <w:b/>
          <w:sz w:val="24"/>
          <w:szCs w:val="24"/>
          <w:lang w:eastAsia="en-GB"/>
        </w:rPr>
        <w:t>e</w:t>
      </w:r>
      <w:r w:rsidRPr="00D71845">
        <w:rPr>
          <w:rFonts w:ascii="Arial" w:hAnsi="Arial" w:cs="Arial"/>
          <w:b/>
          <w:sz w:val="24"/>
          <w:szCs w:val="24"/>
          <w:lang w:eastAsia="en-GB"/>
        </w:rPr>
        <w:t>xtravasation</w:t>
      </w:r>
      <w:proofErr w:type="spellEnd"/>
      <w:r>
        <w:rPr>
          <w:rFonts w:ascii="Arial" w:hAnsi="Arial" w:cs="Arial"/>
          <w:b/>
          <w:sz w:val="24"/>
          <w:szCs w:val="24"/>
          <w:lang w:eastAsia="en-GB"/>
        </w:rPr>
        <w:t xml:space="preserve"> of peripheral </w:t>
      </w:r>
      <w:proofErr w:type="spellStart"/>
      <w:r>
        <w:rPr>
          <w:rFonts w:ascii="Arial" w:hAnsi="Arial" w:cs="Arial"/>
          <w:b/>
          <w:sz w:val="24"/>
          <w:szCs w:val="24"/>
          <w:lang w:eastAsia="en-GB"/>
        </w:rPr>
        <w:t>noradrenaline</w:t>
      </w:r>
      <w:proofErr w:type="spellEnd"/>
      <w:r>
        <w:rPr>
          <w:rFonts w:ascii="Arial" w:hAnsi="Arial" w:cs="Arial"/>
          <w:b/>
          <w:sz w:val="24"/>
          <w:szCs w:val="24"/>
          <w:lang w:eastAsia="en-GB"/>
        </w:rPr>
        <w:t xml:space="preserve"> infusion</w:t>
      </w:r>
      <w:r>
        <w:rPr>
          <w:bCs/>
          <w:lang w:eastAsia="en-GB"/>
        </w:rPr>
        <w:br/>
      </w:r>
      <w:r w:rsidRPr="00D71845">
        <w:rPr>
          <w:rFonts w:ascii="Arial" w:hAnsi="Arial" w:cs="Arial"/>
          <w:bCs/>
          <w:sz w:val="24"/>
          <w:szCs w:val="24"/>
          <w:lang w:eastAsia="en-GB"/>
        </w:rPr>
        <w:t>1.</w:t>
      </w:r>
      <w:proofErr w:type="gramEnd"/>
      <w:r w:rsidRPr="00D71845">
        <w:rPr>
          <w:rFonts w:ascii="Arial" w:hAnsi="Arial" w:cs="Arial"/>
          <w:bCs/>
          <w:sz w:val="24"/>
          <w:szCs w:val="24"/>
          <w:lang w:eastAsia="en-GB"/>
        </w:rPr>
        <w:t xml:space="preserve"> Stop the infusion immediately and disconnect the line from PVC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br/>
        <w:t xml:space="preserve">2. Attempt to aspirate 3-5ml from the PVC 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br/>
        <w:t>3. Remove the cannula and apply a dressing to the removal site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br/>
        <w:t>4. Mark the extravasation area if possible, in order to allow monitoring of any developing injury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br/>
        <w:t xml:space="preserve">5. Elevate the affected limb if able to do so to reduce </w:t>
      </w:r>
      <w:r>
        <w:rPr>
          <w:rFonts w:ascii="Arial" w:hAnsi="Arial" w:cs="Arial"/>
          <w:bCs/>
          <w:sz w:val="24"/>
          <w:szCs w:val="24"/>
          <w:lang w:eastAsia="en-GB"/>
        </w:rPr>
        <w:t xml:space="preserve">any 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t>swelling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br/>
        <w:t>6. Consider the application of a topical vasoactive agent to encourage local blood flow (</w:t>
      </w:r>
      <w:r>
        <w:rPr>
          <w:rFonts w:ascii="Arial" w:hAnsi="Arial" w:cs="Arial"/>
          <w:bCs/>
          <w:sz w:val="24"/>
          <w:szCs w:val="24"/>
          <w:lang w:eastAsia="en-GB"/>
        </w:rPr>
        <w:t>e</w:t>
      </w:r>
      <w:r w:rsidR="001F6F00">
        <w:rPr>
          <w:rFonts w:ascii="Arial" w:hAnsi="Arial" w:cs="Arial"/>
          <w:bCs/>
          <w:sz w:val="24"/>
          <w:szCs w:val="24"/>
          <w:lang w:eastAsia="en-GB"/>
        </w:rPr>
        <w:t>.</w:t>
      </w:r>
      <w:r>
        <w:rPr>
          <w:rFonts w:ascii="Arial" w:hAnsi="Arial" w:cs="Arial"/>
          <w:bCs/>
          <w:sz w:val="24"/>
          <w:szCs w:val="24"/>
          <w:lang w:eastAsia="en-GB"/>
        </w:rPr>
        <w:t>g</w:t>
      </w:r>
      <w:r w:rsidR="001F6F00">
        <w:rPr>
          <w:rFonts w:ascii="Arial" w:hAnsi="Arial" w:cs="Arial"/>
          <w:bCs/>
          <w:sz w:val="24"/>
          <w:szCs w:val="24"/>
          <w:lang w:eastAsia="en-GB"/>
        </w:rPr>
        <w:t>.</w:t>
      </w:r>
      <w:r>
        <w:rPr>
          <w:rFonts w:ascii="Arial" w:hAnsi="Arial" w:cs="Arial"/>
          <w:bCs/>
          <w:sz w:val="24"/>
          <w:szCs w:val="24"/>
          <w:lang w:eastAsia="en-GB"/>
        </w:rPr>
        <w:t xml:space="preserve"> </w:t>
      </w:r>
      <w:r w:rsidR="00DC5594" w:rsidRPr="00FB25F8">
        <w:rPr>
          <w:rFonts w:ascii="Arial" w:hAnsi="Arial" w:cs="Arial"/>
          <w:bCs/>
          <w:sz w:val="24"/>
          <w:szCs w:val="24"/>
          <w:lang w:eastAsia="en-GB"/>
        </w:rPr>
        <w:t>GTN patch</w:t>
      </w:r>
      <w:proofErr w:type="gramStart"/>
      <w:r w:rsidR="00FB25F8" w:rsidRPr="00FB25F8">
        <w:rPr>
          <w:rFonts w:ascii="Arial" w:hAnsi="Arial" w:cs="Arial"/>
          <w:bCs/>
          <w:sz w:val="24"/>
          <w:szCs w:val="24"/>
          <w:lang w:eastAsia="en-GB"/>
        </w:rPr>
        <w:t>)</w:t>
      </w:r>
      <w:proofErr w:type="gramEnd"/>
      <w:r w:rsidRPr="00DC5594">
        <w:rPr>
          <w:rFonts w:ascii="Arial" w:hAnsi="Arial" w:cs="Arial"/>
          <w:bCs/>
          <w:sz w:val="24"/>
          <w:szCs w:val="24"/>
          <w:lang w:eastAsia="en-GB"/>
        </w:rPr>
        <w:br/>
      </w:r>
      <w:r w:rsidRPr="00D71845">
        <w:rPr>
          <w:rFonts w:ascii="Arial" w:hAnsi="Arial" w:cs="Arial"/>
          <w:bCs/>
          <w:sz w:val="24"/>
          <w:szCs w:val="24"/>
          <w:lang w:eastAsia="en-GB"/>
        </w:rPr>
        <w:t>7. Administer analgesia if required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br/>
        <w:t>8. Seek advice from surgical team or local tissue viability service if concerned</w:t>
      </w:r>
      <w:r w:rsidRPr="00D71845">
        <w:rPr>
          <w:rFonts w:ascii="Arial" w:hAnsi="Arial" w:cs="Arial"/>
          <w:bCs/>
          <w:sz w:val="24"/>
          <w:szCs w:val="24"/>
          <w:lang w:eastAsia="en-GB"/>
        </w:rPr>
        <w:br/>
        <w:t>9. Document the incident and report via DATIX</w:t>
      </w:r>
    </w:p>
    <w:p w:rsidR="00DC5594" w:rsidRDefault="00DC5594" w:rsidP="00D71845">
      <w:pPr>
        <w:pStyle w:val="NoSpacing"/>
        <w:rPr>
          <w:rFonts w:ascii="Arial" w:hAnsi="Arial" w:cs="Arial"/>
          <w:bCs/>
          <w:sz w:val="24"/>
          <w:szCs w:val="24"/>
          <w:lang w:eastAsia="en-GB"/>
        </w:rPr>
      </w:pPr>
    </w:p>
    <w:p w:rsidR="00DC5594" w:rsidRDefault="00DC5594" w:rsidP="00D71845">
      <w:pPr>
        <w:pStyle w:val="NoSpacing"/>
        <w:rPr>
          <w:rFonts w:ascii="Arial" w:hAnsi="Arial" w:cs="Arial"/>
          <w:bCs/>
          <w:sz w:val="24"/>
          <w:szCs w:val="24"/>
          <w:lang w:eastAsia="en-GB"/>
        </w:rPr>
      </w:pPr>
    </w:p>
    <w:p w:rsidR="00DC5594" w:rsidRPr="00FB25F8" w:rsidRDefault="00DC5594" w:rsidP="00DC559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</w:rPr>
      </w:pPr>
      <w:r w:rsidRPr="00FB25F8">
        <w:rPr>
          <w:rFonts w:ascii="Arial" w:hAnsi="Arial" w:cs="Arial"/>
          <w:b/>
          <w:color w:val="000000" w:themeColor="text1"/>
        </w:rPr>
        <w:t xml:space="preserve">Treatment of ischemia due to </w:t>
      </w:r>
      <w:proofErr w:type="spellStart"/>
      <w:r w:rsidRPr="00FB25F8">
        <w:rPr>
          <w:rFonts w:ascii="Arial" w:hAnsi="Arial" w:cs="Arial"/>
          <w:b/>
          <w:color w:val="000000" w:themeColor="text1"/>
        </w:rPr>
        <w:t>extravasation</w:t>
      </w:r>
      <w:proofErr w:type="spellEnd"/>
      <w:r w:rsidRPr="00FB25F8">
        <w:rPr>
          <w:rFonts w:ascii="Arial" w:hAnsi="Arial" w:cs="Arial"/>
          <w:b/>
          <w:color w:val="000000" w:themeColor="text1"/>
        </w:rPr>
        <w:t>:</w:t>
      </w:r>
    </w:p>
    <w:p w:rsidR="00DC5594" w:rsidRPr="009E168A" w:rsidRDefault="00DC5594" w:rsidP="00DC559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proofErr w:type="spellStart"/>
      <w:r w:rsidRPr="00FB25F8">
        <w:rPr>
          <w:rFonts w:ascii="Arial" w:hAnsi="Arial" w:cs="Arial"/>
          <w:color w:val="000000" w:themeColor="text1"/>
        </w:rPr>
        <w:t>Phentolamine</w:t>
      </w:r>
      <w:proofErr w:type="spellEnd"/>
      <w:r w:rsidRPr="00FB25F8">
        <w:rPr>
          <w:rFonts w:ascii="Arial" w:hAnsi="Arial" w:cs="Arial"/>
          <w:color w:val="000000" w:themeColor="text1"/>
        </w:rPr>
        <w:t xml:space="preserve"> can be used as an antidote for </w:t>
      </w:r>
      <w:proofErr w:type="spellStart"/>
      <w:r w:rsidRPr="00FB25F8">
        <w:rPr>
          <w:rFonts w:ascii="Arial" w:hAnsi="Arial" w:cs="Arial"/>
          <w:color w:val="000000" w:themeColor="text1"/>
        </w:rPr>
        <w:t>extravasation</w:t>
      </w:r>
      <w:proofErr w:type="spellEnd"/>
      <w:r w:rsidRPr="00FB25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25F8">
        <w:rPr>
          <w:rFonts w:ascii="Arial" w:hAnsi="Arial" w:cs="Arial"/>
          <w:color w:val="000000" w:themeColor="text1"/>
        </w:rPr>
        <w:t>ischaemia</w:t>
      </w:r>
      <w:proofErr w:type="spellEnd"/>
      <w:r w:rsidRPr="00FB25F8">
        <w:rPr>
          <w:rFonts w:ascii="Arial" w:hAnsi="Arial" w:cs="Arial"/>
          <w:color w:val="000000" w:themeColor="text1"/>
        </w:rPr>
        <w:t xml:space="preserve">. To prevent sloughing and necrosis, the injection zone must be irrigated as quickly as possible with 10 to 15ml of saline solution containing 5 to 10 mg of </w:t>
      </w:r>
      <w:proofErr w:type="spellStart"/>
      <w:r w:rsidRPr="00FB25F8">
        <w:rPr>
          <w:rFonts w:ascii="Arial" w:hAnsi="Arial" w:cs="Arial"/>
          <w:color w:val="000000" w:themeColor="text1"/>
        </w:rPr>
        <w:t>phentolamine</w:t>
      </w:r>
      <w:proofErr w:type="spellEnd"/>
      <w:r w:rsidRPr="00FB25F8">
        <w:rPr>
          <w:rFonts w:ascii="Arial" w:hAnsi="Arial" w:cs="Arial"/>
          <w:color w:val="000000" w:themeColor="text1"/>
        </w:rPr>
        <w:t xml:space="preserve">. For this purpose, it is necessary to use a syringe provided with a fine needle and to inject locally. Sympathetic blockade with </w:t>
      </w:r>
      <w:proofErr w:type="spellStart"/>
      <w:r w:rsidRPr="00FB25F8">
        <w:rPr>
          <w:rFonts w:ascii="Arial" w:hAnsi="Arial" w:cs="Arial"/>
          <w:color w:val="000000" w:themeColor="text1"/>
        </w:rPr>
        <w:t>phentolamine</w:t>
      </w:r>
      <w:proofErr w:type="spellEnd"/>
      <w:r w:rsidRPr="00FB25F8">
        <w:rPr>
          <w:rFonts w:ascii="Arial" w:hAnsi="Arial" w:cs="Arial"/>
          <w:color w:val="000000" w:themeColor="text1"/>
        </w:rPr>
        <w:t xml:space="preserve"> causes immediate and conspicuous local hyperaemic changes if the area is infiltrated within 12 hours.</w:t>
      </w:r>
    </w:p>
    <w:p w:rsidR="00DC5594" w:rsidRDefault="00DC5594" w:rsidP="00D71845">
      <w:pPr>
        <w:pStyle w:val="NoSpacing"/>
        <w:rPr>
          <w:rFonts w:ascii="Arial" w:hAnsi="Arial" w:cs="Arial"/>
          <w:bCs/>
          <w:sz w:val="24"/>
          <w:szCs w:val="24"/>
          <w:lang w:eastAsia="en-GB"/>
        </w:rPr>
      </w:pPr>
    </w:p>
    <w:p w:rsidR="00D71845" w:rsidRDefault="00D71845" w:rsidP="00D71845">
      <w:pPr>
        <w:pStyle w:val="NoSpacing"/>
        <w:rPr>
          <w:rFonts w:ascii="Arial" w:hAnsi="Arial" w:cs="Arial"/>
          <w:bCs/>
          <w:sz w:val="24"/>
          <w:szCs w:val="24"/>
          <w:lang w:eastAsia="en-GB"/>
        </w:rPr>
      </w:pPr>
    </w:p>
    <w:p w:rsidR="00D24385" w:rsidRDefault="00D24385" w:rsidP="00244D8B">
      <w:pPr>
        <w:sectPr w:rsidR="00D24385" w:rsidSect="003E62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238" w:right="720" w:bottom="244" w:left="1247" w:header="709" w:footer="709" w:gutter="0"/>
          <w:cols w:space="708"/>
          <w:docGrid w:linePitch="360"/>
        </w:sectPr>
      </w:pPr>
    </w:p>
    <w:p w:rsidR="00EF6911" w:rsidRDefault="00EF6911" w:rsidP="00EF6911">
      <w:pPr>
        <w:jc w:val="center"/>
        <w:rPr>
          <w:rFonts w:cs="Arial"/>
        </w:rPr>
      </w:pPr>
      <w:r>
        <w:rPr>
          <w:rFonts w:cs="Arial"/>
          <w:b/>
          <w:bCs/>
          <w:noProof/>
          <w:lang w:eastAsia="en-GB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4986818</wp:posOffset>
            </wp:positionH>
            <wp:positionV relativeFrom="paragraph">
              <wp:posOffset>-570368</wp:posOffset>
            </wp:positionV>
            <wp:extent cx="971550" cy="70802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5555">
        <w:rPr>
          <w:rFonts w:cs="Arial"/>
          <w:b/>
          <w:bCs/>
        </w:rPr>
        <w:t xml:space="preserve"> </w:t>
      </w:r>
      <w:r w:rsidRPr="008F2E21">
        <w:rPr>
          <w:rFonts w:cs="Arial"/>
        </w:rPr>
        <w:t>NORADRENALINE (NOREPINEPHRINE) via</w:t>
      </w:r>
      <w:r>
        <w:rPr>
          <w:rFonts w:cs="Arial"/>
          <w:b/>
          <w:bCs/>
        </w:rPr>
        <w:t xml:space="preserve"> </w:t>
      </w:r>
      <w:r w:rsidRPr="008F2E21">
        <w:rPr>
          <w:rFonts w:cs="Arial"/>
          <w:b/>
          <w:bCs/>
          <w:u w:val="single"/>
        </w:rPr>
        <w:t>PERIPHERAL</w:t>
      </w:r>
      <w:r>
        <w:rPr>
          <w:rFonts w:cs="Arial"/>
          <w:b/>
          <w:bCs/>
        </w:rPr>
        <w:t xml:space="preserve"> </w:t>
      </w:r>
      <w:r w:rsidRPr="008F2E21">
        <w:rPr>
          <w:rFonts w:cs="Arial"/>
        </w:rPr>
        <w:t>ADMINISTRATION</w:t>
      </w:r>
    </w:p>
    <w:p w:rsidR="00EF6911" w:rsidRPr="00395555" w:rsidRDefault="00EF6911" w:rsidP="00EF6911">
      <w:pPr>
        <w:jc w:val="center"/>
        <w:rPr>
          <w:rFonts w:cs="Arial"/>
          <w:b/>
          <w:bCs/>
        </w:rPr>
      </w:pPr>
    </w:p>
    <w:tbl>
      <w:tblPr>
        <w:tblStyle w:val="TableGrid"/>
        <w:tblW w:w="10491" w:type="dxa"/>
        <w:tblInd w:w="-885" w:type="dxa"/>
        <w:tblLayout w:type="fixed"/>
        <w:tblLook w:val="0000"/>
      </w:tblPr>
      <w:tblGrid>
        <w:gridCol w:w="3261"/>
        <w:gridCol w:w="7230"/>
      </w:tblGrid>
      <w:tr w:rsidR="00EF6911" w:rsidRPr="00395555" w:rsidTr="00436B2C">
        <w:tc>
          <w:tcPr>
            <w:tcW w:w="3261" w:type="dxa"/>
          </w:tcPr>
          <w:p w:rsidR="00EF6911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F4029">
              <w:rPr>
                <w:rFonts w:cs="Arial"/>
                <w:b/>
                <w:bCs/>
                <w:sz w:val="20"/>
                <w:szCs w:val="20"/>
              </w:rPr>
              <w:t>PRESENTATION:</w:t>
            </w:r>
          </w:p>
          <w:p w:rsidR="00EF6911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EF6911" w:rsidRPr="002F4029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Update April 2020: New Pfizer product</w:t>
            </w:r>
          </w:p>
        </w:tc>
        <w:tc>
          <w:tcPr>
            <w:tcW w:w="7230" w:type="dxa"/>
          </w:tcPr>
          <w:p w:rsidR="00EF6911" w:rsidRDefault="00EF6911" w:rsidP="00436B2C">
            <w:pPr>
              <w:rPr>
                <w:rFonts w:cs="Arial"/>
                <w:sz w:val="20"/>
                <w:szCs w:val="20"/>
              </w:rPr>
            </w:pPr>
            <w:r w:rsidRPr="002F4029">
              <w:rPr>
                <w:rFonts w:cs="Arial"/>
                <w:sz w:val="20"/>
                <w:szCs w:val="20"/>
              </w:rPr>
              <w:t xml:space="preserve">1mg/ml injection: 4ml or 8ml ampoules of </w:t>
            </w:r>
            <w:proofErr w:type="spellStart"/>
            <w:r w:rsidRPr="002F4029">
              <w:rPr>
                <w:rFonts w:cs="Arial"/>
                <w:sz w:val="20"/>
                <w:szCs w:val="20"/>
              </w:rPr>
              <w:t>noradrenaline</w:t>
            </w:r>
            <w:proofErr w:type="spellEnd"/>
            <w:r w:rsidRPr="002F4029">
              <w:rPr>
                <w:rFonts w:cs="Arial"/>
                <w:sz w:val="20"/>
                <w:szCs w:val="20"/>
              </w:rPr>
              <w:t xml:space="preserve"> base.</w:t>
            </w:r>
          </w:p>
          <w:p w:rsidR="00EF6911" w:rsidRDefault="00EF6911" w:rsidP="00436B2C">
            <w:pPr>
              <w:rPr>
                <w:rFonts w:cs="Arial"/>
                <w:sz w:val="20"/>
                <w:szCs w:val="20"/>
              </w:rPr>
            </w:pPr>
          </w:p>
          <w:p w:rsidR="00EF6911" w:rsidRPr="002F4029" w:rsidRDefault="00EF6911" w:rsidP="00436B2C">
            <w:pPr>
              <w:rPr>
                <w:rFonts w:cs="Arial"/>
                <w:sz w:val="20"/>
                <w:szCs w:val="20"/>
              </w:rPr>
            </w:pPr>
            <w:proofErr w:type="spellStart"/>
            <w:r w:rsidRPr="002A1FD8">
              <w:rPr>
                <w:rFonts w:cs="Arial"/>
                <w:b/>
                <w:sz w:val="20"/>
                <w:szCs w:val="20"/>
              </w:rPr>
              <w:t>Norepinephrine</w:t>
            </w:r>
            <w:proofErr w:type="spellEnd"/>
            <w:r w:rsidRPr="002A1FD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2A1FD8">
              <w:rPr>
                <w:rFonts w:cs="Arial"/>
                <w:b/>
                <w:sz w:val="20"/>
                <w:szCs w:val="20"/>
              </w:rPr>
              <w:t>bitartrate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1mg/ml: 4ml vial equivalent to 4ml </w:t>
            </w:r>
            <w:proofErr w:type="spellStart"/>
            <w:r>
              <w:rPr>
                <w:rFonts w:cs="Arial"/>
                <w:sz w:val="20"/>
                <w:szCs w:val="20"/>
              </w:rPr>
              <w:t>noradrenaline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base.  </w:t>
            </w:r>
          </w:p>
        </w:tc>
      </w:tr>
      <w:tr w:rsidR="00EF6911" w:rsidRPr="00395555" w:rsidTr="00436B2C">
        <w:tc>
          <w:tcPr>
            <w:tcW w:w="3261" w:type="dxa"/>
          </w:tcPr>
          <w:p w:rsidR="00EF6911" w:rsidRPr="002F4029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F4029">
              <w:rPr>
                <w:rFonts w:cs="Arial"/>
                <w:b/>
                <w:bCs/>
                <w:sz w:val="20"/>
                <w:szCs w:val="20"/>
              </w:rPr>
              <w:t>INDICATION:</w:t>
            </w:r>
          </w:p>
        </w:tc>
        <w:tc>
          <w:tcPr>
            <w:tcW w:w="7230" w:type="dxa"/>
          </w:tcPr>
          <w:p w:rsidR="00EF6911" w:rsidRPr="002F4029" w:rsidRDefault="00EF6911" w:rsidP="00436B2C">
            <w:pPr>
              <w:rPr>
                <w:rFonts w:cs="Arial"/>
                <w:sz w:val="20"/>
                <w:szCs w:val="20"/>
              </w:rPr>
            </w:pPr>
            <w:r w:rsidRPr="002F4029">
              <w:rPr>
                <w:rFonts w:cs="Arial"/>
                <w:sz w:val="20"/>
                <w:szCs w:val="20"/>
              </w:rPr>
              <w:t xml:space="preserve">Naturally occurring catecholamine primarily used for vasoconstriction. It has some </w:t>
            </w:r>
            <w:proofErr w:type="spellStart"/>
            <w:r w:rsidRPr="002F4029">
              <w:rPr>
                <w:rFonts w:cs="Arial"/>
                <w:sz w:val="20"/>
                <w:szCs w:val="20"/>
              </w:rPr>
              <w:t>inotropic</w:t>
            </w:r>
            <w:proofErr w:type="spellEnd"/>
            <w:r w:rsidRPr="002F4029">
              <w:rPr>
                <w:rFonts w:cs="Arial"/>
                <w:sz w:val="20"/>
                <w:szCs w:val="20"/>
              </w:rPr>
              <w:t xml:space="preserve"> effects in many cases.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Arial"/>
                <w:sz w:val="20"/>
                <w:szCs w:val="20"/>
              </w:rPr>
              <w:t>It’s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effect on blood pressure ceases 1-2 minutes after discontinuing</w:t>
            </w:r>
            <w:r w:rsidR="001F0893">
              <w:rPr>
                <w:rFonts w:cs="Arial"/>
                <w:sz w:val="20"/>
                <w:szCs w:val="20"/>
              </w:rPr>
              <w:t xml:space="preserve"> the infusion</w:t>
            </w:r>
            <w:r>
              <w:rPr>
                <w:rFonts w:cs="Arial"/>
                <w:sz w:val="20"/>
                <w:szCs w:val="20"/>
              </w:rPr>
              <w:t xml:space="preserve">.  </w:t>
            </w:r>
          </w:p>
          <w:p w:rsidR="00EF6911" w:rsidRPr="002F4029" w:rsidRDefault="00EF6911" w:rsidP="00436B2C">
            <w:pPr>
              <w:rPr>
                <w:rFonts w:cs="Arial"/>
                <w:sz w:val="20"/>
                <w:szCs w:val="20"/>
              </w:rPr>
            </w:pPr>
          </w:p>
        </w:tc>
      </w:tr>
      <w:tr w:rsidR="00EF6911" w:rsidRPr="00395555" w:rsidTr="00436B2C">
        <w:trPr>
          <w:trHeight w:val="2977"/>
        </w:trPr>
        <w:tc>
          <w:tcPr>
            <w:tcW w:w="3261" w:type="dxa"/>
          </w:tcPr>
          <w:p w:rsidR="00EF6911" w:rsidRPr="002F4029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F4029">
              <w:rPr>
                <w:rFonts w:cs="Arial"/>
                <w:b/>
                <w:bCs/>
                <w:sz w:val="20"/>
                <w:szCs w:val="20"/>
              </w:rPr>
              <w:t>DOSE AND ADMINISTRATION:</w:t>
            </w:r>
          </w:p>
        </w:tc>
        <w:tc>
          <w:tcPr>
            <w:tcW w:w="7230" w:type="dxa"/>
          </w:tcPr>
          <w:p w:rsidR="00EF6911" w:rsidRPr="002F4029" w:rsidRDefault="00EF6911" w:rsidP="00436B2C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2F4029">
              <w:rPr>
                <w:rFonts w:ascii="Arial" w:hAnsi="Arial" w:cs="Arial"/>
                <w:sz w:val="20"/>
                <w:szCs w:val="20"/>
              </w:rPr>
              <w:t>ICU STANDARD INTRAVENOUS INFUSION</w:t>
            </w:r>
          </w:p>
          <w:p w:rsidR="00EF6911" w:rsidRPr="002F4029" w:rsidRDefault="00EF6911" w:rsidP="00436B2C">
            <w:pPr>
              <w:rPr>
                <w:rFonts w:cs="Arial"/>
                <w:sz w:val="20"/>
                <w:szCs w:val="20"/>
              </w:rPr>
            </w:pPr>
          </w:p>
          <w:p w:rsidR="00EF6911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For peripheral administration: Add 4ml of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noradrenaline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(1mg/ml) to 246ml bag of 5% glucose</w:t>
            </w:r>
          </w:p>
          <w:p w:rsidR="00EF6911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9D6CBE" w:rsidRDefault="00EF6911" w:rsidP="00436B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Start at 0.05mcg/kg/min.  </w:t>
            </w:r>
            <w:r w:rsidR="001F0893">
              <w:rPr>
                <w:rFonts w:cs="Arial"/>
                <w:sz w:val="20"/>
                <w:szCs w:val="20"/>
              </w:rPr>
              <w:t>For example, in a 70kg patient a</w:t>
            </w:r>
            <w:r w:rsidRPr="00E85890">
              <w:rPr>
                <w:rFonts w:cs="Arial"/>
                <w:sz w:val="20"/>
                <w:szCs w:val="20"/>
              </w:rPr>
              <w:t xml:space="preserve">dminister via an infusion pump at a </w:t>
            </w:r>
            <w:r w:rsidR="00845622">
              <w:rPr>
                <w:rFonts w:cs="Arial"/>
                <w:sz w:val="20"/>
                <w:szCs w:val="20"/>
              </w:rPr>
              <w:t>starting dose</w:t>
            </w:r>
            <w:r w:rsidR="00845622" w:rsidRPr="00E85890">
              <w:rPr>
                <w:rFonts w:cs="Arial"/>
                <w:sz w:val="20"/>
                <w:szCs w:val="20"/>
              </w:rPr>
              <w:t xml:space="preserve"> </w:t>
            </w:r>
            <w:r w:rsidRPr="00E85890">
              <w:rPr>
                <w:rFonts w:cs="Arial"/>
                <w:sz w:val="20"/>
                <w:szCs w:val="20"/>
              </w:rPr>
              <w:t>of 210</w:t>
            </w:r>
            <w:r w:rsidR="00845622">
              <w:rPr>
                <w:rFonts w:cs="Arial"/>
                <w:sz w:val="20"/>
                <w:szCs w:val="20"/>
              </w:rPr>
              <w:t xml:space="preserve"> </w:t>
            </w:r>
            <w:r w:rsidRPr="00E85890">
              <w:rPr>
                <w:rFonts w:cs="Arial"/>
                <w:sz w:val="20"/>
                <w:szCs w:val="20"/>
              </w:rPr>
              <w:t>microgram/hour (13</w:t>
            </w:r>
            <w:r w:rsidR="001F6F00">
              <w:rPr>
                <w:rFonts w:cs="Arial"/>
                <w:sz w:val="20"/>
                <w:szCs w:val="20"/>
              </w:rPr>
              <w:t>.1</w:t>
            </w:r>
            <w:r w:rsidR="001F089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F6F00">
              <w:rPr>
                <w:rFonts w:cs="Arial"/>
                <w:sz w:val="20"/>
                <w:szCs w:val="20"/>
              </w:rPr>
              <w:t>mL</w:t>
            </w:r>
            <w:proofErr w:type="spellEnd"/>
            <w:r w:rsidRPr="00E85890">
              <w:rPr>
                <w:rFonts w:cs="Arial"/>
                <w:sz w:val="20"/>
                <w:szCs w:val="20"/>
              </w:rPr>
              <w:t>/hour</w:t>
            </w:r>
            <w:r w:rsidR="00845622">
              <w:rPr>
                <w:rFonts w:cs="Arial"/>
                <w:sz w:val="20"/>
                <w:szCs w:val="20"/>
              </w:rPr>
              <w:t>).</w:t>
            </w:r>
            <w:r w:rsidRPr="00E85890">
              <w:rPr>
                <w:rFonts w:cs="Arial"/>
                <w:sz w:val="20"/>
                <w:szCs w:val="20"/>
              </w:rPr>
              <w:t>*</w:t>
            </w:r>
          </w:p>
          <w:p w:rsidR="00EF6911" w:rsidRDefault="00EF6911" w:rsidP="00436B2C">
            <w:pPr>
              <w:rPr>
                <w:rFonts w:cs="Arial"/>
                <w:sz w:val="20"/>
                <w:szCs w:val="20"/>
              </w:rPr>
            </w:pPr>
            <w:r w:rsidRPr="00E85890">
              <w:rPr>
                <w:rFonts w:cs="Arial"/>
                <w:sz w:val="20"/>
                <w:szCs w:val="20"/>
              </w:rPr>
              <w:t>Titrate to desired effect.</w:t>
            </w:r>
            <w:r>
              <w:rPr>
                <w:rFonts w:cs="Arial"/>
                <w:sz w:val="20"/>
                <w:szCs w:val="20"/>
              </w:rPr>
              <w:t xml:space="preserve"> MAXIMUM RATE of 25ml/hr.</w:t>
            </w:r>
          </w:p>
          <w:p w:rsidR="00EF6911" w:rsidRPr="005E09E2" w:rsidRDefault="00EF6911" w:rsidP="00436B2C">
            <w:pPr>
              <w:rPr>
                <w:rFonts w:cs="Arial"/>
                <w:sz w:val="20"/>
                <w:szCs w:val="20"/>
              </w:rPr>
            </w:pPr>
          </w:p>
          <w:p w:rsidR="00EF6911" w:rsidRPr="002F4029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E09E2">
              <w:rPr>
                <w:rFonts w:cs="Arial"/>
                <w:color w:val="000000"/>
                <w:sz w:val="20"/>
                <w:szCs w:val="20"/>
              </w:rPr>
              <w:t xml:space="preserve">Peripheral </w:t>
            </w:r>
            <w:proofErr w:type="spellStart"/>
            <w:r w:rsidRPr="005E09E2">
              <w:rPr>
                <w:rFonts w:cs="Arial"/>
                <w:color w:val="000000"/>
                <w:sz w:val="20"/>
                <w:szCs w:val="20"/>
              </w:rPr>
              <w:t>noradrenaline</w:t>
            </w:r>
            <w:proofErr w:type="spellEnd"/>
            <w:r w:rsidRPr="005E09E2">
              <w:rPr>
                <w:rFonts w:cs="Arial"/>
                <w:color w:val="000000"/>
                <w:sz w:val="20"/>
                <w:szCs w:val="20"/>
              </w:rPr>
              <w:t xml:space="preserve"> infusion should be administered through at least a 20G peripheral venous </w:t>
            </w:r>
            <w:proofErr w:type="spellStart"/>
            <w:r w:rsidRPr="005E09E2">
              <w:rPr>
                <w:rFonts w:cs="Arial"/>
                <w:color w:val="000000"/>
                <w:sz w:val="20"/>
                <w:szCs w:val="20"/>
              </w:rPr>
              <w:t>cannula</w:t>
            </w:r>
            <w:proofErr w:type="spellEnd"/>
          </w:p>
        </w:tc>
      </w:tr>
      <w:tr w:rsidR="00EF6911" w:rsidRPr="00395555" w:rsidTr="00436B2C">
        <w:tc>
          <w:tcPr>
            <w:tcW w:w="3261" w:type="dxa"/>
          </w:tcPr>
          <w:p w:rsidR="00EF6911" w:rsidRPr="00C06776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C06776">
              <w:rPr>
                <w:rFonts w:cs="Arial"/>
                <w:b/>
                <w:bCs/>
                <w:sz w:val="20"/>
                <w:szCs w:val="20"/>
              </w:rPr>
              <w:t>CONCENTRATION:</w:t>
            </w:r>
          </w:p>
        </w:tc>
        <w:tc>
          <w:tcPr>
            <w:tcW w:w="7230" w:type="dxa"/>
          </w:tcPr>
          <w:p w:rsidR="00EF6911" w:rsidRDefault="00EF6911" w:rsidP="00436B2C">
            <w:pPr>
              <w:rPr>
                <w:rFonts w:cs="Arial"/>
                <w:sz w:val="20"/>
                <w:szCs w:val="20"/>
              </w:rPr>
            </w:pPr>
            <w:r w:rsidRPr="00110960">
              <w:rPr>
                <w:rFonts w:cs="Arial"/>
                <w:b/>
                <w:sz w:val="20"/>
                <w:szCs w:val="20"/>
              </w:rPr>
              <w:t>Peripheral strength</w:t>
            </w:r>
            <w:r w:rsidRPr="00C06776">
              <w:rPr>
                <w:rFonts w:cs="Arial"/>
                <w:sz w:val="20"/>
                <w:szCs w:val="20"/>
              </w:rPr>
              <w:t xml:space="preserve">       </w:t>
            </w:r>
            <w:r>
              <w:rPr>
                <w:rFonts w:cs="Arial"/>
                <w:sz w:val="20"/>
                <w:szCs w:val="20"/>
              </w:rPr>
              <w:t>16</w:t>
            </w:r>
            <w:r w:rsidR="001F6F00">
              <w:rPr>
                <w:rFonts w:cs="Arial"/>
                <w:sz w:val="20"/>
                <w:szCs w:val="20"/>
              </w:rPr>
              <w:t xml:space="preserve"> </w:t>
            </w:r>
            <w:r w:rsidRPr="00C06776">
              <w:rPr>
                <w:rFonts w:cs="Arial"/>
                <w:sz w:val="20"/>
                <w:szCs w:val="20"/>
              </w:rPr>
              <w:t>micrograms/ml</w:t>
            </w:r>
          </w:p>
          <w:p w:rsidR="00EF6911" w:rsidRPr="00C06776" w:rsidRDefault="00EF6911" w:rsidP="00436B2C">
            <w:pPr>
              <w:rPr>
                <w:rFonts w:cs="Arial"/>
                <w:sz w:val="20"/>
                <w:szCs w:val="20"/>
              </w:rPr>
            </w:pPr>
          </w:p>
        </w:tc>
      </w:tr>
      <w:tr w:rsidR="00EF6911" w:rsidRPr="00395555" w:rsidTr="00436B2C">
        <w:trPr>
          <w:trHeight w:val="503"/>
        </w:trPr>
        <w:tc>
          <w:tcPr>
            <w:tcW w:w="3261" w:type="dxa"/>
          </w:tcPr>
          <w:p w:rsidR="00EF6911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C06776">
              <w:rPr>
                <w:rFonts w:cs="Arial"/>
                <w:b/>
                <w:bCs/>
                <w:sz w:val="20"/>
                <w:szCs w:val="20"/>
              </w:rPr>
              <w:t>STABILITY:</w:t>
            </w:r>
          </w:p>
          <w:p w:rsidR="00EF6911" w:rsidRPr="00C06776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7230" w:type="dxa"/>
          </w:tcPr>
          <w:p w:rsidR="00EF6911" w:rsidRPr="00C06776" w:rsidRDefault="00EF6911" w:rsidP="00436B2C">
            <w:pPr>
              <w:rPr>
                <w:rFonts w:cs="Arial"/>
                <w:sz w:val="20"/>
                <w:szCs w:val="20"/>
              </w:rPr>
            </w:pPr>
            <w:r w:rsidRPr="00C06776">
              <w:rPr>
                <w:rFonts w:cs="Arial"/>
                <w:sz w:val="20"/>
                <w:szCs w:val="20"/>
              </w:rPr>
              <w:t xml:space="preserve">Physically </w:t>
            </w:r>
            <w:r>
              <w:rPr>
                <w:rFonts w:cs="Arial"/>
                <w:sz w:val="20"/>
                <w:szCs w:val="20"/>
              </w:rPr>
              <w:t>&amp;</w:t>
            </w:r>
            <w:r w:rsidRPr="00C06776">
              <w:rPr>
                <w:rFonts w:cs="Arial"/>
                <w:sz w:val="20"/>
                <w:szCs w:val="20"/>
              </w:rPr>
              <w:t xml:space="preserve"> chemically stable for 24 hours at room temp.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06776">
              <w:rPr>
                <w:rFonts w:cs="Arial"/>
                <w:sz w:val="20"/>
                <w:szCs w:val="20"/>
              </w:rPr>
              <w:t>Protect from light.</w:t>
            </w:r>
          </w:p>
        </w:tc>
      </w:tr>
      <w:tr w:rsidR="00EF6911" w:rsidRPr="00395555" w:rsidTr="001F6F00">
        <w:trPr>
          <w:trHeight w:val="2537"/>
        </w:trPr>
        <w:tc>
          <w:tcPr>
            <w:tcW w:w="3261" w:type="dxa"/>
          </w:tcPr>
          <w:p w:rsidR="00EF6911" w:rsidRPr="00C06776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C06776">
              <w:rPr>
                <w:rFonts w:cs="Arial"/>
                <w:b/>
                <w:bCs/>
                <w:sz w:val="20"/>
                <w:szCs w:val="20"/>
              </w:rPr>
              <w:t>ADDITIONAL NOTES:</w:t>
            </w:r>
          </w:p>
        </w:tc>
        <w:tc>
          <w:tcPr>
            <w:tcW w:w="7230" w:type="dxa"/>
          </w:tcPr>
          <w:p w:rsidR="00EF6911" w:rsidRPr="00E85890" w:rsidRDefault="00EF6911" w:rsidP="00436B2C">
            <w:pPr>
              <w:rPr>
                <w:rFonts w:cs="Arial"/>
                <w:sz w:val="20"/>
                <w:szCs w:val="20"/>
              </w:rPr>
            </w:pPr>
            <w:r w:rsidRPr="00E85890">
              <w:rPr>
                <w:rFonts w:cs="Arial"/>
                <w:sz w:val="20"/>
                <w:szCs w:val="20"/>
              </w:rPr>
              <w:t xml:space="preserve">After discontinuation, flush the peripheral </w:t>
            </w:r>
            <w:proofErr w:type="spellStart"/>
            <w:r w:rsidRPr="00E85890">
              <w:rPr>
                <w:rFonts w:cs="Arial"/>
                <w:sz w:val="20"/>
                <w:szCs w:val="20"/>
              </w:rPr>
              <w:t>cannula</w:t>
            </w:r>
            <w:proofErr w:type="spellEnd"/>
            <w:r w:rsidRPr="00E85890">
              <w:rPr>
                <w:rFonts w:cs="Arial"/>
                <w:sz w:val="20"/>
                <w:szCs w:val="20"/>
              </w:rPr>
              <w:t xml:space="preserve"> with sodium chloride 0.9% at the same rate the medicine was infused to avoid adverse </w:t>
            </w:r>
            <w:proofErr w:type="spellStart"/>
            <w:r w:rsidRPr="00E85890">
              <w:rPr>
                <w:rFonts w:cs="Arial"/>
                <w:sz w:val="20"/>
                <w:szCs w:val="20"/>
              </w:rPr>
              <w:t>haemodynamic</w:t>
            </w:r>
            <w:proofErr w:type="spellEnd"/>
            <w:r w:rsidRPr="00E85890">
              <w:rPr>
                <w:rFonts w:cs="Arial"/>
                <w:sz w:val="20"/>
                <w:szCs w:val="20"/>
              </w:rPr>
              <w:t xml:space="preserve"> effects.</w:t>
            </w:r>
          </w:p>
          <w:p w:rsidR="00EF6911" w:rsidRPr="00E85890" w:rsidRDefault="00EF6911" w:rsidP="00436B2C">
            <w:pPr>
              <w:rPr>
                <w:rFonts w:cs="Arial"/>
                <w:sz w:val="20"/>
                <w:szCs w:val="20"/>
              </w:rPr>
            </w:pPr>
            <w:r w:rsidRPr="00E85890">
              <w:rPr>
                <w:rFonts w:cs="Arial"/>
                <w:sz w:val="20"/>
                <w:szCs w:val="20"/>
              </w:rPr>
              <w:t xml:space="preserve">The concomitant administration of </w:t>
            </w:r>
            <w:proofErr w:type="spellStart"/>
            <w:r w:rsidRPr="00E85890">
              <w:rPr>
                <w:rFonts w:cs="Arial"/>
                <w:sz w:val="20"/>
                <w:szCs w:val="20"/>
              </w:rPr>
              <w:t>noradrenaline</w:t>
            </w:r>
            <w:proofErr w:type="spellEnd"/>
            <w:r w:rsidRPr="00E85890">
              <w:rPr>
                <w:rFonts w:cs="Arial"/>
                <w:sz w:val="20"/>
                <w:szCs w:val="20"/>
              </w:rPr>
              <w:t xml:space="preserve"> and other medicines via a Y-site should be avoided to prevent inadvertent bolus administration of </w:t>
            </w:r>
            <w:proofErr w:type="spellStart"/>
            <w:r w:rsidRPr="00E85890">
              <w:rPr>
                <w:rFonts w:cs="Arial"/>
                <w:sz w:val="20"/>
                <w:szCs w:val="20"/>
              </w:rPr>
              <w:t>noradrenaline</w:t>
            </w:r>
            <w:proofErr w:type="spellEnd"/>
            <w:r w:rsidRPr="00E85890">
              <w:rPr>
                <w:rFonts w:cs="Arial"/>
                <w:sz w:val="20"/>
                <w:szCs w:val="20"/>
              </w:rPr>
              <w:t>.</w:t>
            </w:r>
          </w:p>
          <w:p w:rsidR="00EF6911" w:rsidRPr="00E85890" w:rsidRDefault="00EF6911" w:rsidP="00436B2C">
            <w:pPr>
              <w:rPr>
                <w:rFonts w:cs="Arial"/>
                <w:sz w:val="20"/>
                <w:szCs w:val="20"/>
              </w:rPr>
            </w:pPr>
          </w:p>
          <w:p w:rsidR="00EF6911" w:rsidRPr="001F6F00" w:rsidRDefault="00EF6911" w:rsidP="00436B2C">
            <w:pPr>
              <w:rPr>
                <w:rFonts w:cs="Arial"/>
                <w:sz w:val="20"/>
                <w:szCs w:val="20"/>
              </w:rPr>
            </w:pPr>
            <w:r w:rsidRPr="00E85890">
              <w:rPr>
                <w:rFonts w:cs="Arial"/>
                <w:sz w:val="20"/>
                <w:szCs w:val="20"/>
              </w:rPr>
              <w:t xml:space="preserve">Also stable for 24 hours in 0.9% sodium chloride but more stable in glucose 5%. </w:t>
            </w:r>
            <w:proofErr w:type="spellStart"/>
            <w:r w:rsidRPr="00E85890">
              <w:rPr>
                <w:rFonts w:cs="Arial"/>
                <w:b/>
                <w:sz w:val="20"/>
                <w:szCs w:val="20"/>
              </w:rPr>
              <w:t>Norepinephrine</w:t>
            </w:r>
            <w:proofErr w:type="spellEnd"/>
            <w:r w:rsidRPr="00E85890">
              <w:rPr>
                <w:rFonts w:cs="Arial"/>
                <w:b/>
                <w:sz w:val="20"/>
                <w:szCs w:val="20"/>
              </w:rPr>
              <w:t xml:space="preserve"> Pfizer brand is ONLY stable in glucose 5%.</w:t>
            </w:r>
          </w:p>
          <w:p w:rsidR="00EF6911" w:rsidRPr="00E85890" w:rsidRDefault="00EF6911" w:rsidP="00436B2C">
            <w:pPr>
              <w:rPr>
                <w:rFonts w:cs="Arial"/>
                <w:sz w:val="20"/>
                <w:szCs w:val="20"/>
              </w:rPr>
            </w:pPr>
            <w:r w:rsidRPr="00E85890">
              <w:rPr>
                <w:rFonts w:cs="Arial"/>
                <w:sz w:val="20"/>
                <w:szCs w:val="20"/>
              </w:rPr>
              <w:t>Do not use any infusion if discoloured or has a precipitate.</w:t>
            </w:r>
          </w:p>
        </w:tc>
      </w:tr>
      <w:tr w:rsidR="00EF6911" w:rsidRPr="00395555" w:rsidTr="001F6F00">
        <w:trPr>
          <w:trHeight w:val="1000"/>
        </w:trPr>
        <w:tc>
          <w:tcPr>
            <w:tcW w:w="3261" w:type="dxa"/>
          </w:tcPr>
          <w:p w:rsidR="00EF6911" w:rsidRPr="00C06776" w:rsidRDefault="00EF6911" w:rsidP="00436B2C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Allergy Status</w:t>
            </w:r>
          </w:p>
        </w:tc>
        <w:tc>
          <w:tcPr>
            <w:tcW w:w="7230" w:type="dxa"/>
          </w:tcPr>
          <w:p w:rsidR="00EF6911" w:rsidRPr="00C117AB" w:rsidRDefault="00EF6911" w:rsidP="00436B2C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117AB">
              <w:rPr>
                <w:rFonts w:cs="Arial"/>
                <w:b/>
                <w:sz w:val="20"/>
                <w:szCs w:val="20"/>
              </w:rPr>
              <w:t>Norepinephrine</w:t>
            </w:r>
            <w:proofErr w:type="spellEnd"/>
            <w:r w:rsidRPr="00C117AB">
              <w:rPr>
                <w:rFonts w:cs="Arial"/>
                <w:b/>
                <w:sz w:val="20"/>
                <w:szCs w:val="20"/>
              </w:rPr>
              <w:t xml:space="preserve"> Pfizer brand contains sodium </w:t>
            </w:r>
            <w:proofErr w:type="spellStart"/>
            <w:r w:rsidRPr="00C117AB">
              <w:rPr>
                <w:rFonts w:cs="Arial"/>
                <w:b/>
                <w:sz w:val="20"/>
                <w:szCs w:val="20"/>
              </w:rPr>
              <w:t>metabisul</w:t>
            </w:r>
            <w:r>
              <w:rPr>
                <w:rFonts w:cs="Arial"/>
                <w:b/>
                <w:sz w:val="20"/>
                <w:szCs w:val="20"/>
              </w:rPr>
              <w:t>ph</w:t>
            </w:r>
            <w:r w:rsidRPr="00C117AB">
              <w:rPr>
                <w:rFonts w:cs="Arial"/>
                <w:b/>
                <w:sz w:val="20"/>
                <w:szCs w:val="20"/>
              </w:rPr>
              <w:t>ite</w:t>
            </w:r>
            <w:proofErr w:type="spellEnd"/>
            <w:r w:rsidRPr="00C117AB">
              <w:rPr>
                <w:rFonts w:cs="Arial"/>
                <w:b/>
                <w:sz w:val="20"/>
                <w:szCs w:val="20"/>
              </w:rPr>
              <w:t xml:space="preserve"> as a preservative. </w:t>
            </w:r>
            <w:r>
              <w:rPr>
                <w:rFonts w:cs="Arial"/>
                <w:b/>
                <w:sz w:val="20"/>
                <w:szCs w:val="20"/>
              </w:rPr>
              <w:t xml:space="preserve"> Sulphite sensitivity seen more frequently in asthmatic population.</w:t>
            </w:r>
          </w:p>
        </w:tc>
      </w:tr>
    </w:tbl>
    <w:p w:rsidR="00EF6911" w:rsidRDefault="00EF6911" w:rsidP="00EF6911">
      <w:pPr>
        <w:pStyle w:val="Heading2"/>
        <w:rPr>
          <w:rFonts w:ascii="Arial" w:hAnsi="Arial" w:cs="Arial"/>
          <w:sz w:val="16"/>
          <w:szCs w:val="16"/>
        </w:rPr>
      </w:pPr>
      <w:r w:rsidRPr="006E3A2E">
        <w:rPr>
          <w:rFonts w:ascii="Arial" w:hAnsi="Arial" w:cs="Arial"/>
          <w:sz w:val="16"/>
          <w:szCs w:val="16"/>
        </w:rPr>
        <w:t>References</w:t>
      </w:r>
    </w:p>
    <w:p w:rsidR="009D6CBE" w:rsidRPr="009D6CBE" w:rsidRDefault="00EF6911" w:rsidP="003144CA">
      <w:pPr>
        <w:pStyle w:val="ListParagraph"/>
        <w:numPr>
          <w:ilvl w:val="0"/>
          <w:numId w:val="31"/>
        </w:numPr>
        <w:rPr>
          <w:rFonts w:cs="Arial"/>
          <w:sz w:val="16"/>
          <w:szCs w:val="16"/>
        </w:rPr>
      </w:pPr>
      <w:r w:rsidRPr="003144CA">
        <w:rPr>
          <w:rFonts w:cs="Arial"/>
          <w:color w:val="000000"/>
          <w:sz w:val="16"/>
          <w:szCs w:val="16"/>
        </w:rPr>
        <w:t xml:space="preserve">Electronic Medicines Compendium available at </w:t>
      </w:r>
      <w:hyperlink r:id="rId18" w:history="1">
        <w:r w:rsidR="009D6CBE" w:rsidRPr="00CB2F92">
          <w:rPr>
            <w:rStyle w:val="Hyperlink"/>
            <w:rFonts w:cs="Arial"/>
            <w:sz w:val="16"/>
            <w:szCs w:val="16"/>
          </w:rPr>
          <w:t>http://www.medicines.org.uk</w:t>
        </w:r>
      </w:hyperlink>
      <w:r w:rsidRPr="003144CA">
        <w:rPr>
          <w:rFonts w:cs="Arial"/>
          <w:color w:val="000000"/>
          <w:sz w:val="16"/>
          <w:szCs w:val="16"/>
        </w:rPr>
        <w:t xml:space="preserve"> </w:t>
      </w:r>
    </w:p>
    <w:p w:rsidR="009D6CBE" w:rsidRPr="009D6CBE" w:rsidRDefault="00EF6911" w:rsidP="003144CA">
      <w:pPr>
        <w:pStyle w:val="ListParagraph"/>
        <w:numPr>
          <w:ilvl w:val="0"/>
          <w:numId w:val="31"/>
        </w:numPr>
        <w:rPr>
          <w:rFonts w:cs="Arial"/>
          <w:sz w:val="16"/>
          <w:szCs w:val="16"/>
        </w:rPr>
      </w:pPr>
      <w:r w:rsidRPr="003144CA">
        <w:rPr>
          <w:rFonts w:cs="Arial"/>
          <w:color w:val="000000"/>
          <w:sz w:val="16"/>
          <w:szCs w:val="16"/>
        </w:rPr>
        <w:t xml:space="preserve">Medusa </w:t>
      </w:r>
      <w:proofErr w:type="spellStart"/>
      <w:r w:rsidRPr="003144CA">
        <w:rPr>
          <w:rFonts w:cs="Arial"/>
          <w:color w:val="000000"/>
          <w:sz w:val="16"/>
          <w:szCs w:val="16"/>
        </w:rPr>
        <w:t>Injectable</w:t>
      </w:r>
      <w:proofErr w:type="spellEnd"/>
      <w:r w:rsidRPr="003144CA">
        <w:rPr>
          <w:rFonts w:cs="Arial"/>
          <w:color w:val="000000"/>
          <w:sz w:val="16"/>
          <w:szCs w:val="16"/>
        </w:rPr>
        <w:t xml:space="preserve"> Medicines Guide available at </w:t>
      </w:r>
      <w:hyperlink r:id="rId19" w:history="1">
        <w:r w:rsidR="009D6CBE" w:rsidRPr="00CB2F92">
          <w:rPr>
            <w:rStyle w:val="Hyperlink"/>
            <w:rFonts w:cs="Arial"/>
            <w:sz w:val="16"/>
            <w:szCs w:val="16"/>
          </w:rPr>
          <w:t>http://medusa.wales.nhs.uk</w:t>
        </w:r>
      </w:hyperlink>
      <w:r w:rsidRPr="003144CA">
        <w:rPr>
          <w:rFonts w:cs="Arial"/>
          <w:color w:val="000000"/>
          <w:sz w:val="16"/>
          <w:szCs w:val="16"/>
        </w:rPr>
        <w:t xml:space="preserve"> </w:t>
      </w:r>
    </w:p>
    <w:p w:rsidR="003144CA" w:rsidRPr="003144CA" w:rsidRDefault="00EF6911" w:rsidP="003144CA">
      <w:pPr>
        <w:pStyle w:val="ListParagraph"/>
        <w:numPr>
          <w:ilvl w:val="0"/>
          <w:numId w:val="31"/>
        </w:numPr>
        <w:rPr>
          <w:rFonts w:cs="Arial"/>
          <w:sz w:val="16"/>
          <w:szCs w:val="16"/>
        </w:rPr>
      </w:pPr>
      <w:r w:rsidRPr="003144CA">
        <w:rPr>
          <w:rFonts w:cs="Arial"/>
          <w:color w:val="000000"/>
          <w:sz w:val="16"/>
          <w:szCs w:val="16"/>
        </w:rPr>
        <w:t xml:space="preserve">Medicines Complete available at </w:t>
      </w:r>
      <w:hyperlink r:id="rId20" w:history="1">
        <w:r w:rsidR="003144CA" w:rsidRPr="00CB2F92">
          <w:rPr>
            <w:rStyle w:val="Hyperlink"/>
            <w:rFonts w:cs="Arial"/>
            <w:sz w:val="16"/>
            <w:szCs w:val="16"/>
          </w:rPr>
          <w:t>http://www.medicinescomplete.com</w:t>
        </w:r>
      </w:hyperlink>
      <w:r w:rsidRPr="003144CA">
        <w:rPr>
          <w:rFonts w:cs="Arial"/>
          <w:color w:val="000000"/>
          <w:sz w:val="16"/>
          <w:szCs w:val="16"/>
        </w:rPr>
        <w:t xml:space="preserve"> </w:t>
      </w:r>
    </w:p>
    <w:p w:rsidR="003144CA" w:rsidRPr="003144CA" w:rsidRDefault="003144CA" w:rsidP="003144CA">
      <w:pPr>
        <w:pStyle w:val="ListParagraph"/>
        <w:numPr>
          <w:ilvl w:val="0"/>
          <w:numId w:val="31"/>
        </w:numPr>
        <w:rPr>
          <w:rFonts w:cs="Arial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NHS Gloucestershire Hospitals NHS Foundation Trust Department of Critical Care: Peripheral </w:t>
      </w:r>
      <w:proofErr w:type="spellStart"/>
      <w:proofErr w:type="gramStart"/>
      <w:r>
        <w:rPr>
          <w:rFonts w:cs="Arial"/>
          <w:color w:val="000000"/>
          <w:sz w:val="16"/>
          <w:szCs w:val="16"/>
        </w:rPr>
        <w:t>Noradrenaline</w:t>
      </w:r>
      <w:proofErr w:type="spellEnd"/>
      <w:r>
        <w:rPr>
          <w:rFonts w:cs="Arial"/>
          <w:color w:val="000000"/>
          <w:sz w:val="16"/>
          <w:szCs w:val="16"/>
        </w:rPr>
        <w:t xml:space="preserve">  Infusion</w:t>
      </w:r>
      <w:proofErr w:type="gramEnd"/>
      <w:r>
        <w:rPr>
          <w:rFonts w:cs="Arial"/>
          <w:color w:val="000000"/>
          <w:sz w:val="16"/>
          <w:szCs w:val="16"/>
        </w:rPr>
        <w:t xml:space="preserve"> Clinical Guidance. Effective from 06/4/23, Review date: 01/04/25. </w:t>
      </w:r>
    </w:p>
    <w:p w:rsidR="001F6F00" w:rsidRPr="001F6F00" w:rsidRDefault="00EF6911" w:rsidP="001F6F00">
      <w:pPr>
        <w:pStyle w:val="ListParagraph"/>
        <w:rPr>
          <w:rFonts w:cs="Arial"/>
          <w:color w:val="000000"/>
          <w:sz w:val="16"/>
          <w:szCs w:val="16"/>
        </w:rPr>
      </w:pPr>
      <w:r w:rsidRPr="003144CA">
        <w:rPr>
          <w:rFonts w:cs="Arial"/>
          <w:color w:val="000000"/>
          <w:sz w:val="16"/>
          <w:szCs w:val="16"/>
        </w:rPr>
        <w:t>*Starting dose based on CENSER study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0"/>
        <w:gridCol w:w="5387"/>
      </w:tblGrid>
      <w:tr w:rsidR="005B42B6" w:rsidRPr="00CD7706" w:rsidTr="009D6CBE">
        <w:tc>
          <w:tcPr>
            <w:tcW w:w="7797" w:type="dxa"/>
            <w:gridSpan w:val="2"/>
          </w:tcPr>
          <w:p w:rsidR="005B42B6" w:rsidRPr="001F6F00" w:rsidRDefault="005B42B6" w:rsidP="00436B2C">
            <w:pPr>
              <w:rPr>
                <w:rFonts w:cs="Helvetica"/>
                <w:b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Title: Peripheral </w:t>
            </w:r>
            <w:proofErr w:type="spellStart"/>
            <w:r w:rsidRPr="001F6F00">
              <w:rPr>
                <w:rFonts w:cs="Helvetica"/>
                <w:b/>
                <w:sz w:val="16"/>
                <w:szCs w:val="16"/>
              </w:rPr>
              <w:t>noradrenaline</w:t>
            </w:r>
            <w:proofErr w:type="spellEnd"/>
            <w:r w:rsidRPr="001F6F00">
              <w:rPr>
                <w:rFonts w:cs="Helvetica"/>
                <w:b/>
                <w:sz w:val="16"/>
                <w:szCs w:val="16"/>
              </w:rPr>
              <w:t xml:space="preserve"> infusion – critical care </w:t>
            </w:r>
            <w:r w:rsidRPr="00FB25F8">
              <w:rPr>
                <w:rFonts w:cs="Helvetica"/>
                <w:b/>
                <w:sz w:val="16"/>
                <w:szCs w:val="16"/>
              </w:rPr>
              <w:t>v</w:t>
            </w:r>
            <w:r w:rsidR="003E62BD" w:rsidRPr="00FB25F8">
              <w:rPr>
                <w:rFonts w:cs="Helvetica"/>
                <w:b/>
                <w:sz w:val="16"/>
                <w:szCs w:val="16"/>
              </w:rPr>
              <w:t>3</w:t>
            </w:r>
          </w:p>
        </w:tc>
      </w:tr>
      <w:tr w:rsidR="005B42B6" w:rsidRPr="00CD7706" w:rsidTr="009D6CBE">
        <w:tc>
          <w:tcPr>
            <w:tcW w:w="2410" w:type="dxa"/>
          </w:tcPr>
          <w:p w:rsidR="005B42B6" w:rsidRPr="001F6F00" w:rsidRDefault="005B42B6" w:rsidP="00436B2C">
            <w:pPr>
              <w:rPr>
                <w:rFonts w:cs="Helvetica"/>
                <w:b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ID: </w:t>
            </w:r>
          </w:p>
        </w:tc>
        <w:tc>
          <w:tcPr>
            <w:tcW w:w="5387" w:type="dxa"/>
          </w:tcPr>
          <w:p w:rsidR="005B42B6" w:rsidRPr="001F6F00" w:rsidRDefault="005B42B6" w:rsidP="00436B2C">
            <w:pPr>
              <w:rPr>
                <w:rFonts w:cs="Helvetica"/>
                <w:b/>
                <w:sz w:val="16"/>
                <w:szCs w:val="16"/>
              </w:rPr>
            </w:pPr>
            <w:r w:rsidRPr="001F6F00">
              <w:rPr>
                <w:b/>
                <w:sz w:val="16"/>
                <w:szCs w:val="16"/>
              </w:rPr>
              <w:t xml:space="preserve">Authors: I </w:t>
            </w:r>
            <w:proofErr w:type="spellStart"/>
            <w:r w:rsidRPr="001F6F00">
              <w:rPr>
                <w:b/>
                <w:sz w:val="16"/>
                <w:szCs w:val="16"/>
              </w:rPr>
              <w:t>Slessor</w:t>
            </w:r>
            <w:proofErr w:type="spellEnd"/>
            <w:r w:rsidRPr="001F6F00">
              <w:rPr>
                <w:b/>
                <w:sz w:val="16"/>
                <w:szCs w:val="16"/>
              </w:rPr>
              <w:t xml:space="preserve">, R </w:t>
            </w:r>
            <w:proofErr w:type="spellStart"/>
            <w:r w:rsidRPr="001F6F00">
              <w:rPr>
                <w:b/>
                <w:sz w:val="16"/>
                <w:szCs w:val="16"/>
              </w:rPr>
              <w:t>Baruah</w:t>
            </w:r>
            <w:proofErr w:type="spellEnd"/>
            <w:r w:rsidRPr="001F6F00">
              <w:rPr>
                <w:b/>
                <w:sz w:val="16"/>
                <w:szCs w:val="16"/>
              </w:rPr>
              <w:t>, L Kirkpatrick</w:t>
            </w:r>
            <w:r w:rsidR="003144CA" w:rsidRPr="001F6F00">
              <w:rPr>
                <w:b/>
                <w:sz w:val="16"/>
                <w:szCs w:val="16"/>
              </w:rPr>
              <w:t>, G Smyth</w:t>
            </w:r>
            <w:r w:rsidR="003E62BD" w:rsidRPr="00FB25F8">
              <w:rPr>
                <w:b/>
                <w:sz w:val="16"/>
                <w:szCs w:val="16"/>
              </w:rPr>
              <w:t xml:space="preserve">, A </w:t>
            </w:r>
            <w:proofErr w:type="spellStart"/>
            <w:r w:rsidR="003E62BD" w:rsidRPr="00FB25F8">
              <w:rPr>
                <w:b/>
                <w:sz w:val="16"/>
                <w:szCs w:val="16"/>
              </w:rPr>
              <w:t>Neally</w:t>
            </w:r>
            <w:proofErr w:type="spellEnd"/>
          </w:p>
        </w:tc>
      </w:tr>
      <w:tr w:rsidR="005B42B6" w:rsidRPr="00CD7706" w:rsidTr="009D6CBE">
        <w:tc>
          <w:tcPr>
            <w:tcW w:w="2410" w:type="dxa"/>
          </w:tcPr>
          <w:p w:rsidR="005B42B6" w:rsidRPr="001F6F00" w:rsidRDefault="005B42B6" w:rsidP="00436B2C">
            <w:pPr>
              <w:rPr>
                <w:rFonts w:cs="Helvetica"/>
                <w:b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Category: </w:t>
            </w:r>
          </w:p>
        </w:tc>
        <w:tc>
          <w:tcPr>
            <w:tcW w:w="5387" w:type="dxa"/>
          </w:tcPr>
          <w:p w:rsidR="005B42B6" w:rsidRPr="001F6F00" w:rsidRDefault="005B42B6" w:rsidP="00436B2C">
            <w:pPr>
              <w:rPr>
                <w:rFonts w:cs="Helvetica"/>
                <w:b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Document Version: </w:t>
            </w:r>
            <w:r w:rsidR="00411559">
              <w:rPr>
                <w:rFonts w:cs="Helvetica"/>
                <w:b/>
                <w:sz w:val="16"/>
                <w:szCs w:val="16"/>
              </w:rPr>
              <w:t>1</w:t>
            </w:r>
          </w:p>
        </w:tc>
      </w:tr>
      <w:tr w:rsidR="005B42B6" w:rsidRPr="00CD7706" w:rsidTr="009D6CBE">
        <w:tc>
          <w:tcPr>
            <w:tcW w:w="2410" w:type="dxa"/>
          </w:tcPr>
          <w:p w:rsidR="005B42B6" w:rsidRPr="001F6F00" w:rsidRDefault="005B42B6" w:rsidP="00436B2C">
            <w:pPr>
              <w:rPr>
                <w:rFonts w:cs="Helvetica"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>Status Draft/Final: Draft</w:t>
            </w:r>
          </w:p>
        </w:tc>
        <w:tc>
          <w:tcPr>
            <w:tcW w:w="5387" w:type="dxa"/>
          </w:tcPr>
          <w:p w:rsidR="005B42B6" w:rsidRPr="001F6F00" w:rsidRDefault="005B42B6" w:rsidP="00436B2C">
            <w:pPr>
              <w:rPr>
                <w:rFonts w:cs="Helvetica"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Review Date: </w:t>
            </w:r>
          </w:p>
        </w:tc>
      </w:tr>
      <w:tr w:rsidR="005B42B6" w:rsidRPr="00B80B1D" w:rsidTr="009D6CBE">
        <w:tc>
          <w:tcPr>
            <w:tcW w:w="2410" w:type="dxa"/>
          </w:tcPr>
          <w:p w:rsidR="005B42B6" w:rsidRPr="001F6F00" w:rsidRDefault="005B42B6" w:rsidP="00436B2C">
            <w:pPr>
              <w:rPr>
                <w:rFonts w:cs="Helvetica"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Authoriser:  </w:t>
            </w:r>
          </w:p>
        </w:tc>
        <w:tc>
          <w:tcPr>
            <w:tcW w:w="5387" w:type="dxa"/>
          </w:tcPr>
          <w:p w:rsidR="005B42B6" w:rsidRPr="001F6F00" w:rsidRDefault="005B42B6" w:rsidP="00436B2C">
            <w:pPr>
              <w:rPr>
                <w:rFonts w:cs="Helvetica"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Date Authorisation: </w:t>
            </w:r>
          </w:p>
        </w:tc>
      </w:tr>
      <w:tr w:rsidR="005B42B6" w:rsidRPr="00B80B1D" w:rsidTr="009D6CBE">
        <w:tc>
          <w:tcPr>
            <w:tcW w:w="2410" w:type="dxa"/>
          </w:tcPr>
          <w:p w:rsidR="005B42B6" w:rsidRPr="001F6F00" w:rsidRDefault="005B42B6" w:rsidP="00436B2C">
            <w:pPr>
              <w:rPr>
                <w:rFonts w:cs="Helvetica"/>
                <w:b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Date added to Intranet: </w:t>
            </w:r>
          </w:p>
        </w:tc>
        <w:tc>
          <w:tcPr>
            <w:tcW w:w="5387" w:type="dxa"/>
          </w:tcPr>
          <w:p w:rsidR="005B42B6" w:rsidRPr="001F6F00" w:rsidRDefault="005B42B6" w:rsidP="00436B2C">
            <w:pPr>
              <w:rPr>
                <w:rFonts w:cs="Helvetica"/>
                <w:sz w:val="16"/>
                <w:szCs w:val="16"/>
              </w:rPr>
            </w:pPr>
          </w:p>
        </w:tc>
      </w:tr>
      <w:tr w:rsidR="005B42B6" w:rsidRPr="00015A5F" w:rsidTr="009D6CBE">
        <w:tc>
          <w:tcPr>
            <w:tcW w:w="7797" w:type="dxa"/>
            <w:gridSpan w:val="2"/>
          </w:tcPr>
          <w:p w:rsidR="005B42B6" w:rsidRPr="001F6F00" w:rsidRDefault="005B42B6" w:rsidP="00436B2C">
            <w:pPr>
              <w:rPr>
                <w:rFonts w:cs="Helvetica"/>
                <w:b/>
                <w:sz w:val="16"/>
                <w:szCs w:val="16"/>
              </w:rPr>
            </w:pPr>
            <w:r w:rsidRPr="001F6F00">
              <w:rPr>
                <w:rFonts w:cs="Helvetica"/>
                <w:b/>
                <w:sz w:val="16"/>
                <w:szCs w:val="16"/>
              </w:rPr>
              <w:t xml:space="preserve">Key words: </w:t>
            </w:r>
          </w:p>
        </w:tc>
      </w:tr>
    </w:tbl>
    <w:p w:rsidR="00F33D5A" w:rsidRDefault="00F33D5A" w:rsidP="00F8246E"/>
    <w:sectPr w:rsidR="00F33D5A" w:rsidSect="00906873">
      <w:headerReference w:type="default" r:id="rId21"/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91A" w:rsidRDefault="00F2391A" w:rsidP="00B50B81">
      <w:r>
        <w:separator/>
      </w:r>
    </w:p>
  </w:endnote>
  <w:endnote w:type="continuationSeparator" w:id="0">
    <w:p w:rsidR="00F2391A" w:rsidRDefault="00F2391A" w:rsidP="00B50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06" w:rsidRDefault="00B06F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06" w:rsidRDefault="00B06F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06" w:rsidRDefault="00B06F0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E40" w:rsidRPr="00E85890" w:rsidRDefault="0033613F" w:rsidP="00E85890">
    <w:pPr>
      <w:pStyle w:val="Footer"/>
      <w:jc w:val="center"/>
      <w:rPr>
        <w:rFonts w:cs="Arial"/>
      </w:rPr>
    </w:pPr>
    <w:r w:rsidRPr="00E85890">
      <w:rPr>
        <w:rFonts w:cs="Arial"/>
        <w:b/>
        <w:bCs/>
        <w:color w:val="FF0000"/>
      </w:rPr>
      <w:t>FOR CRITICAL CARE USE ONLY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91A" w:rsidRDefault="00F2391A" w:rsidP="00B50B81">
      <w:r>
        <w:separator/>
      </w:r>
    </w:p>
  </w:footnote>
  <w:footnote w:type="continuationSeparator" w:id="0">
    <w:p w:rsidR="00F2391A" w:rsidRDefault="00F2391A" w:rsidP="00B50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06" w:rsidRDefault="00B06F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905" w:rsidRPr="009B1310" w:rsidRDefault="00C12905" w:rsidP="00C12905">
    <w:pPr>
      <w:pStyle w:val="Header"/>
      <w:jc w:val="center"/>
      <w:rPr>
        <w:rFonts w:cs="Arial"/>
        <w:b/>
        <w:sz w:val="22"/>
        <w:szCs w:val="22"/>
      </w:rPr>
    </w:pPr>
    <w:r w:rsidRPr="009B1310">
      <w:rPr>
        <w:rFonts w:cs="Arial"/>
        <w:b/>
        <w:sz w:val="22"/>
        <w:szCs w:val="22"/>
      </w:rPr>
      <w:t>Critical</w:t>
    </w:r>
    <w:r>
      <w:rPr>
        <w:rFonts w:cs="Arial"/>
        <w:b/>
        <w:sz w:val="22"/>
        <w:szCs w:val="22"/>
      </w:rPr>
      <w:t xml:space="preserve"> Care Guidelines</w:t>
    </w:r>
  </w:p>
  <w:p w:rsidR="00137C36" w:rsidRPr="00C12905" w:rsidRDefault="00C12905" w:rsidP="00C12905">
    <w:pPr>
      <w:pStyle w:val="Header"/>
      <w:jc w:val="center"/>
      <w:rPr>
        <w:rFonts w:cs="Arial"/>
        <w:b/>
        <w:sz w:val="22"/>
        <w:szCs w:val="22"/>
      </w:rPr>
    </w:pPr>
    <w:r w:rsidRPr="009B1310">
      <w:rPr>
        <w:rFonts w:cs="Arial"/>
        <w:b/>
        <w:sz w:val="22"/>
        <w:szCs w:val="22"/>
      </w:rPr>
      <w:t xml:space="preserve">FOR </w:t>
    </w:r>
    <w:r>
      <w:rPr>
        <w:rFonts w:cs="Arial"/>
        <w:b/>
        <w:sz w:val="22"/>
        <w:szCs w:val="22"/>
      </w:rPr>
      <w:t>CRITICAL CARE USE ONLY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06" w:rsidRDefault="00B06F0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E40" w:rsidRPr="00395555" w:rsidRDefault="0033613F">
    <w:pPr>
      <w:pStyle w:val="Header"/>
      <w:jc w:val="center"/>
      <w:rPr>
        <w:rFonts w:cs="Arial"/>
        <w:b/>
        <w:bCs/>
      </w:rPr>
    </w:pPr>
    <w:r w:rsidRPr="00395555">
      <w:rPr>
        <w:rFonts w:cs="Arial"/>
        <w:b/>
        <w:bCs/>
      </w:rPr>
      <w:t>Critical Care Guidelines</w:t>
    </w:r>
  </w:p>
  <w:p w:rsidR="000D1E40" w:rsidRPr="00395555" w:rsidRDefault="0033613F">
    <w:pPr>
      <w:pStyle w:val="Header"/>
      <w:jc w:val="center"/>
      <w:rPr>
        <w:rFonts w:cs="Arial"/>
        <w:b/>
        <w:bCs/>
      </w:rPr>
    </w:pPr>
    <w:r>
      <w:rPr>
        <w:rFonts w:cs="Arial"/>
        <w:b/>
        <w:bCs/>
      </w:rPr>
      <w:t>FOR CRITICAL CARE</w:t>
    </w:r>
    <w:r w:rsidRPr="00395555">
      <w:rPr>
        <w:rFonts w:cs="Arial"/>
        <w:b/>
        <w:bCs/>
      </w:rPr>
      <w:t xml:space="preserve"> USE ONLY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4B6"/>
    <w:multiLevelType w:val="hybridMultilevel"/>
    <w:tmpl w:val="A27AB2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C3FBE"/>
    <w:multiLevelType w:val="hybridMultilevel"/>
    <w:tmpl w:val="76D08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B5EA2"/>
    <w:multiLevelType w:val="hybridMultilevel"/>
    <w:tmpl w:val="443E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B4DC5"/>
    <w:multiLevelType w:val="hybridMultilevel"/>
    <w:tmpl w:val="6DA833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C05C2"/>
    <w:multiLevelType w:val="hybridMultilevel"/>
    <w:tmpl w:val="3AD8D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77C3"/>
    <w:multiLevelType w:val="hybridMultilevel"/>
    <w:tmpl w:val="7A408F8A"/>
    <w:lvl w:ilvl="0" w:tplc="173A5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A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21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4F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2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67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C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2F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8E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57C70"/>
    <w:multiLevelType w:val="hybridMultilevel"/>
    <w:tmpl w:val="2050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72107"/>
    <w:multiLevelType w:val="hybridMultilevel"/>
    <w:tmpl w:val="73AAA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362C8"/>
    <w:multiLevelType w:val="hybridMultilevel"/>
    <w:tmpl w:val="D602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E21A8"/>
    <w:multiLevelType w:val="hybridMultilevel"/>
    <w:tmpl w:val="D45C4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41DBB"/>
    <w:multiLevelType w:val="hybridMultilevel"/>
    <w:tmpl w:val="ADC885B0"/>
    <w:lvl w:ilvl="0" w:tplc="4F969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A2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4D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EF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4F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2A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2F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4A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03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77D51"/>
    <w:multiLevelType w:val="hybridMultilevel"/>
    <w:tmpl w:val="E2EE408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DC92E49"/>
    <w:multiLevelType w:val="hybridMultilevel"/>
    <w:tmpl w:val="A83C7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A099D"/>
    <w:multiLevelType w:val="hybridMultilevel"/>
    <w:tmpl w:val="D3F60D9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E72FDF"/>
    <w:multiLevelType w:val="hybridMultilevel"/>
    <w:tmpl w:val="856A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233A63"/>
    <w:multiLevelType w:val="hybridMultilevel"/>
    <w:tmpl w:val="373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2921D9"/>
    <w:multiLevelType w:val="hybridMultilevel"/>
    <w:tmpl w:val="843C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B5A16"/>
    <w:multiLevelType w:val="hybridMultilevel"/>
    <w:tmpl w:val="B3541964"/>
    <w:lvl w:ilvl="0" w:tplc="6652E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84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AD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CD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A6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4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24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AA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8E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C4FBB"/>
    <w:multiLevelType w:val="hybridMultilevel"/>
    <w:tmpl w:val="DD326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F432E"/>
    <w:multiLevelType w:val="hybridMultilevel"/>
    <w:tmpl w:val="D018A15A"/>
    <w:lvl w:ilvl="0" w:tplc="AF76F0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80194"/>
    <w:multiLevelType w:val="hybridMultilevel"/>
    <w:tmpl w:val="6DDAE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53F2A"/>
    <w:multiLevelType w:val="hybridMultilevel"/>
    <w:tmpl w:val="E6CA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11F5F"/>
    <w:multiLevelType w:val="hybridMultilevel"/>
    <w:tmpl w:val="752EE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A7061"/>
    <w:multiLevelType w:val="hybridMultilevel"/>
    <w:tmpl w:val="B1BC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26E40"/>
    <w:multiLevelType w:val="hybridMultilevel"/>
    <w:tmpl w:val="C94E3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EB43D1"/>
    <w:multiLevelType w:val="hybridMultilevel"/>
    <w:tmpl w:val="FD508BCC"/>
    <w:lvl w:ilvl="0" w:tplc="867E2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68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EA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8E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8C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6F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C6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02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68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D791D"/>
    <w:multiLevelType w:val="hybridMultilevel"/>
    <w:tmpl w:val="43404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735DE8"/>
    <w:multiLevelType w:val="hybridMultilevel"/>
    <w:tmpl w:val="D3920FF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173450"/>
    <w:multiLevelType w:val="hybridMultilevel"/>
    <w:tmpl w:val="21C27E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845206"/>
    <w:multiLevelType w:val="hybridMultilevel"/>
    <w:tmpl w:val="DBD62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C74AD9"/>
    <w:multiLevelType w:val="hybridMultilevel"/>
    <w:tmpl w:val="F6F81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3"/>
  </w:num>
  <w:num w:numId="4">
    <w:abstractNumId w:val="28"/>
  </w:num>
  <w:num w:numId="5">
    <w:abstractNumId w:val="2"/>
  </w:num>
  <w:num w:numId="6">
    <w:abstractNumId w:val="4"/>
  </w:num>
  <w:num w:numId="7">
    <w:abstractNumId w:val="0"/>
  </w:num>
  <w:num w:numId="8">
    <w:abstractNumId w:val="16"/>
  </w:num>
  <w:num w:numId="9">
    <w:abstractNumId w:val="1"/>
  </w:num>
  <w:num w:numId="10">
    <w:abstractNumId w:val="6"/>
  </w:num>
  <w:num w:numId="11">
    <w:abstractNumId w:val="23"/>
  </w:num>
  <w:num w:numId="12">
    <w:abstractNumId w:val="15"/>
  </w:num>
  <w:num w:numId="13">
    <w:abstractNumId w:val="21"/>
  </w:num>
  <w:num w:numId="14">
    <w:abstractNumId w:val="11"/>
  </w:num>
  <w:num w:numId="15">
    <w:abstractNumId w:val="29"/>
  </w:num>
  <w:num w:numId="16">
    <w:abstractNumId w:val="17"/>
  </w:num>
  <w:num w:numId="17">
    <w:abstractNumId w:val="5"/>
  </w:num>
  <w:num w:numId="18">
    <w:abstractNumId w:val="25"/>
  </w:num>
  <w:num w:numId="19">
    <w:abstractNumId w:val="10"/>
  </w:num>
  <w:num w:numId="20">
    <w:abstractNumId w:val="24"/>
  </w:num>
  <w:num w:numId="21">
    <w:abstractNumId w:val="20"/>
  </w:num>
  <w:num w:numId="22">
    <w:abstractNumId w:val="7"/>
  </w:num>
  <w:num w:numId="23">
    <w:abstractNumId w:val="22"/>
  </w:num>
  <w:num w:numId="24">
    <w:abstractNumId w:val="26"/>
  </w:num>
  <w:num w:numId="25">
    <w:abstractNumId w:val="12"/>
  </w:num>
  <w:num w:numId="26">
    <w:abstractNumId w:val="18"/>
  </w:num>
  <w:num w:numId="27">
    <w:abstractNumId w:val="9"/>
  </w:num>
  <w:num w:numId="28">
    <w:abstractNumId w:val="8"/>
  </w:num>
  <w:num w:numId="29">
    <w:abstractNumId w:val="14"/>
  </w:num>
  <w:num w:numId="30">
    <w:abstractNumId w:val="30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44D8B"/>
    <w:rsid w:val="0001214E"/>
    <w:rsid w:val="000139B9"/>
    <w:rsid w:val="0001490D"/>
    <w:rsid w:val="00015A5F"/>
    <w:rsid w:val="00015CA4"/>
    <w:rsid w:val="00027D6A"/>
    <w:rsid w:val="0003351C"/>
    <w:rsid w:val="00037DB5"/>
    <w:rsid w:val="00051169"/>
    <w:rsid w:val="00062B2B"/>
    <w:rsid w:val="00067CC1"/>
    <w:rsid w:val="0007241B"/>
    <w:rsid w:val="0008636F"/>
    <w:rsid w:val="000A14C4"/>
    <w:rsid w:val="000C7915"/>
    <w:rsid w:val="000F130B"/>
    <w:rsid w:val="000F6D43"/>
    <w:rsid w:val="00102194"/>
    <w:rsid w:val="001038CE"/>
    <w:rsid w:val="0012135D"/>
    <w:rsid w:val="00137C36"/>
    <w:rsid w:val="00143ECD"/>
    <w:rsid w:val="00163688"/>
    <w:rsid w:val="00181681"/>
    <w:rsid w:val="00191062"/>
    <w:rsid w:val="00191D0A"/>
    <w:rsid w:val="001B7D2F"/>
    <w:rsid w:val="001C19F8"/>
    <w:rsid w:val="001D2042"/>
    <w:rsid w:val="001F0893"/>
    <w:rsid w:val="001F54D1"/>
    <w:rsid w:val="001F5838"/>
    <w:rsid w:val="001F5E28"/>
    <w:rsid w:val="001F6F00"/>
    <w:rsid w:val="00223AA6"/>
    <w:rsid w:val="00243146"/>
    <w:rsid w:val="00244D8B"/>
    <w:rsid w:val="00265613"/>
    <w:rsid w:val="00280D1B"/>
    <w:rsid w:val="0029465F"/>
    <w:rsid w:val="002A3A5F"/>
    <w:rsid w:val="002A6EE7"/>
    <w:rsid w:val="002B56BF"/>
    <w:rsid w:val="002E1F57"/>
    <w:rsid w:val="002E6F4B"/>
    <w:rsid w:val="002E7734"/>
    <w:rsid w:val="002F0200"/>
    <w:rsid w:val="00305715"/>
    <w:rsid w:val="003144CA"/>
    <w:rsid w:val="0033613F"/>
    <w:rsid w:val="00337D33"/>
    <w:rsid w:val="0034362D"/>
    <w:rsid w:val="00352865"/>
    <w:rsid w:val="00354443"/>
    <w:rsid w:val="003825A9"/>
    <w:rsid w:val="00390296"/>
    <w:rsid w:val="003D1BB4"/>
    <w:rsid w:val="003E62BD"/>
    <w:rsid w:val="0040416E"/>
    <w:rsid w:val="0041125D"/>
    <w:rsid w:val="00411559"/>
    <w:rsid w:val="00422A37"/>
    <w:rsid w:val="00441B56"/>
    <w:rsid w:val="00447F3D"/>
    <w:rsid w:val="00466D1B"/>
    <w:rsid w:val="0049105A"/>
    <w:rsid w:val="004A2BC0"/>
    <w:rsid w:val="004A3424"/>
    <w:rsid w:val="004A58B5"/>
    <w:rsid w:val="004B3726"/>
    <w:rsid w:val="004D417F"/>
    <w:rsid w:val="00507E63"/>
    <w:rsid w:val="005154F4"/>
    <w:rsid w:val="00534931"/>
    <w:rsid w:val="005447EA"/>
    <w:rsid w:val="00561723"/>
    <w:rsid w:val="0057084E"/>
    <w:rsid w:val="005824FB"/>
    <w:rsid w:val="00592348"/>
    <w:rsid w:val="005B42B6"/>
    <w:rsid w:val="005B7C76"/>
    <w:rsid w:val="005C18CB"/>
    <w:rsid w:val="005D11BC"/>
    <w:rsid w:val="005D1326"/>
    <w:rsid w:val="005F6AC6"/>
    <w:rsid w:val="006008F7"/>
    <w:rsid w:val="00612550"/>
    <w:rsid w:val="00626B24"/>
    <w:rsid w:val="00627CF3"/>
    <w:rsid w:val="00635049"/>
    <w:rsid w:val="00663CB0"/>
    <w:rsid w:val="00664C89"/>
    <w:rsid w:val="00684247"/>
    <w:rsid w:val="006C785D"/>
    <w:rsid w:val="006D2ED5"/>
    <w:rsid w:val="006E43E1"/>
    <w:rsid w:val="0070392C"/>
    <w:rsid w:val="00705573"/>
    <w:rsid w:val="007A3F0A"/>
    <w:rsid w:val="007A58E9"/>
    <w:rsid w:val="007C0091"/>
    <w:rsid w:val="0080149F"/>
    <w:rsid w:val="00802032"/>
    <w:rsid w:val="00845622"/>
    <w:rsid w:val="008468D6"/>
    <w:rsid w:val="00867F65"/>
    <w:rsid w:val="0087148F"/>
    <w:rsid w:val="008B2862"/>
    <w:rsid w:val="008D29B7"/>
    <w:rsid w:val="008D73D9"/>
    <w:rsid w:val="008E65E7"/>
    <w:rsid w:val="009020AB"/>
    <w:rsid w:val="009207DA"/>
    <w:rsid w:val="009232B1"/>
    <w:rsid w:val="00924951"/>
    <w:rsid w:val="00952DA2"/>
    <w:rsid w:val="00970BC6"/>
    <w:rsid w:val="00980678"/>
    <w:rsid w:val="00993F34"/>
    <w:rsid w:val="00995F6B"/>
    <w:rsid w:val="009A29E0"/>
    <w:rsid w:val="009A623E"/>
    <w:rsid w:val="009D6CBE"/>
    <w:rsid w:val="009E504B"/>
    <w:rsid w:val="00A101E7"/>
    <w:rsid w:val="00A42603"/>
    <w:rsid w:val="00A52CBB"/>
    <w:rsid w:val="00A62331"/>
    <w:rsid w:val="00A715C2"/>
    <w:rsid w:val="00A73F56"/>
    <w:rsid w:val="00A74292"/>
    <w:rsid w:val="00A83C00"/>
    <w:rsid w:val="00AD25B9"/>
    <w:rsid w:val="00AD5339"/>
    <w:rsid w:val="00AE1823"/>
    <w:rsid w:val="00AE2A96"/>
    <w:rsid w:val="00AF0105"/>
    <w:rsid w:val="00B06F06"/>
    <w:rsid w:val="00B21344"/>
    <w:rsid w:val="00B25482"/>
    <w:rsid w:val="00B50B81"/>
    <w:rsid w:val="00B72A04"/>
    <w:rsid w:val="00B86B3F"/>
    <w:rsid w:val="00B92D0D"/>
    <w:rsid w:val="00B97940"/>
    <w:rsid w:val="00C12905"/>
    <w:rsid w:val="00C13142"/>
    <w:rsid w:val="00C307FA"/>
    <w:rsid w:val="00C319AC"/>
    <w:rsid w:val="00C34927"/>
    <w:rsid w:val="00C418E3"/>
    <w:rsid w:val="00C7517F"/>
    <w:rsid w:val="00C8593D"/>
    <w:rsid w:val="00CD2082"/>
    <w:rsid w:val="00CD40B4"/>
    <w:rsid w:val="00CE1098"/>
    <w:rsid w:val="00CE717C"/>
    <w:rsid w:val="00D24385"/>
    <w:rsid w:val="00D25125"/>
    <w:rsid w:val="00D301B0"/>
    <w:rsid w:val="00D31ED4"/>
    <w:rsid w:val="00D5050A"/>
    <w:rsid w:val="00D5409C"/>
    <w:rsid w:val="00D63CC2"/>
    <w:rsid w:val="00D6769B"/>
    <w:rsid w:val="00D71845"/>
    <w:rsid w:val="00DC5594"/>
    <w:rsid w:val="00DC5AC4"/>
    <w:rsid w:val="00DC5F3E"/>
    <w:rsid w:val="00DF0E60"/>
    <w:rsid w:val="00E00B6A"/>
    <w:rsid w:val="00E00CC5"/>
    <w:rsid w:val="00E01F8E"/>
    <w:rsid w:val="00E26CD2"/>
    <w:rsid w:val="00E347CB"/>
    <w:rsid w:val="00E35F4F"/>
    <w:rsid w:val="00E4334E"/>
    <w:rsid w:val="00E81F17"/>
    <w:rsid w:val="00EC755B"/>
    <w:rsid w:val="00ED6846"/>
    <w:rsid w:val="00EE55EC"/>
    <w:rsid w:val="00EF3E67"/>
    <w:rsid w:val="00EF6911"/>
    <w:rsid w:val="00EF7A4E"/>
    <w:rsid w:val="00F21DD9"/>
    <w:rsid w:val="00F2391A"/>
    <w:rsid w:val="00F33D5A"/>
    <w:rsid w:val="00F34C32"/>
    <w:rsid w:val="00F448CB"/>
    <w:rsid w:val="00F8246E"/>
    <w:rsid w:val="00F85C36"/>
    <w:rsid w:val="00FB25F8"/>
    <w:rsid w:val="00FB36B0"/>
    <w:rsid w:val="00FC0164"/>
    <w:rsid w:val="00FC128C"/>
    <w:rsid w:val="00FD3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18E3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020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69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6B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50B8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50B81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B50B8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50B81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3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D24385"/>
    <w:pPr>
      <w:jc w:val="center"/>
    </w:pPr>
    <w:rPr>
      <w:rFonts w:ascii="Times New Roman" w:hAnsi="Times New Roman"/>
      <w:b/>
      <w:bCs/>
      <w:sz w:val="36"/>
    </w:rPr>
  </w:style>
  <w:style w:type="character" w:customStyle="1" w:styleId="TitleChar">
    <w:name w:val="Title Char"/>
    <w:link w:val="Title"/>
    <w:uiPriority w:val="99"/>
    <w:rsid w:val="00D24385"/>
    <w:rPr>
      <w:b/>
      <w:bCs/>
      <w:sz w:val="36"/>
      <w:szCs w:val="24"/>
    </w:rPr>
  </w:style>
  <w:style w:type="character" w:customStyle="1" w:styleId="Heading1Char">
    <w:name w:val="Heading 1 Char"/>
    <w:basedOn w:val="DefaultParagraphFont"/>
    <w:link w:val="Heading1"/>
    <w:rsid w:val="009020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rsid w:val="009020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20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20A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2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20AB"/>
    <w:rPr>
      <w:rFonts w:ascii="Arial" w:hAnsi="Arial"/>
      <w:b/>
      <w:bCs/>
      <w:lang w:eastAsia="en-US"/>
    </w:rPr>
  </w:style>
  <w:style w:type="character" w:styleId="Hyperlink">
    <w:name w:val="Hyperlink"/>
    <w:basedOn w:val="DefaultParagraphFont"/>
    <w:rsid w:val="004A2B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A2BC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8636F"/>
    <w:rPr>
      <w:rFonts w:ascii="Arial" w:hAnsi="Arial"/>
      <w:sz w:val="24"/>
      <w:szCs w:val="24"/>
      <w:lang w:eastAsia="en-US"/>
    </w:rPr>
  </w:style>
  <w:style w:type="paragraph" w:styleId="NoSpacing">
    <w:name w:val="No Spacing"/>
    <w:uiPriority w:val="1"/>
    <w:qFormat/>
    <w:rsid w:val="00A4260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EF69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table" w:styleId="TableGrid">
    <w:name w:val="Table Grid"/>
    <w:basedOn w:val="TableNormal"/>
    <w:rsid w:val="00EF6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C5594"/>
    <w:pPr>
      <w:spacing w:before="100" w:beforeAutospacing="1" w:after="100" w:afterAutospacing="1"/>
    </w:pPr>
    <w:rPr>
      <w:rFonts w:ascii="Times New Roman" w:hAnsi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://www.medicines.org.uk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medicinescomplete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medusa.wales.nhs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E2E50D6FE7F4DB2327D7FC8880031" ma:contentTypeVersion="4" ma:contentTypeDescription="Create a new document." ma:contentTypeScope="" ma:versionID="8a0b1df7e0b611801ce936c6f62a6fda">
  <xsd:schema xmlns:xsd="http://www.w3.org/2001/XMLSchema" xmlns:xs="http://www.w3.org/2001/XMLSchema" xmlns:p="http://schemas.microsoft.com/office/2006/metadata/properties" xmlns:ns2="918eb745-60b3-478d-bcaa-77dc1e92cc18" targetNamespace="http://schemas.microsoft.com/office/2006/metadata/properties" ma:root="true" ma:fieldsID="4b1683eef2e5f46726bbf8d67f9ef4c0" ns2:_="">
    <xsd:import namespace="918eb745-60b3-478d-bcaa-77dc1e92c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eb745-60b3-478d-bcaa-77dc1e92c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7369F-54E3-E941-8651-1AB3D323F4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C4D5E-31A6-46ED-90B7-FB0F853E2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eb745-60b3-478d-bcaa-77dc1e92c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4E2345-794B-453E-8479-26B37EBD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1031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Lothian Critical Care Guidelines Tracheostomy Guidelines</vt:lpstr>
    </vt:vector>
  </TitlesOfParts>
  <Company>NHS Lothian</Company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Lothian Critical Care Guidelines Tracheostomy Guidelines</dc:title>
  <dc:creator>NHSLAdmin</dc:creator>
  <cp:lastModifiedBy>anne.neally</cp:lastModifiedBy>
  <cp:revision>4</cp:revision>
  <cp:lastPrinted>2023-07-25T13:21:00Z</cp:lastPrinted>
  <dcterms:created xsi:type="dcterms:W3CDTF">2024-05-22T08:36:00Z</dcterms:created>
  <dcterms:modified xsi:type="dcterms:W3CDTF">2024-05-28T14:46:00Z</dcterms:modified>
</cp:coreProperties>
</file>