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contextualSpacing w:val="0"/>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Title: </w:t>
      </w:r>
      <w:r w:rsidDel="00000000" w:rsidR="00000000" w:rsidRPr="00000000">
        <w:rPr>
          <w:rFonts w:ascii="Cambria" w:cs="Cambria" w:eastAsia="Cambria" w:hAnsi="Cambria"/>
          <w:color w:val="000000"/>
          <w:rtl w:val="0"/>
        </w:rPr>
        <w:t xml:space="preserve">“Blockchain, Virtual Currencies, and Tokens: An Examination of Business &amp; Legal Issues”</w:t>
      </w:r>
    </w:p>
    <w:p w:rsidR="00000000" w:rsidDel="00000000" w:rsidP="00000000" w:rsidRDefault="00000000" w:rsidRPr="00000000" w14:paraId="00000003">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4">
      <w:pPr>
        <w:contextualSpacing w:val="0"/>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Instructor: </w:t>
      </w:r>
      <w:r w:rsidDel="00000000" w:rsidR="00000000" w:rsidRPr="00000000">
        <w:rPr>
          <w:rFonts w:ascii="Cambria" w:cs="Cambria" w:eastAsia="Cambria" w:hAnsi="Cambria"/>
          <w:color w:val="000000"/>
          <w:rtl w:val="0"/>
        </w:rPr>
        <w:tab/>
        <w:t xml:space="preserve">Donna Redel, J.D. (Fordham) MBA (Columbia)</w:t>
      </w:r>
    </w:p>
    <w:p w:rsidR="00000000" w:rsidDel="00000000" w:rsidP="00000000" w:rsidRDefault="00000000" w:rsidRPr="00000000" w14:paraId="00000005">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Kenneth Goodman, MS (Georgia Tech 2018), BA (CUNY at Queens  </w:t>
      </w:r>
    </w:p>
    <w:p w:rsidR="00000000" w:rsidDel="00000000" w:rsidP="00000000" w:rsidRDefault="00000000" w:rsidRPr="00000000" w14:paraId="00000006">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College  </w:t>
      </w:r>
    </w:p>
    <w:p w:rsidR="00000000" w:rsidDel="00000000" w:rsidP="00000000" w:rsidRDefault="00000000" w:rsidRPr="00000000" w14:paraId="0000000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b w:val="1"/>
          <w:color w:val="000000"/>
          <w:rtl w:val="0"/>
        </w:rPr>
        <w:t xml:space="preserve">Learning Goals</w:t>
        <w:br w:type="textWrapping"/>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is designed to give the students an understanding that will provide them with the ability to analyze the business projects and associated legal issues relating to the blockchain industry.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explore the development of blockchain as a vehicle for innovation, the legal issues surrounding blockchain projects, and the business cases for both public and private blockchains through the examination of concrete case studies.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address the basics of virtual or crypto currencies and tokens(digital assets). Students will analyze several early token issuances (i.e., Bitcoin and Ethereum) and more recent Initial Coin Offerings (ICOs) from both a business and legal perspective.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introduce students to the primary legal framework in the USA—i.e., CFTC, SEC, FINCEN, IRS, and state regulators.  Having an understanding of the functions and roles of each of these regulatory bodies is important for product offerings and for how blockchain entrepreneurs have and will continue to navigate the space. Through the analysis of ICOs, students will gain a perspective of how the regulatory uncertainty creates risks, opportunities and exposure.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explore geographic arbitrage from both legal and business viewpoints. </w:t>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Pedagogy</w:t>
        <w:br w:type="textWrapping"/>
      </w:r>
    </w:p>
    <w:p w:rsidR="00000000" w:rsidDel="00000000" w:rsidP="00000000" w:rsidRDefault="00000000" w:rsidRPr="00000000" w14:paraId="00000012">
      <w:pPr>
        <w:numPr>
          <w:ilvl w:val="0"/>
          <w:numId w:val="1"/>
        </w:numPr>
        <w:ind w:left="720" w:hanging="360"/>
        <w:contextualSpacing w:val="0"/>
        <w:rPr>
          <w:color w:val="000000"/>
        </w:rPr>
      </w:pPr>
      <w:r w:rsidDel="00000000" w:rsidR="00000000" w:rsidRPr="00000000">
        <w:rPr>
          <w:rFonts w:ascii="Cambria" w:cs="Cambria" w:eastAsia="Cambria" w:hAnsi="Cambria"/>
          <w:color w:val="000000"/>
          <w:rtl w:val="0"/>
        </w:rPr>
        <w:t xml:space="preserve">Weekly readings (articles, cases, regulatory filings or ICOs) and discussions</w:t>
      </w: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0"/>
        <w:rPr>
          <w:color w:val="000000"/>
        </w:rPr>
      </w:pPr>
      <w:r w:rsidDel="00000000" w:rsidR="00000000" w:rsidRPr="00000000">
        <w:rPr>
          <w:rFonts w:ascii="Cambria" w:cs="Cambria" w:eastAsia="Cambria" w:hAnsi="Cambria"/>
          <w:color w:val="000000"/>
          <w:rtl w:val="0"/>
        </w:rPr>
        <w:t xml:space="preserve">Instructor lectures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Guest speakers, panels from different sectors of the industry. The speakers will provide students with a range of perspectives and discuss real-world and real time examples in which they have involvement. Student participation in Q&amp;A to follow.</w:t>
      </w:r>
      <w:r w:rsidDel="00000000" w:rsidR="00000000" w:rsidRPr="00000000">
        <w:rPr>
          <w:rtl w:val="0"/>
        </w:rPr>
      </w:r>
    </w:p>
    <w:p w:rsidR="00000000" w:rsidDel="00000000" w:rsidP="00000000" w:rsidRDefault="00000000" w:rsidRPr="00000000" w14:paraId="00000015">
      <w:pPr>
        <w:ind w:left="72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6">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17">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18">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19">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1A">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Course Evaluation Criteria</w:t>
        <w:br w:type="textWrapping"/>
      </w:r>
    </w:p>
    <w:p w:rsidR="00000000" w:rsidDel="00000000" w:rsidP="00000000" w:rsidRDefault="00000000" w:rsidRPr="00000000" w14:paraId="0000001B">
      <w:pPr>
        <w:numPr>
          <w:ilvl w:val="0"/>
          <w:numId w:val="6"/>
        </w:numPr>
        <w:ind w:left="720" w:hanging="360"/>
        <w:contextualSpacing w:val="0"/>
        <w:rPr>
          <w:color w:val="000000"/>
        </w:rPr>
      </w:pPr>
      <w:r w:rsidDel="00000000" w:rsidR="00000000" w:rsidRPr="00000000">
        <w:rPr>
          <w:rFonts w:ascii="Cambria" w:cs="Cambria" w:eastAsia="Cambria" w:hAnsi="Cambria"/>
          <w:color w:val="000000"/>
          <w:rtl w:val="0"/>
        </w:rPr>
        <w:t xml:space="preserve">Weekly Response to Article Assignments: 20% </w:t>
      </w:r>
      <w:r w:rsidDel="00000000" w:rsidR="00000000" w:rsidRPr="00000000">
        <w:rPr>
          <w:rtl w:val="0"/>
        </w:rPr>
      </w:r>
    </w:p>
    <w:p w:rsidR="00000000" w:rsidDel="00000000" w:rsidP="00000000" w:rsidRDefault="00000000" w:rsidRPr="00000000" w14:paraId="0000001C">
      <w:pPr>
        <w:numPr>
          <w:ilvl w:val="0"/>
          <w:numId w:val="6"/>
        </w:numPr>
        <w:ind w:left="720" w:hanging="360"/>
        <w:contextualSpacing w:val="0"/>
        <w:rPr>
          <w:color w:val="000000"/>
        </w:rPr>
      </w:pPr>
      <w:r w:rsidDel="00000000" w:rsidR="00000000" w:rsidRPr="00000000">
        <w:rPr>
          <w:rFonts w:ascii="Cambria" w:cs="Cambria" w:eastAsia="Cambria" w:hAnsi="Cambria"/>
          <w:color w:val="000000"/>
          <w:rtl w:val="0"/>
        </w:rPr>
        <w:t xml:space="preserve">Class Participation: 20%</w:t>
      </w:r>
      <w:r w:rsidDel="00000000" w:rsidR="00000000" w:rsidRPr="00000000">
        <w:rPr>
          <w:rtl w:val="0"/>
        </w:rPr>
      </w:r>
    </w:p>
    <w:p w:rsidR="00000000" w:rsidDel="00000000" w:rsidP="00000000" w:rsidRDefault="00000000" w:rsidRPr="00000000" w14:paraId="0000001D">
      <w:pPr>
        <w:numPr>
          <w:ilvl w:val="0"/>
          <w:numId w:val="6"/>
        </w:numPr>
        <w:ind w:left="720" w:hanging="360"/>
        <w:contextualSpacing w:val="0"/>
        <w:rPr>
          <w:color w:val="000000"/>
        </w:rPr>
      </w:pPr>
      <w:r w:rsidDel="00000000" w:rsidR="00000000" w:rsidRPr="00000000">
        <w:rPr>
          <w:rFonts w:ascii="Cambria" w:cs="Cambria" w:eastAsia="Cambria" w:hAnsi="Cambria"/>
          <w:color w:val="000000"/>
          <w:rtl w:val="0"/>
        </w:rPr>
        <w:t xml:space="preserve">Assignment for Week 10 (Capital Raising Analysis): 10%</w:t>
      </w:r>
      <w:r w:rsidDel="00000000" w:rsidR="00000000" w:rsidRPr="00000000">
        <w:rPr>
          <w:rtl w:val="0"/>
        </w:rPr>
      </w:r>
    </w:p>
    <w:p w:rsidR="00000000" w:rsidDel="00000000" w:rsidP="00000000" w:rsidRDefault="00000000" w:rsidRPr="00000000" w14:paraId="0000001E">
      <w:pPr>
        <w:numPr>
          <w:ilvl w:val="0"/>
          <w:numId w:val="6"/>
        </w:numPr>
        <w:ind w:left="720" w:hanging="360"/>
        <w:contextualSpacing w:val="0"/>
        <w:rPr>
          <w:color w:val="000000"/>
        </w:rPr>
      </w:pPr>
      <w:r w:rsidDel="00000000" w:rsidR="00000000" w:rsidRPr="00000000">
        <w:rPr>
          <w:rFonts w:ascii="Cambria" w:cs="Cambria" w:eastAsia="Cambria" w:hAnsi="Cambria"/>
          <w:color w:val="000000"/>
          <w:rtl w:val="0"/>
        </w:rPr>
        <w:t xml:space="preserve">Final Paper: 50% (topics to be selected with instructors)</w:t>
      </w:r>
      <w:r w:rsidDel="00000000" w:rsidR="00000000" w:rsidRPr="00000000">
        <w:rPr>
          <w:rtl w:val="0"/>
        </w:rPr>
      </w:r>
    </w:p>
    <w:p w:rsidR="00000000" w:rsidDel="00000000" w:rsidP="00000000" w:rsidRDefault="00000000" w:rsidRPr="00000000" w14:paraId="0000001F">
      <w:pPr>
        <w:ind w:left="72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Note to Law Students:</w:t>
      </w:r>
      <w:r w:rsidDel="00000000" w:rsidR="00000000" w:rsidRPr="00000000">
        <w:rPr>
          <w:rFonts w:ascii="Calibri" w:cs="Calibri" w:eastAsia="Calibri" w:hAnsi="Calibri"/>
          <w:b w:val="1"/>
          <w:rtl w:val="0"/>
        </w:rPr>
        <w:t xml:space="preserve"> </w:t>
      </w:r>
      <w:r w:rsidDel="00000000" w:rsidR="00000000" w:rsidRPr="00000000">
        <w:rPr>
          <w:rtl w:val="0"/>
        </w:rPr>
        <w:t xml:space="preserve">Law students are not required to attend class 14 or 15.</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color w:val="000000"/>
        </w:rPr>
      </w:pPr>
      <w:r w:rsidDel="00000000" w:rsidR="00000000" w:rsidRPr="00000000">
        <w:rPr>
          <w:b w:val="1"/>
          <w:rtl w:val="0"/>
        </w:rPr>
        <w:t xml:space="preserve">Note: </w:t>
      </w:r>
      <w:r w:rsidDel="00000000" w:rsidR="00000000" w:rsidRPr="00000000">
        <w:rPr>
          <w:rtl w:val="0"/>
        </w:rPr>
        <w:t xml:space="preserve">Due to the fast-changing nature of the subject matter students are encouraged to stay current with developments. For daily breaking news an excellent source is: </w:t>
      </w:r>
      <w:r w:rsidDel="00000000" w:rsidR="00000000" w:rsidRPr="00000000">
        <w:rPr>
          <w:color w:val="000000"/>
          <w:rtl w:val="0"/>
        </w:rPr>
        <w:t xml:space="preserve">http://www.coindesk.com/</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0"/>
          <w:szCs w:val="20"/>
        </w:rPr>
      </w:pPr>
      <w:r w:rsidDel="00000000" w:rsidR="00000000" w:rsidRPr="00000000">
        <w:rPr>
          <w:rFonts w:ascii="Cambria" w:cs="Cambria" w:eastAsia="Cambria" w:hAnsi="Cambria"/>
          <w:b w:val="1"/>
          <w:color w:val="000000"/>
          <w:rtl w:val="0"/>
        </w:rPr>
        <w:t xml:space="preserve">Course Outline:</w:t>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1: Building the foundational knowledge</w:t>
      </w:r>
    </w:p>
    <w:p w:rsidR="00000000" w:rsidDel="00000000" w:rsidP="00000000" w:rsidRDefault="00000000" w:rsidRPr="00000000" w14:paraId="0000002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introduction of blockchain, overview of the technology, including the discussion of hashing, distributed ledgers, private and public keys, and digital signatures.</w:t>
      </w:r>
    </w:p>
    <w:p w:rsidR="00000000" w:rsidDel="00000000" w:rsidP="00000000" w:rsidRDefault="00000000" w:rsidRPr="00000000" w14:paraId="0000002A">
      <w:pPr>
        <w:ind w:left="36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Readings for Week 1:</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Beyond the Bitcoin Bubble (NY Times):</w:t>
        <w:br w:type="textWrapping"/>
      </w:r>
      <w:hyperlink r:id="rId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https://www.nytimes.com/2018/01/16/magazine/beyond-the-bitcoin-bubble.html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Cryptocurrencies (Last Week Tonight with John Oliver): </w:t>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https://www.youtube.com/watch?v=g6iDZspbRMg</w:t>
        </w:r>
      </w:hyperlink>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Does Blockchain Work (Simply Explained):</w:t>
      </w:r>
      <w:r w:rsidDel="00000000" w:rsidR="00000000" w:rsidRPr="00000000">
        <w:rPr>
          <w:rtl w:val="0"/>
        </w:rPr>
        <w:t xml:space="preserve"> </w:t>
      </w:r>
      <w:hyperlink r:id="rId8">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https://www.youtube.com/watch?v=SSo_EIwHSd4</w:t>
        </w:r>
      </w:hyperlink>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Bitcoin (Khan Academy):</w:t>
        <w:br w:type="textWrapping"/>
      </w:r>
      <w:hyperlink r:id="rId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https://www.khanacademy.org/economics-finance-domain/core-finance/money-and-banking#bitcoin</w:t>
        </w:r>
      </w:hyperlink>
      <w:r w:rsidDel="00000000" w:rsidR="00000000" w:rsidRPr="00000000">
        <w:rPr>
          <w:rtl w:val="0"/>
        </w:rPr>
      </w:r>
    </w:p>
    <w:p w:rsidR="00000000" w:rsidDel="00000000" w:rsidP="00000000" w:rsidRDefault="00000000" w:rsidRPr="00000000" w14:paraId="0000003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Money is Software (David Abelson):</w:t>
        <w:br w:type="textWrapping"/>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https://vimeo.com/260347834</w:t>
        </w:r>
      </w:hyperlink>
      <w:r w:rsidDel="00000000" w:rsidR="00000000" w:rsidRPr="00000000">
        <w:rPr>
          <w:rFonts w:ascii="Cambria" w:cs="Cambria" w:eastAsia="Cambria" w:hAnsi="Cambria"/>
          <w:b w:val="0"/>
          <w:i w:val="0"/>
          <w:smallCaps w:val="0"/>
          <w:strike w:val="0"/>
          <w:color w:val="660066"/>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2: Building the foundational knowledge</w:t>
      </w:r>
    </w:p>
    <w:p w:rsidR="00000000" w:rsidDel="00000000" w:rsidP="00000000" w:rsidRDefault="00000000" w:rsidRPr="00000000" w14:paraId="00000034">
      <w:pPr>
        <w:ind w:left="36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color w:val="000000"/>
          <w:rtl w:val="0"/>
        </w:rPr>
        <w:t xml:space="preserve">Continuation of the introduction to blockchain and cryptocurrencies. Develop an understanding of bitcoin and other UTXO-based blockchains.</w:t>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Introduce bitcoin (its beginnings, “who is Satoshi?”, its governance structure”, and the bitcoin cash fork).  </w:t>
      </w:r>
    </w:p>
    <w:p w:rsidR="00000000" w:rsidDel="00000000" w:rsidP="00000000" w:rsidRDefault="00000000" w:rsidRPr="00000000" w14:paraId="00000038">
      <w:pPr>
        <w:ind w:left="36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0" w:hanging="720"/>
        <w:contextualSpacing w:val="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Readings for Week 2:</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“Bitcoin: Peer-to-Peer Electronic Cash System” (Satoshi Nakamoto): </w:t>
      </w:r>
      <w:hyperlink r:id="rId1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https://www.bitcoin.com/bitcoin.pdf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contextualSpacing w:val="0"/>
        <w:rPr>
          <w:color w:val="00000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Fonts w:ascii="Cambria" w:cs="Cambria" w:eastAsia="Cambria" w:hAnsi="Cambria"/>
          <w:b w:val="1"/>
          <w:i w:val="1"/>
          <w:color w:val="000000"/>
          <w:rtl w:val="0"/>
        </w:rPr>
        <w:t xml:space="preserve">Week 3: Building the foundational knowledge </w:t>
      </w:r>
      <w:r w:rsidDel="00000000" w:rsidR="00000000" w:rsidRPr="00000000">
        <w:rPr>
          <w:rtl w:val="0"/>
        </w:rPr>
      </w:r>
    </w:p>
    <w:p w:rsidR="00000000" w:rsidDel="00000000" w:rsidP="00000000" w:rsidRDefault="00000000" w:rsidRPr="00000000" w14:paraId="0000003D">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Introduction to Ethereum (including “Who is Vitalik?”); Ethereum’s governance structure; an assessment of the DAO, the DAO hack, and the post-DAO hack fork; plus, a review of CryptoKitties – i.e</w:t>
      </w:r>
      <w:r w:rsidDel="00000000" w:rsidR="00000000" w:rsidRPr="00000000">
        <w:rPr>
          <w:rFonts w:ascii="Cambria" w:cs="Cambria" w:eastAsia="Cambria" w:hAnsi="Cambria"/>
          <w:i w:val="1"/>
          <w:color w:val="000000"/>
          <w:rtl w:val="0"/>
        </w:rPr>
        <w:t xml:space="preserve">.</w:t>
      </w:r>
      <w:r w:rsidDel="00000000" w:rsidR="00000000" w:rsidRPr="00000000">
        <w:rPr>
          <w:rFonts w:ascii="Cambria" w:cs="Cambria" w:eastAsia="Cambria" w:hAnsi="Cambria"/>
          <w:color w:val="000000"/>
          <w:rtl w:val="0"/>
        </w:rPr>
        <w:t xml:space="preserve">, Ethereum works! </w:t>
      </w:r>
    </w:p>
    <w:p w:rsidR="00000000" w:rsidDel="00000000" w:rsidP="00000000" w:rsidRDefault="00000000" w:rsidRPr="00000000" w14:paraId="0000003E">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F">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0">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Regulation:</w:t>
      </w:r>
    </w:p>
    <w:p w:rsidR="00000000" w:rsidDel="00000000" w:rsidP="00000000" w:rsidRDefault="00000000" w:rsidRPr="00000000" w14:paraId="00000041">
      <w:pPr>
        <w:keepNext w:val="0"/>
        <w:keepLines w:val="0"/>
        <w:widowControl w:val="1"/>
        <w:numPr>
          <w:ilvl w:val="0"/>
          <w:numId w:val="11"/>
        </w:numP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color w:val="000000"/>
          <w:rtl w:val="0"/>
        </w:rPr>
        <w:t xml:space="preserve">What is the difference between currencies, commodities and tokens in the cryptosphere?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1"/>
        </w:numP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color w:val="000000"/>
          <w:rtl w:val="0"/>
        </w:rPr>
        <w:t xml:space="preserve">An introduction to the regulatory landscape—SEC, CFTC, FINCEN, IRS, and state regulators.  </w:t>
      </w:r>
      <w:r w:rsidDel="00000000" w:rsidR="00000000" w:rsidRPr="00000000">
        <w:rPr>
          <w:rtl w:val="0"/>
        </w:rPr>
      </w:r>
    </w:p>
    <w:p w:rsidR="00000000" w:rsidDel="00000000" w:rsidP="00000000" w:rsidRDefault="00000000" w:rsidRPr="00000000" w14:paraId="00000043">
      <w:pPr>
        <w:ind w:left="36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4">
      <w:pPr>
        <w:ind w:left="360"/>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Readings Week 3:</w:t>
      </w:r>
    </w:p>
    <w:p w:rsidR="00000000" w:rsidDel="00000000" w:rsidP="00000000" w:rsidRDefault="00000000" w:rsidRPr="00000000" w14:paraId="0000004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Ethereum Yellow Paper: </w:t>
      </w:r>
      <w:hyperlink r:id="rId12">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https://ethereum.github.io/yellowpaper/paper.pdf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Regulation of Commodity Options - Robert C. Lower, Duke Law Journal: </w:t>
        <w:br w:type="textWrapping"/>
      </w:r>
      <w:hyperlink r:id="rId1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https://scholarship.law.duke.edu/dlj/vol27/iss5/1/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 v Howey, Supreme Court 1946: </w:t>
      </w:r>
      <w:hyperlink r:id="rId14">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https://supreme.justia.com/cases/federal/us/328/293/case.html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The Token Classification Framework: A multi-dimensional tool for understanding and classifying crypto tokens: </w:t>
        <w:br w:type="textWrapping"/>
      </w:r>
      <w:hyperlink r:id="rId15">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http://www.untitled-inc.com/the-token-classification-framework-a-multi-dimensional-tool-for-understanding-and-classifying-crypto-tokens/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 report on DAO (July 2017): </w:t>
      </w:r>
      <w:hyperlink r:id="rId1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https://www.sec.gov/litigation/investreport/34-81207.pdf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1"/>
        <w:jc w:val="left"/>
        <w:rPr>
          <w:b w:val="0"/>
          <w:i w:val="0"/>
          <w:smallCaps w:val="0"/>
          <w:strike w:val="0"/>
          <w:color w:val="3a3a3a"/>
          <w:sz w:val="24"/>
          <w:szCs w:val="24"/>
          <w:u w:val="none"/>
          <w:shd w:fill="auto" w:val="clear"/>
          <w:vertAlign w:val="baseline"/>
        </w:rPr>
      </w:pPr>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CryptoKitties: </w:t>
      </w:r>
      <w:hyperlink r:id="rId1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www.cryptokitties.co</w:t>
        </w:r>
      </w:hyperlink>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w:t>
      </w:r>
      <w:hyperlink r:id="rId18">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https://www.nytimes.com/2017/12/28/style/cryptokitties-want-a-blockchain-snuggle.html</w:t>
        </w:r>
      </w:hyperlink>
      <w:r w:rsidDel="00000000" w:rsidR="00000000" w:rsidRPr="00000000">
        <w:rPr>
          <w:rFonts w:ascii="Cambria" w:cs="Cambria" w:eastAsia="Cambria" w:hAnsi="Cambria"/>
          <w:b w:val="0"/>
          <w:i w:val="0"/>
          <w:smallCaps w:val="0"/>
          <w:strike w:val="0"/>
          <w:color w:val="3a3a3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D">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4: Review </w:t>
      </w:r>
      <w:r w:rsidDel="00000000" w:rsidR="00000000" w:rsidRPr="00000000">
        <w:rPr>
          <w:b w:val="1"/>
          <w:i w:val="1"/>
          <w:rtl w:val="0"/>
        </w:rPr>
        <w:t xml:space="preserve">three</w:t>
      </w:r>
      <w:r w:rsidDel="00000000" w:rsidR="00000000" w:rsidRPr="00000000">
        <w:rPr>
          <w:rFonts w:ascii="Cambria" w:cs="Cambria" w:eastAsia="Cambria" w:hAnsi="Cambria"/>
          <w:b w:val="1"/>
          <w:i w:val="1"/>
          <w:color w:val="000000"/>
          <w:rtl w:val="0"/>
        </w:rPr>
        <w:t xml:space="preserve"> ICO white papers (Part 1 of 2)</w:t>
      </w:r>
    </w:p>
    <w:p w:rsidR="00000000" w:rsidDel="00000000" w:rsidP="00000000" w:rsidRDefault="00000000" w:rsidRPr="00000000" w14:paraId="0000004E">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Intro discussion – review (at a high level) key terms and news articles related to a few prominent offerings:</w:t>
        <w:br w:type="textWrapping"/>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center"/>
        <w:rPr/>
      </w:pPr>
      <w:r w:rsidDel="00000000" w:rsidR="00000000" w:rsidRPr="00000000">
        <w:rPr>
          <w:rtl w:val="0"/>
        </w:rPr>
      </w:r>
    </w:p>
    <w:tbl>
      <w:tblPr>
        <w:tblStyle w:val="Table1"/>
        <w:tblW w:w="6315.0" w:type="dxa"/>
        <w:jc w:val="left"/>
        <w:tblInd w:w="10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845"/>
        <w:gridCol w:w="2565"/>
        <w:tblGridChange w:id="0">
          <w:tblGrid>
            <w:gridCol w:w="1905"/>
            <w:gridCol w:w="1845"/>
            <w:gridCol w:w="256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Two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Three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Mastercoin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WeTrust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EOS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Ethereum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Gnosis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Tezos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Maidsafe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Civic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Filecoin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DigixDao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OmiseGo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0X</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DAO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Basic Attention 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Tron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Plutus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Brave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Kin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FirstBlood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Bancor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Golem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Storj</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Polymath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Augur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Iconomi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Binance</w:t>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70">
      <w:pPr>
        <w:ind w:firstLine="36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color w:val="000000"/>
          <w:rtl w:val="0"/>
        </w:rPr>
        <w:t xml:space="preserve">For </w:t>
      </w:r>
      <w:r w:rsidDel="00000000" w:rsidR="00000000" w:rsidRPr="00000000">
        <w:rPr>
          <w:rtl w:val="0"/>
        </w:rPr>
        <w:t xml:space="preserve">three</w:t>
      </w:r>
      <w:r w:rsidDel="00000000" w:rsidR="00000000" w:rsidRPr="00000000">
        <w:rPr>
          <w:rFonts w:ascii="Cambria" w:cs="Cambria" w:eastAsia="Cambria" w:hAnsi="Cambria"/>
          <w:color w:val="000000"/>
          <w:rtl w:val="0"/>
        </w:rPr>
        <w:t xml:space="preserve"> specific offerings (one from each group) examine the business and begin to answer the questions: </w:t>
        <w:br w:type="textWrapping"/>
      </w:r>
      <w:r w:rsidDel="00000000" w:rsidR="00000000" w:rsidRPr="00000000">
        <w:rPr>
          <w:rtl w:val="0"/>
        </w:rPr>
      </w:r>
    </w:p>
    <w:p w:rsidR="00000000" w:rsidDel="00000000" w:rsidP="00000000" w:rsidRDefault="00000000" w:rsidRPr="00000000" w14:paraId="00000072">
      <w:pPr>
        <w:numPr>
          <w:ilvl w:val="0"/>
          <w:numId w:val="8"/>
        </w:numPr>
        <w:ind w:left="1080" w:hanging="360"/>
        <w:contextualSpacing w:val="0"/>
        <w:rPr>
          <w:color w:val="000000"/>
        </w:rPr>
      </w:pPr>
      <w:r w:rsidDel="00000000" w:rsidR="00000000" w:rsidRPr="00000000">
        <w:rPr>
          <w:rFonts w:ascii="Cambria" w:cs="Cambria" w:eastAsia="Cambria" w:hAnsi="Cambria"/>
          <w:color w:val="000000"/>
          <w:rtl w:val="0"/>
        </w:rPr>
        <w:t xml:space="preserve">Does this project need a blockchain or does a centralized database work? </w:t>
      </w:r>
      <w:r w:rsidDel="00000000" w:rsidR="00000000" w:rsidRPr="00000000">
        <w:rPr>
          <w:rtl w:val="0"/>
        </w:rPr>
      </w:r>
    </w:p>
    <w:p w:rsidR="00000000" w:rsidDel="00000000" w:rsidP="00000000" w:rsidRDefault="00000000" w:rsidRPr="00000000" w14:paraId="00000073">
      <w:pPr>
        <w:numPr>
          <w:ilvl w:val="1"/>
          <w:numId w:val="8"/>
        </w:numPr>
        <w:ind w:left="1440" w:hanging="360"/>
        <w:contextualSpacing w:val="0"/>
        <w:rPr>
          <w:color w:val="000000"/>
        </w:rPr>
      </w:pPr>
      <w:r w:rsidDel="00000000" w:rsidR="00000000" w:rsidRPr="00000000">
        <w:rPr>
          <w:rFonts w:ascii="Cambria" w:cs="Cambria" w:eastAsia="Cambria" w:hAnsi="Cambria"/>
          <w:color w:val="000000"/>
          <w:rtl w:val="0"/>
        </w:rPr>
        <w:t xml:space="preserve">What advantages would a blockchain give? </w:t>
      </w:r>
      <w:r w:rsidDel="00000000" w:rsidR="00000000" w:rsidRPr="00000000">
        <w:rPr>
          <w:rtl w:val="0"/>
        </w:rPr>
      </w:r>
    </w:p>
    <w:p w:rsidR="00000000" w:rsidDel="00000000" w:rsidP="00000000" w:rsidRDefault="00000000" w:rsidRPr="00000000" w14:paraId="00000074">
      <w:pPr>
        <w:numPr>
          <w:ilvl w:val="1"/>
          <w:numId w:val="8"/>
        </w:numPr>
        <w:ind w:left="1440" w:hanging="360"/>
        <w:contextualSpacing w:val="0"/>
        <w:rPr>
          <w:color w:val="000000"/>
        </w:rPr>
      </w:pPr>
      <w:r w:rsidDel="00000000" w:rsidR="00000000" w:rsidRPr="00000000">
        <w:rPr>
          <w:rFonts w:ascii="Cambria" w:cs="Cambria" w:eastAsia="Cambria" w:hAnsi="Cambria"/>
          <w:color w:val="000000"/>
          <w:rtl w:val="0"/>
        </w:rPr>
        <w:t xml:space="preserve">What advantages would a centralized database give? </w:t>
      </w:r>
      <w:r w:rsidDel="00000000" w:rsidR="00000000" w:rsidRPr="00000000">
        <w:rPr>
          <w:rtl w:val="0"/>
        </w:rPr>
      </w:r>
    </w:p>
    <w:p w:rsidR="00000000" w:rsidDel="00000000" w:rsidP="00000000" w:rsidRDefault="00000000" w:rsidRPr="00000000" w14:paraId="00000075">
      <w:pPr>
        <w:numPr>
          <w:ilvl w:val="1"/>
          <w:numId w:val="8"/>
        </w:numPr>
        <w:ind w:left="1440" w:hanging="360"/>
        <w:contextualSpacing w:val="0"/>
        <w:rPr>
          <w:color w:val="000000"/>
        </w:rPr>
      </w:pPr>
      <w:r w:rsidDel="00000000" w:rsidR="00000000" w:rsidRPr="00000000">
        <w:rPr>
          <w:rFonts w:ascii="Cambria" w:cs="Cambria" w:eastAsia="Cambria" w:hAnsi="Cambria"/>
          <w:color w:val="000000"/>
          <w:rtl w:val="0"/>
        </w:rPr>
        <w:t xml:space="preserve">Distributed database? </w:t>
      </w:r>
      <w:r w:rsidDel="00000000" w:rsidR="00000000" w:rsidRPr="00000000">
        <w:rPr>
          <w:rtl w:val="0"/>
        </w:rPr>
      </w:r>
    </w:p>
    <w:p w:rsidR="00000000" w:rsidDel="00000000" w:rsidP="00000000" w:rsidRDefault="00000000" w:rsidRPr="00000000" w14:paraId="00000076">
      <w:pPr>
        <w:numPr>
          <w:ilvl w:val="1"/>
          <w:numId w:val="8"/>
        </w:numPr>
        <w:ind w:left="1440" w:hanging="360"/>
        <w:contextualSpacing w:val="0"/>
        <w:rPr>
          <w:color w:val="000000"/>
        </w:rPr>
      </w:pPr>
      <w:r w:rsidDel="00000000" w:rsidR="00000000" w:rsidRPr="00000000">
        <w:rPr>
          <w:rFonts w:ascii="Cambria" w:cs="Cambria" w:eastAsia="Cambria" w:hAnsi="Cambria"/>
          <w:color w:val="000000"/>
          <w:rtl w:val="0"/>
        </w:rPr>
        <w:t xml:space="preserve">Private blockchain?</w:t>
      </w:r>
      <w:r w:rsidDel="00000000" w:rsidR="00000000" w:rsidRPr="00000000">
        <w:rPr>
          <w:rtl w:val="0"/>
        </w:rPr>
      </w:r>
    </w:p>
    <w:p w:rsidR="00000000" w:rsidDel="00000000" w:rsidP="00000000" w:rsidRDefault="00000000" w:rsidRPr="00000000" w14:paraId="00000077">
      <w:pPr>
        <w:numPr>
          <w:ilvl w:val="0"/>
          <w:numId w:val="8"/>
        </w:numPr>
        <w:ind w:left="1080" w:hanging="360"/>
        <w:contextualSpacing w:val="0"/>
        <w:rPr>
          <w:color w:val="000000"/>
        </w:rPr>
      </w:pPr>
      <w:r w:rsidDel="00000000" w:rsidR="00000000" w:rsidRPr="00000000">
        <w:rPr>
          <w:rFonts w:ascii="Cambria" w:cs="Cambria" w:eastAsia="Cambria" w:hAnsi="Cambria"/>
          <w:color w:val="000000"/>
          <w:rtl w:val="0"/>
        </w:rPr>
        <w:t xml:space="preserve">Why does this project require a token? For the founders, equity investors, early token investors and early token users. </w:t>
      </w:r>
      <w:r w:rsidDel="00000000" w:rsidR="00000000" w:rsidRPr="00000000">
        <w:rPr>
          <w:rtl w:val="0"/>
        </w:rPr>
      </w:r>
    </w:p>
    <w:p w:rsidR="00000000" w:rsidDel="00000000" w:rsidP="00000000" w:rsidRDefault="00000000" w:rsidRPr="00000000" w14:paraId="00000078">
      <w:pPr>
        <w:numPr>
          <w:ilvl w:val="0"/>
          <w:numId w:val="8"/>
        </w:numPr>
        <w:ind w:left="1080" w:hanging="360"/>
        <w:contextualSpacing w:val="0"/>
        <w:rPr>
          <w:color w:val="000000"/>
        </w:rPr>
      </w:pPr>
      <w:r w:rsidDel="00000000" w:rsidR="00000000" w:rsidRPr="00000000">
        <w:rPr>
          <w:rFonts w:ascii="Cambria" w:cs="Cambria" w:eastAsia="Cambria" w:hAnsi="Cambria"/>
          <w:color w:val="000000"/>
          <w:rtl w:val="0"/>
        </w:rPr>
        <w:t xml:space="preserve">What is the business case for the project?</w:t>
      </w:r>
      <w:r w:rsidDel="00000000" w:rsidR="00000000" w:rsidRPr="00000000">
        <w:rPr>
          <w:rtl w:val="0"/>
        </w:rPr>
      </w:r>
    </w:p>
    <w:p w:rsidR="00000000" w:rsidDel="00000000" w:rsidP="00000000" w:rsidRDefault="00000000" w:rsidRPr="00000000" w14:paraId="00000079">
      <w:pPr>
        <w:numPr>
          <w:ilvl w:val="0"/>
          <w:numId w:val="8"/>
        </w:numPr>
        <w:ind w:left="1080" w:hanging="360"/>
        <w:contextualSpacing w:val="0"/>
        <w:rPr>
          <w:color w:val="000000"/>
        </w:rPr>
      </w:pPr>
      <w:r w:rsidDel="00000000" w:rsidR="00000000" w:rsidRPr="00000000">
        <w:rPr>
          <w:rFonts w:ascii="Cambria" w:cs="Cambria" w:eastAsia="Cambria" w:hAnsi="Cambria"/>
          <w:color w:val="000000"/>
          <w:rtl w:val="0"/>
        </w:rPr>
        <w:t xml:space="preserve">Is it a currency, commodity or asset? What regulations are applicable?</w:t>
      </w: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ind w:left="360"/>
        <w:contextualSpacing w:val="0"/>
        <w:rPr>
          <w:b w:val="1"/>
          <w:i w:val="1"/>
        </w:rPr>
      </w:pPr>
      <w:r w:rsidDel="00000000" w:rsidR="00000000" w:rsidRPr="00000000">
        <w:rPr>
          <w:b w:val="1"/>
          <w:i w:val="1"/>
          <w:rtl w:val="0"/>
        </w:rPr>
        <w:t xml:space="preserve">Readings Week 4:</w:t>
      </w:r>
    </w:p>
    <w:p w:rsidR="00000000" w:rsidDel="00000000" w:rsidP="00000000" w:rsidRDefault="00000000" w:rsidRPr="00000000" w14:paraId="0000007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Ripple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White Paper: </w:t>
        <w:br w:type="textWrapping"/>
      </w:r>
      <w:hyperlink r:id="rId19">
        <w:r w:rsidDel="00000000" w:rsidR="00000000" w:rsidRPr="00000000">
          <w:rPr>
            <w:color w:val="1155cc"/>
            <w:u w:val="single"/>
            <w:rtl w:val="0"/>
          </w:rPr>
          <w:t xml:space="preserve">https://ripple.com/files/ripple_solutions_guide.pdf</w:t>
        </w:r>
      </w:hyperlink>
      <w:r w:rsidDel="00000000" w:rsidR="00000000" w:rsidRPr="00000000">
        <w:rPr>
          <w:rtl w:val="0"/>
        </w:rPr>
      </w:r>
    </w:p>
    <w:p w:rsidR="00000000" w:rsidDel="00000000" w:rsidP="00000000" w:rsidRDefault="00000000" w:rsidRPr="00000000" w14:paraId="0000007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Munchee ICO White Paper: </w:t>
        <w:br w:type="textWrapping"/>
      </w:r>
      <w:hyperlink r:id="rId2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https://www.theventurealley.com/wp-content/uploads/sites/5/2017/12/Munchee-White-Paper.pdf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 cease and desist against Munchee Inc. (December 2017): </w:t>
      </w:r>
      <w:hyperlink r:id="rId2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https://www.sec.gov/litigation/admin/2017/33-10445.pdf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b w:val="1"/>
          <w:i w:val="1"/>
          <w:sz w:val="20"/>
          <w:szCs w:val="20"/>
        </w:rPr>
      </w:pPr>
      <w:r w:rsidDel="00000000" w:rsidR="00000000" w:rsidRPr="00000000">
        <w:rPr>
          <w:rFonts w:ascii="Cambria" w:cs="Cambria" w:eastAsia="Cambria" w:hAnsi="Cambria"/>
          <w:b w:val="1"/>
          <w:i w:val="1"/>
          <w:color w:val="000000"/>
          <w:rtl w:val="0"/>
        </w:rPr>
        <w:t xml:space="preserve">Week 5: Review </w:t>
      </w:r>
      <w:r w:rsidDel="00000000" w:rsidR="00000000" w:rsidRPr="00000000">
        <w:rPr>
          <w:b w:val="1"/>
          <w:i w:val="1"/>
          <w:rtl w:val="0"/>
        </w:rPr>
        <w:t xml:space="preserve">three</w:t>
      </w:r>
      <w:r w:rsidDel="00000000" w:rsidR="00000000" w:rsidRPr="00000000">
        <w:rPr>
          <w:rFonts w:ascii="Cambria" w:cs="Cambria" w:eastAsia="Cambria" w:hAnsi="Cambria"/>
          <w:b w:val="1"/>
          <w:i w:val="1"/>
          <w:color w:val="000000"/>
          <w:rtl w:val="0"/>
        </w:rPr>
        <w:t xml:space="preserve"> ICO white papers (Part 2 of 2)</w:t>
      </w: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color w:val="000000"/>
          <w:rtl w:val="0"/>
        </w:rPr>
        <w:t xml:space="preserve">We will examine the business and begin to answer the same questions as last class with the addition of:</w:t>
        <w:br w:type="textWrapping"/>
      </w:r>
      <w:r w:rsidDel="00000000" w:rsidR="00000000" w:rsidRPr="00000000">
        <w:rPr>
          <w:rtl w:val="0"/>
        </w:rPr>
      </w:r>
    </w:p>
    <w:p w:rsidR="00000000" w:rsidDel="00000000" w:rsidP="00000000" w:rsidRDefault="00000000" w:rsidRPr="00000000" w14:paraId="00000083">
      <w:pPr>
        <w:numPr>
          <w:ilvl w:val="0"/>
          <w:numId w:val="10"/>
        </w:numPr>
        <w:ind w:left="1080" w:hanging="360"/>
        <w:contextualSpacing w:val="0"/>
        <w:rPr>
          <w:color w:val="000000"/>
        </w:rPr>
      </w:pPr>
      <w:r w:rsidDel="00000000" w:rsidR="00000000" w:rsidRPr="00000000">
        <w:rPr>
          <w:rFonts w:ascii="Cambria" w:cs="Cambria" w:eastAsia="Cambria" w:hAnsi="Cambria"/>
          <w:color w:val="000000"/>
          <w:rtl w:val="0"/>
        </w:rPr>
        <w:t xml:space="preserve">What is the governance structure? Is there any legal binding on the part of the founders? Cryptographically secure governance? Governance by consensus? How </w:t>
      </w:r>
      <w:r w:rsidDel="00000000" w:rsidR="00000000" w:rsidRPr="00000000">
        <w:rPr>
          <w:rtl w:val="0"/>
        </w:rPr>
        <w:t xml:space="preserve">does it </w:t>
      </w:r>
      <w:r w:rsidDel="00000000" w:rsidR="00000000" w:rsidRPr="00000000">
        <w:rPr>
          <w:rFonts w:ascii="Cambria" w:cs="Cambria" w:eastAsia="Cambria" w:hAnsi="Cambria"/>
          <w:color w:val="000000"/>
          <w:rtl w:val="0"/>
        </w:rPr>
        <w:t xml:space="preserve">deal with the rights and restrictions of early equity investors?</w:t>
      </w:r>
      <w:r w:rsidDel="00000000" w:rsidR="00000000" w:rsidRPr="00000000">
        <w:rPr>
          <w:rtl w:val="0"/>
        </w:rPr>
      </w:r>
    </w:p>
    <w:p w:rsidR="00000000" w:rsidDel="00000000" w:rsidP="00000000" w:rsidRDefault="00000000" w:rsidRPr="00000000" w14:paraId="00000084">
      <w:pPr>
        <w:numPr>
          <w:ilvl w:val="0"/>
          <w:numId w:val="10"/>
        </w:numPr>
        <w:ind w:left="1080" w:hanging="360"/>
        <w:contextualSpacing w:val="0"/>
        <w:rPr>
          <w:color w:val="000000"/>
        </w:rPr>
      </w:pPr>
      <w:r w:rsidDel="00000000" w:rsidR="00000000" w:rsidRPr="00000000">
        <w:rPr>
          <w:rFonts w:ascii="Cambria" w:cs="Cambria" w:eastAsia="Cambria" w:hAnsi="Cambria"/>
          <w:color w:val="000000"/>
          <w:rtl w:val="0"/>
        </w:rPr>
        <w:t xml:space="preserve">Does the value of this coin rely on mass adoption? Does the coin use price appreciation to achieve mass adoption?</w:t>
      </w:r>
      <w:r w:rsidDel="00000000" w:rsidR="00000000" w:rsidRPr="00000000">
        <w:rPr>
          <w:rtl w:val="0"/>
        </w:rPr>
      </w:r>
    </w:p>
    <w:p w:rsidR="00000000" w:rsidDel="00000000" w:rsidP="00000000" w:rsidRDefault="00000000" w:rsidRPr="00000000" w14:paraId="00000085">
      <w:pPr>
        <w:numPr>
          <w:ilvl w:val="0"/>
          <w:numId w:val="10"/>
        </w:numPr>
        <w:ind w:left="1080" w:hanging="360"/>
        <w:contextualSpacing w:val="0"/>
        <w:rPr>
          <w:color w:val="000000"/>
        </w:rPr>
      </w:pPr>
      <w:r w:rsidDel="00000000" w:rsidR="00000000" w:rsidRPr="00000000">
        <w:rPr>
          <w:rFonts w:ascii="Cambria" w:cs="Cambria" w:eastAsia="Cambria" w:hAnsi="Cambria"/>
          <w:color w:val="000000"/>
          <w:rtl w:val="0"/>
        </w:rPr>
        <w:t xml:space="preserve">How was the token marketed?</w:t>
      </w:r>
      <w:r w:rsidDel="00000000" w:rsidR="00000000" w:rsidRPr="00000000">
        <w:rPr>
          <w:rtl w:val="0"/>
        </w:rPr>
      </w:r>
    </w:p>
    <w:p w:rsidR="00000000" w:rsidDel="00000000" w:rsidP="00000000" w:rsidRDefault="00000000" w:rsidRPr="00000000" w14:paraId="00000086">
      <w:pPr>
        <w:numPr>
          <w:ilvl w:val="0"/>
          <w:numId w:val="10"/>
        </w:numPr>
        <w:ind w:left="1080" w:hanging="360"/>
        <w:contextualSpacing w:val="0"/>
        <w:rPr>
          <w:color w:val="000000"/>
        </w:rPr>
      </w:pPr>
      <w:r w:rsidDel="00000000" w:rsidR="00000000" w:rsidRPr="00000000">
        <w:rPr>
          <w:rFonts w:ascii="Cambria" w:cs="Cambria" w:eastAsia="Cambria" w:hAnsi="Cambria"/>
          <w:color w:val="000000"/>
          <w:rtl w:val="0"/>
        </w:rPr>
        <w:t xml:space="preserve">Are there any investor lockups - for the coins raised and for the newly issued coins? Is there any legal binding for the issuer to do anything? Does it matter if it is a security? A private offering?</w:t>
      </w:r>
      <w:r w:rsidDel="00000000" w:rsidR="00000000" w:rsidRPr="00000000">
        <w:rPr>
          <w:rtl w:val="0"/>
        </w:rPr>
      </w:r>
    </w:p>
    <w:p w:rsidR="00000000" w:rsidDel="00000000" w:rsidP="00000000" w:rsidRDefault="00000000" w:rsidRPr="00000000" w14:paraId="00000087">
      <w:pPr>
        <w:numPr>
          <w:ilvl w:val="0"/>
          <w:numId w:val="10"/>
        </w:numPr>
        <w:ind w:left="1080" w:hanging="360"/>
        <w:contextualSpacing w:val="0"/>
        <w:rPr>
          <w:color w:val="000000"/>
        </w:rPr>
      </w:pPr>
      <w:r w:rsidDel="00000000" w:rsidR="00000000" w:rsidRPr="00000000">
        <w:rPr>
          <w:rFonts w:ascii="Cambria" w:cs="Cambria" w:eastAsia="Cambria" w:hAnsi="Cambria"/>
          <w:color w:val="000000"/>
          <w:rtl w:val="0"/>
        </w:rPr>
        <w:t xml:space="preserve">When will the product be released?</w:t>
      </w:r>
      <w:r w:rsidDel="00000000" w:rsidR="00000000" w:rsidRPr="00000000">
        <w:rPr>
          <w:rtl w:val="0"/>
        </w:rPr>
      </w:r>
    </w:p>
    <w:p w:rsidR="00000000" w:rsidDel="00000000" w:rsidP="00000000" w:rsidRDefault="00000000" w:rsidRPr="00000000" w14:paraId="00000088">
      <w:pPr>
        <w:numPr>
          <w:ilvl w:val="0"/>
          <w:numId w:val="10"/>
        </w:numPr>
        <w:ind w:left="1080" w:hanging="360"/>
        <w:contextualSpacing w:val="0"/>
        <w:rPr>
          <w:color w:val="000000"/>
        </w:rPr>
      </w:pPr>
      <w:r w:rsidDel="00000000" w:rsidR="00000000" w:rsidRPr="00000000">
        <w:rPr>
          <w:rFonts w:ascii="Cambria" w:cs="Cambria" w:eastAsia="Cambria" w:hAnsi="Cambria"/>
          <w:color w:val="000000"/>
          <w:rtl w:val="0"/>
        </w:rPr>
        <w:t xml:space="preserve">What are the legal issues and cases that are relevant to the ICO?</w:t>
      </w:r>
      <w:r w:rsidDel="00000000" w:rsidR="00000000" w:rsidRPr="00000000">
        <w:rPr>
          <w:rtl w:val="0"/>
        </w:rPr>
      </w:r>
    </w:p>
    <w:p w:rsidR="00000000" w:rsidDel="00000000" w:rsidP="00000000" w:rsidRDefault="00000000" w:rsidRPr="00000000" w14:paraId="00000089">
      <w:pPr>
        <w:ind w:left="72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A">
      <w:pPr>
        <w:ind w:firstLine="360"/>
        <w:contextualSpacing w:val="0"/>
        <w:rPr>
          <w:rFonts w:ascii="Cambria" w:cs="Cambria" w:eastAsia="Cambria" w:hAnsi="Cambria"/>
          <w:b w:val="1"/>
          <w:i w:val="1"/>
        </w:rPr>
      </w:pPr>
      <w:r w:rsidDel="00000000" w:rsidR="00000000" w:rsidRPr="00000000">
        <w:rPr>
          <w:rFonts w:ascii="Cambria" w:cs="Cambria" w:eastAsia="Cambria" w:hAnsi="Cambria"/>
          <w:b w:val="1"/>
          <w:i w:val="1"/>
          <w:rtl w:val="0"/>
        </w:rPr>
        <w:t xml:space="preserve">Readings Week 5: </w:t>
      </w:r>
    </w:p>
    <w:p w:rsidR="00000000" w:rsidDel="00000000" w:rsidP="00000000" w:rsidRDefault="00000000" w:rsidRPr="00000000" w14:paraId="0000008B">
      <w:pPr>
        <w:keepNext w:val="0"/>
        <w:keepLines w:val="0"/>
        <w:widowControl w:val="1"/>
        <w:numPr>
          <w:ilvl w:val="0"/>
          <w:numId w:val="13"/>
        </w:numP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color w:val="000000"/>
          <w:rtl w:val="0"/>
        </w:rPr>
        <w:t xml:space="preserve">SEC Reg D: </w:t>
      </w:r>
      <w:hyperlink r:id="rId22">
        <w:r w:rsidDel="00000000" w:rsidR="00000000" w:rsidRPr="00000000">
          <w:rPr>
            <w:rFonts w:ascii="Cambria" w:cs="Cambria" w:eastAsia="Cambria" w:hAnsi="Cambria"/>
            <w:color w:val="0000ff"/>
            <w:u w:val="single"/>
            <w:rtl w:val="0"/>
          </w:rPr>
          <w:t xml:space="preserve">https://en.wikipedia.org/wiki/Regulation_D_(SEC</w:t>
        </w:r>
      </w:hyperlink>
      <w:r w:rsidDel="00000000" w:rsidR="00000000" w:rsidRPr="00000000">
        <w:rPr>
          <w:rFonts w:ascii="Cambria" w:cs="Cambria" w:eastAsia="Cambria" w:hAnsi="Cambria"/>
          <w:color w:val="000000"/>
          <w:rtl w:val="0"/>
        </w:rPr>
        <w:t xml:space="preserve">)  </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13"/>
        </w:numP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color w:val="000000"/>
          <w:rtl w:val="0"/>
        </w:rPr>
        <w:t xml:space="preserve">Rule 504: </w:t>
      </w:r>
      <w:hyperlink r:id="rId23">
        <w:r w:rsidDel="00000000" w:rsidR="00000000" w:rsidRPr="00000000">
          <w:rPr>
            <w:rFonts w:ascii="Cambria" w:cs="Cambria" w:eastAsia="Cambria" w:hAnsi="Cambria"/>
            <w:color w:val="0000ff"/>
            <w:u w:val="single"/>
            <w:rtl w:val="0"/>
          </w:rPr>
          <w:t xml:space="preserve">https://www.sec.gov/fast-answers/answers-rule504.html</w:t>
        </w:r>
      </w:hyperlink>
      <w:r w:rsidDel="00000000" w:rsidR="00000000" w:rsidRPr="00000000">
        <w:rPr>
          <w:rtl w:val="0"/>
        </w:rPr>
      </w:r>
    </w:p>
    <w:p w:rsidR="00000000" w:rsidDel="00000000" w:rsidP="00000000" w:rsidRDefault="00000000" w:rsidRPr="00000000" w14:paraId="0000008D">
      <w:pPr>
        <w:keepNext w:val="0"/>
        <w:keepLines w:val="0"/>
        <w:widowControl w:val="1"/>
        <w:numPr>
          <w:ilvl w:val="0"/>
          <w:numId w:val="13"/>
        </w:numP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Rule 506: </w:t>
      </w:r>
      <w:hyperlink r:id="rId24">
        <w:r w:rsidDel="00000000" w:rsidR="00000000" w:rsidRPr="00000000">
          <w:rPr>
            <w:rFonts w:ascii="Cambria" w:cs="Cambria" w:eastAsia="Cambria" w:hAnsi="Cambria"/>
            <w:color w:val="0000ff"/>
            <w:u w:val="single"/>
            <w:rtl w:val="0"/>
          </w:rPr>
          <w:t xml:space="preserve">https://www.sec.gov/fast-answers/answers-rule506htm.html</w:t>
        </w:r>
      </w:hyperlink>
      <w:r w:rsidDel="00000000" w:rsidR="00000000" w:rsidRPr="00000000">
        <w:rPr>
          <w:rtl w:val="0"/>
        </w:rPr>
      </w:r>
    </w:p>
    <w:p w:rsidR="00000000" w:rsidDel="00000000" w:rsidP="00000000" w:rsidRDefault="00000000" w:rsidRPr="00000000" w14:paraId="0000008E">
      <w:pPr>
        <w:ind w:left="72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6: A closer look at the legal issues (present and historical)</w:t>
        <w:br w:type="textWrapping"/>
      </w:r>
    </w:p>
    <w:p w:rsidR="00000000" w:rsidDel="00000000" w:rsidP="00000000" w:rsidRDefault="00000000" w:rsidRPr="00000000" w14:paraId="0000009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Howey test: SEC and CFTC statements and actions related to ICOs: who has jurisdiction and why? </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all the commotion about NYS BitLicense and does the legislation passed on Wyoming matter?</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deeper look at exchanges: </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are exchanges regulated in the crypto world? It depends on what products the exchange trades.  </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best for the investor and to facilitate innovation?</w:t>
      </w: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ind w:firstLine="360"/>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Readings Week 6:</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 cease and desist against Genesis Mining: </w:t>
      </w:r>
      <w:hyperlink r:id="rId25">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http://2hsvz0l74ah31vgcm16peuy12tz.wpengine.netdna-cdn.com/wp-content/uploads/2018/03/01621904.pdf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SEC Obtains Emergency Asset Freeze to Stop Purportedly Fraudulent Initial Coin Offering</w:t>
      </w:r>
      <w:r w:rsidDel="00000000" w:rsidR="00000000" w:rsidRPr="00000000">
        <w:rPr>
          <w:rFonts w:ascii="Cambria" w:cs="Cambria" w:eastAsia="Cambria" w:hAnsi="Cambria"/>
          <w:b w:val="0"/>
          <w:i w:val="0"/>
          <w:smallCaps w:val="0"/>
          <w:strike w:val="0"/>
          <w:color w:val="333333"/>
          <w:sz w:val="24"/>
          <w:szCs w:val="24"/>
          <w:highlight w:val="white"/>
          <w:u w:val="none"/>
          <w:vertAlign w:val="baseline"/>
          <w:rtl w:val="0"/>
        </w:rPr>
        <w:t xml:space="preserve">:</w:t>
      </w: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 </w:t>
      </w:r>
      <w:hyperlink r:id="rId2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https://www.sec.gov/litigation/complaints/2017/comp-pr2017-219.pdf</w:t>
        </w:r>
      </w:hyperlink>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rPr>
      </w:pPr>
      <w:r w:rsidDel="00000000" w:rsidR="00000000" w:rsidRPr="00000000">
        <w:rPr>
          <w:color w:val="333333"/>
          <w:rtl w:val="0"/>
        </w:rPr>
        <w:t xml:space="preserve">Optional Readings:</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333333"/>
          <w:sz w:val="24"/>
          <w:szCs w:val="24"/>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u w:val="none"/>
          <w:shd w:fill="auto" w:val="clear"/>
          <w:vertAlign w:val="baseline"/>
          <w:rtl w:val="0"/>
        </w:rPr>
        <w:t xml:space="preserve">NY State BitLicense: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color w:val="333333"/>
          <w:highlight w:val="white"/>
        </w:rPr>
      </w:pPr>
      <w:hyperlink r:id="rId27">
        <w:r w:rsidDel="00000000" w:rsidR="00000000" w:rsidRPr="00000000">
          <w:rPr>
            <w:color w:val="1155cc"/>
            <w:u w:val="single"/>
            <w:rtl w:val="0"/>
          </w:rPr>
          <w:t xml:space="preserve">https://www.dfs.ny.gov/legal/regulations/adoptions/dfsp200t.pdf</w:t>
        </w:r>
      </w:hyperlink>
      <w:r w:rsidDel="00000000" w:rsidR="00000000" w:rsidRPr="00000000">
        <w:rPr>
          <w:rtl w:val="0"/>
        </w:rPr>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sz w:val="24"/>
          <w:szCs w:val="24"/>
          <w:highlight w:val="white"/>
          <w:u w:val="none"/>
          <w:vertAlign w:val="baseline"/>
        </w:rPr>
      </w:pPr>
      <w:r w:rsidDel="00000000" w:rsidR="00000000" w:rsidRPr="00000000">
        <w:rPr>
          <w:rFonts w:ascii="Cambria" w:cs="Cambria" w:eastAsia="Cambria" w:hAnsi="Cambria"/>
          <w:b w:val="0"/>
          <w:i w:val="0"/>
          <w:smallCaps w:val="0"/>
          <w:strike w:val="0"/>
          <w:color w:val="333333"/>
          <w:sz w:val="24"/>
          <w:szCs w:val="24"/>
          <w:highlight w:val="white"/>
          <w:u w:val="none"/>
          <w:vertAlign w:val="baseline"/>
          <w:rtl w:val="0"/>
        </w:rPr>
        <w:t xml:space="preserve">SEC reg relating to ATS: 17 CFR §242.301 regarding specific requirements for alternative trading systems: </w:t>
      </w:r>
      <w:hyperlink r:id="rId28">
        <w:r w:rsidDel="00000000" w:rsidR="00000000" w:rsidRPr="00000000">
          <w:rPr>
            <w:rFonts w:ascii="Cambria" w:cs="Cambria" w:eastAsia="Cambria" w:hAnsi="Cambria"/>
            <w:b w:val="0"/>
            <w:i w:val="0"/>
            <w:smallCaps w:val="0"/>
            <w:strike w:val="0"/>
            <w:color w:val="0000ff"/>
            <w:sz w:val="24"/>
            <w:szCs w:val="24"/>
            <w:highlight w:val="white"/>
            <w:u w:val="single"/>
            <w:vertAlign w:val="baseline"/>
            <w:rtl w:val="0"/>
          </w:rPr>
          <w:t xml:space="preserve">https://www.law.cornell.edu/cfr/text/17/242.301</w:t>
        </w:r>
      </w:hyperlink>
      <w:r w:rsidDel="00000000" w:rsidR="00000000" w:rsidRPr="00000000">
        <w:rPr>
          <w:rFonts w:ascii="Cambria" w:cs="Cambria" w:eastAsia="Cambria" w:hAnsi="Cambria"/>
          <w:b w:val="0"/>
          <w:i w:val="0"/>
          <w:smallCaps w:val="0"/>
          <w:strike w:val="0"/>
          <w:color w:val="333333"/>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Zaslavaskiy complaint: </w:t>
        <w:br w:type="textWrapping"/>
      </w:r>
      <w:hyperlink r:id="rId29">
        <w:r w:rsidDel="00000000" w:rsidR="00000000" w:rsidRPr="00000000">
          <w:rPr>
            <w:color w:val="0000ff"/>
            <w:u w:val="single"/>
            <w:rtl w:val="0"/>
          </w:rPr>
          <w:t xml:space="preserve">https://www.justice.gov/usao-edny/press-release/file/1007956/download</w:t>
        </w:r>
      </w:hyperlink>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CFTC Orders Bitcoin Exchange Bitfinex to Pay $75,000 for Offering Illegal Off Exchange Financed Retail Commodity Transactions and Failing to Register as a Futures Commission Merchant, 17:</w:t>
      </w:r>
      <w:r w:rsidDel="00000000" w:rsidR="00000000" w:rsidRPr="00000000">
        <w:rPr>
          <w:rtl w:val="0"/>
        </w:rPr>
      </w:r>
    </w:p>
    <w:p w:rsidR="00000000" w:rsidDel="00000000" w:rsidP="00000000" w:rsidRDefault="00000000" w:rsidRPr="00000000" w14:paraId="000000A1">
      <w:pPr>
        <w:keepNext w:val="0"/>
        <w:keepLines w:val="0"/>
        <w:widowControl w:val="1"/>
        <w:spacing w:after="0" w:before="0" w:line="240" w:lineRule="auto"/>
        <w:ind w:left="1800" w:right="0" w:hanging="720"/>
        <w:contextualSpacing w:val="0"/>
        <w:jc w:val="left"/>
        <w:rPr/>
      </w:pPr>
      <w:hyperlink r:id="rId30">
        <w:r w:rsidDel="00000000" w:rsidR="00000000" w:rsidRPr="00000000">
          <w:rPr>
            <w:color w:val="0000ff"/>
            <w:u w:val="single"/>
            <w:rtl w:val="0"/>
          </w:rPr>
          <w:t xml:space="preserve">http://www.cftc.gov/PressRoom/PressReleases/pr7380-16</w:t>
        </w:r>
      </w:hyperlink>
      <w:r w:rsidDel="00000000" w:rsidR="00000000" w:rsidRPr="00000000">
        <w:rPr>
          <w:rtl w:val="0"/>
        </w:rPr>
        <w:t xml:space="preserve"> </w:t>
      </w:r>
    </w:p>
    <w:p w:rsidR="00000000" w:rsidDel="00000000" w:rsidP="00000000" w:rsidRDefault="00000000" w:rsidRPr="00000000" w14:paraId="000000A2">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A3">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7:  Guest speakers: Sullivan &amp; Cromwell</w:t>
      </w:r>
    </w:p>
    <w:p w:rsidR="00000000" w:rsidDel="00000000" w:rsidP="00000000" w:rsidRDefault="00000000" w:rsidRPr="00000000" w14:paraId="000000A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Presentation on the current legal landscape and recap the important events in 2017-2018.</w:t>
      </w:r>
    </w:p>
    <w:p w:rsidR="00000000" w:rsidDel="00000000" w:rsidP="00000000" w:rsidRDefault="00000000" w:rsidRPr="00000000" w14:paraId="000000A5">
      <w:pPr>
        <w:ind w:left="36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A6">
      <w:pPr>
        <w:ind w:left="360"/>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Readings Week 7:</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333333"/>
          <w:sz w:val="24"/>
          <w:szCs w:val="24"/>
          <w:highlight w:val="white"/>
          <w:u w:val="none"/>
          <w:vertAlign w:val="baseline"/>
          <w:rtl w:val="0"/>
        </w:rPr>
        <w:t xml:space="preserve">The US Treasury Department released a letter sent to Sen. Ron Wyden (February 13, 2018): </w:t>
        <w:br w:type="textWrapping"/>
      </w:r>
      <w:hyperlink r:id="rId31">
        <w:r w:rsidDel="00000000" w:rsidR="00000000" w:rsidRPr="00000000">
          <w:rPr>
            <w:rFonts w:ascii="Cambria" w:cs="Cambria" w:eastAsia="Cambria" w:hAnsi="Cambria"/>
            <w:b w:val="0"/>
            <w:i w:val="0"/>
            <w:smallCaps w:val="0"/>
            <w:strike w:val="0"/>
            <w:color w:val="0000ff"/>
            <w:sz w:val="24"/>
            <w:szCs w:val="24"/>
            <w:highlight w:val="white"/>
            <w:u w:val="single"/>
            <w:vertAlign w:val="baseline"/>
            <w:rtl w:val="0"/>
          </w:rPr>
          <w:t xml:space="preserve">https://coincenter.org/files/2018-03/fincen-ico-letter-march-2018-coin-center.pdf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CFTC v Cabbagetech Corp: </w:t>
      </w:r>
      <w:hyperlink r:id="rId32">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https://www.cftc.gov/PressRoom/PressReleases/pr7675-18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Accredited Investor Standards:</w:t>
      </w:r>
      <w:r w:rsidDel="00000000" w:rsidR="00000000" w:rsidRPr="00000000">
        <w:rPr>
          <w:rtl w:val="0"/>
        </w:rPr>
      </w:r>
    </w:p>
    <w:p w:rsidR="00000000" w:rsidDel="00000000" w:rsidP="00000000" w:rsidRDefault="00000000" w:rsidRPr="00000000" w14:paraId="000000AA">
      <w:pPr>
        <w:ind w:left="1140" w:firstLine="0"/>
        <w:contextualSpacing w:val="0"/>
        <w:rPr/>
      </w:pPr>
      <w:hyperlink r:id="rId33">
        <w:r w:rsidDel="00000000" w:rsidR="00000000" w:rsidRPr="00000000">
          <w:rPr>
            <w:color w:val="1155cc"/>
            <w:u w:val="single"/>
            <w:rtl w:val="0"/>
          </w:rPr>
          <w:t xml:space="preserve">https://www.sec.gov/fast-answers/answers-accredhtm.html</w:t>
        </w:r>
      </w:hyperlink>
      <w:r w:rsidDel="00000000" w:rsidR="00000000" w:rsidRPr="00000000">
        <w:rPr>
          <w:rtl w:val="0"/>
        </w:rPr>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0" w:right="0" w:hanging="360"/>
        <w:contextualSpacing w:val="1"/>
        <w:jc w:val="left"/>
        <w:rPr>
          <w:u w:val="none"/>
        </w:rPr>
      </w:pPr>
      <w:r w:rsidDel="00000000" w:rsidR="00000000" w:rsidRPr="00000000">
        <w:rPr>
          <w:rtl w:val="0"/>
        </w:rPr>
        <w:t xml:space="preserve">KYC/AML:</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contextualSpacing w:val="0"/>
        <w:jc w:val="left"/>
        <w:rPr/>
      </w:pPr>
      <w:hyperlink r:id="rId34">
        <w:r w:rsidDel="00000000" w:rsidR="00000000" w:rsidRPr="00000000">
          <w:rPr>
            <w:color w:val="1155cc"/>
            <w:u w:val="single"/>
            <w:rtl w:val="0"/>
          </w:rPr>
          <w:t xml:space="preserve">https://www.sec.gov/about/offices/ocie/amlsourcetool.htm</w:t>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contextualSpacing w:val="0"/>
        <w:jc w:val="left"/>
        <w:rPr>
          <w:b w:val="1"/>
          <w:i w:val="1"/>
        </w:rPr>
      </w:pPr>
      <w:hyperlink r:id="rId35">
        <w:r w:rsidDel="00000000" w:rsidR="00000000" w:rsidRPr="00000000">
          <w:rPr>
            <w:color w:val="1155cc"/>
            <w:u w:val="single"/>
            <w:rtl w:val="0"/>
          </w:rPr>
          <w:t xml:space="preserve">https://www.sec.gov/about/offices/ocie/amlmfsourcetool.htm</w:t>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F">
      <w:pPr>
        <w:contextualSpacing w:val="0"/>
        <w:rPr>
          <w:rFonts w:ascii="Cambria" w:cs="Cambria" w:eastAsia="Cambria" w:hAnsi="Cambria"/>
          <w:b w:val="1"/>
          <w:i w:val="1"/>
          <w:color w:val="000000"/>
        </w:rPr>
      </w:pPr>
      <w:r w:rsidDel="00000000" w:rsidR="00000000" w:rsidRPr="00000000">
        <w:rPr>
          <w:rtl w:val="0"/>
        </w:rPr>
      </w:r>
    </w:p>
    <w:p w:rsidR="00000000" w:rsidDel="00000000" w:rsidP="00000000" w:rsidRDefault="00000000" w:rsidRPr="00000000" w14:paraId="000000B0">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8: Back to Fundamentals</w:t>
      </w:r>
    </w:p>
    <w:p w:rsidR="00000000" w:rsidDel="00000000" w:rsidP="00000000" w:rsidRDefault="00000000" w:rsidRPr="00000000" w14:paraId="000000B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color w:val="000000"/>
          <w:rtl w:val="0"/>
        </w:rPr>
        <w:t xml:space="preserve">Technically, what are soft/hard forks? How can they be used to change the blockchain? (scalability, anonymity, security, governance, etc.). What are the impacts of a fork from a:</w:t>
        <w:br w:type="textWrapping"/>
      </w:r>
      <w:r w:rsidDel="00000000" w:rsidR="00000000" w:rsidRPr="00000000">
        <w:rPr>
          <w:rtl w:val="0"/>
        </w:rPr>
      </w:r>
    </w:p>
    <w:p w:rsidR="00000000" w:rsidDel="00000000" w:rsidP="00000000" w:rsidRDefault="00000000" w:rsidRPr="00000000" w14:paraId="000000B3">
      <w:pPr>
        <w:numPr>
          <w:ilvl w:val="0"/>
          <w:numId w:val="12"/>
        </w:numPr>
        <w:ind w:left="1080" w:hanging="360"/>
        <w:contextualSpacing w:val="0"/>
        <w:rPr>
          <w:color w:val="000000"/>
        </w:rPr>
      </w:pPr>
      <w:r w:rsidDel="00000000" w:rsidR="00000000" w:rsidRPr="00000000">
        <w:rPr>
          <w:rFonts w:ascii="Cambria" w:cs="Cambria" w:eastAsia="Cambria" w:hAnsi="Cambria"/>
          <w:color w:val="000000"/>
          <w:rtl w:val="0"/>
        </w:rPr>
        <w:t xml:space="preserve">Tax prospective - basis of new coins</w:t>
      </w:r>
      <w:r w:rsidDel="00000000" w:rsidR="00000000" w:rsidRPr="00000000">
        <w:rPr>
          <w:rtl w:val="0"/>
        </w:rPr>
      </w:r>
    </w:p>
    <w:p w:rsidR="00000000" w:rsidDel="00000000" w:rsidP="00000000" w:rsidRDefault="00000000" w:rsidRPr="00000000" w14:paraId="000000B4">
      <w:pPr>
        <w:numPr>
          <w:ilvl w:val="0"/>
          <w:numId w:val="12"/>
        </w:numPr>
        <w:ind w:left="1080" w:hanging="360"/>
        <w:contextualSpacing w:val="0"/>
        <w:rPr>
          <w:color w:val="000000"/>
        </w:rPr>
      </w:pPr>
      <w:r w:rsidDel="00000000" w:rsidR="00000000" w:rsidRPr="00000000">
        <w:rPr>
          <w:rFonts w:ascii="Cambria" w:cs="Cambria" w:eastAsia="Cambria" w:hAnsi="Cambria"/>
          <w:color w:val="000000"/>
          <w:rtl w:val="0"/>
        </w:rPr>
        <w:t xml:space="preserve">Legal perspective - is the new coin a security if the old one was? Can a coin change from a security to a commodity? </w:t>
      </w:r>
      <w:r w:rsidDel="00000000" w:rsidR="00000000" w:rsidRPr="00000000">
        <w:rPr>
          <w:rtl w:val="0"/>
        </w:rPr>
      </w:r>
    </w:p>
    <w:p w:rsidR="00000000" w:rsidDel="00000000" w:rsidP="00000000" w:rsidRDefault="00000000" w:rsidRPr="00000000" w14:paraId="000000B5">
      <w:pPr>
        <w:numPr>
          <w:ilvl w:val="0"/>
          <w:numId w:val="12"/>
        </w:numPr>
        <w:ind w:left="1080" w:hanging="360"/>
        <w:contextualSpacing w:val="0"/>
        <w:rPr>
          <w:color w:val="000000"/>
        </w:rPr>
      </w:pPr>
      <w:r w:rsidDel="00000000" w:rsidR="00000000" w:rsidRPr="00000000">
        <w:rPr>
          <w:rFonts w:ascii="Cambria" w:cs="Cambria" w:eastAsia="Cambria" w:hAnsi="Cambria"/>
          <w:color w:val="000000"/>
          <w:rtl w:val="0"/>
        </w:rPr>
        <w:t xml:space="preserve">Business perspective - using forks as a way to innovate through natural selection? Enrich those that already hold the forked coin?</w:t>
      </w:r>
      <w:r w:rsidDel="00000000" w:rsidR="00000000" w:rsidRPr="00000000">
        <w:rPr>
          <w:rtl w:val="0"/>
        </w:rPr>
      </w:r>
    </w:p>
    <w:p w:rsidR="00000000" w:rsidDel="00000000" w:rsidP="00000000" w:rsidRDefault="00000000" w:rsidRPr="00000000" w14:paraId="000000B6">
      <w:pPr>
        <w:numPr>
          <w:ilvl w:val="0"/>
          <w:numId w:val="12"/>
        </w:numPr>
        <w:ind w:left="1080" w:hanging="360"/>
        <w:contextualSpacing w:val="0"/>
        <w:rPr>
          <w:color w:val="000000"/>
        </w:rPr>
      </w:pPr>
      <w:r w:rsidDel="00000000" w:rsidR="00000000" w:rsidRPr="00000000">
        <w:rPr>
          <w:rFonts w:ascii="Cambria" w:cs="Cambria" w:eastAsia="Cambria" w:hAnsi="Cambria"/>
          <w:color w:val="000000"/>
          <w:rtl w:val="0"/>
        </w:rPr>
        <w:t xml:space="preserve">What is a curated token registry? Why is it important?</w:t>
      </w: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ind w:left="360"/>
        <w:contextualSpacing w:val="0"/>
        <w:rPr>
          <w:b w:val="1"/>
          <w:i w:val="1"/>
        </w:rPr>
      </w:pPr>
      <w:r w:rsidDel="00000000" w:rsidR="00000000" w:rsidRPr="00000000">
        <w:rPr>
          <w:b w:val="1"/>
          <w:i w:val="1"/>
          <w:rtl w:val="0"/>
        </w:rPr>
        <w:t xml:space="preserve">Readings Week 8:</w:t>
      </w:r>
    </w:p>
    <w:p w:rsidR="00000000" w:rsidDel="00000000" w:rsidP="00000000" w:rsidRDefault="00000000" w:rsidRPr="00000000" w14:paraId="000000B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SAFT Project:</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hyperlink r:id="rId3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https://saftproject.com/</w:t>
        </w:r>
      </w:hyperlink>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Basecoin White Paper: </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contextualSpacing w:val="0"/>
        <w:jc w:val="left"/>
        <w:rPr>
          <w:rFonts w:ascii="Cambria" w:cs="Cambria" w:eastAsia="Cambria" w:hAnsi="Cambria"/>
          <w:b w:val="0"/>
          <w:i w:val="0"/>
          <w:smallCaps w:val="0"/>
          <w:strike w:val="0"/>
          <w:color w:val="0000ff"/>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http://www.getbasecoin.com/basecoin_whitepaper_0_99.pdf </w:t>
      </w:r>
    </w:p>
    <w:p w:rsidR="00000000" w:rsidDel="00000000" w:rsidP="00000000" w:rsidRDefault="00000000" w:rsidRPr="00000000" w14:paraId="000000B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Tether White Paper: </w:t>
      </w:r>
      <w:r w:rsidDel="00000000" w:rsidR="00000000" w:rsidRPr="00000000">
        <w:rPr>
          <w:rtl w:val="0"/>
        </w:rPr>
      </w:r>
    </w:p>
    <w:p w:rsidR="00000000" w:rsidDel="00000000" w:rsidP="00000000" w:rsidRDefault="00000000" w:rsidRPr="00000000" w14:paraId="000000BD">
      <w:pPr>
        <w:keepNext w:val="0"/>
        <w:keepLines w:val="0"/>
        <w:widowControl w:val="1"/>
        <w:spacing w:after="0" w:before="0" w:line="240" w:lineRule="auto"/>
        <w:ind w:left="720" w:right="0" w:firstLine="360"/>
        <w:contextualSpacing w:val="0"/>
        <w:jc w:val="left"/>
        <w:rPr>
          <w:color w:val="0000ff"/>
          <w:u w:val="single"/>
        </w:rPr>
      </w:pP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https://tether.to/wp-content/uploads/2016/06/TetherWhitePaper.pdf</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Stable Coins:</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Kowala Protocol: A Family of Distributed, Self-Regulating Asset-Tracking Cryptocurrencies: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https://cdn2.hubspot.net/hubfs/3919777/pdf/kowala-protocol-whitepaper-v1.0.pdf?t=1522055289869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28"/>
        </w:numPr>
        <w:spacing w:after="0" w:before="0" w:line="240" w:lineRule="auto"/>
        <w:ind w:left="1440" w:right="0" w:hanging="360"/>
        <w:contextualSpacing w:val="0"/>
        <w:jc w:val="left"/>
        <w:rPr>
          <w:b w:val="0"/>
          <w:i w:val="0"/>
          <w:smallCaps w:val="0"/>
          <w:strike w:val="0"/>
          <w:color w:val="000000"/>
          <w:u w:val="none"/>
          <w:vertAlign w:val="baseline"/>
        </w:rPr>
      </w:pPr>
      <w:r w:rsidDel="00000000" w:rsidR="00000000" w:rsidRPr="00000000">
        <w:rPr>
          <w:i w:val="1"/>
          <w:rtl w:val="0"/>
        </w:rPr>
        <w:t xml:space="preserve">Price-Stable Cryptocurrencies: </w:t>
      </w:r>
      <w:hyperlink r:id="rId38">
        <w:r w:rsidDel="00000000" w:rsidR="00000000" w:rsidRPr="00000000">
          <w:rPr>
            <w:color w:val="0000ff"/>
            <w:u w:val="single"/>
            <w:rtl w:val="0"/>
          </w:rPr>
          <w:t xml:space="preserve">https://bitshares.org/technology/price-stable-cryptocurrencies/</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28"/>
        </w:numPr>
        <w:spacing w:after="0" w:before="0" w:line="240" w:lineRule="auto"/>
        <w:ind w:left="1440" w:right="0" w:hanging="360"/>
        <w:contextualSpacing w:val="0"/>
        <w:jc w:val="left"/>
        <w:rPr>
          <w:b w:val="0"/>
          <w:i w:val="0"/>
          <w:smallCaps w:val="0"/>
          <w:strike w:val="0"/>
          <w:color w:val="000000"/>
          <w:u w:val="none"/>
          <w:vertAlign w:val="baseline"/>
        </w:rPr>
      </w:pPr>
      <w:r w:rsidDel="00000000" w:rsidR="00000000" w:rsidRPr="00000000">
        <w:rPr>
          <w:i w:val="1"/>
          <w:rtl w:val="0"/>
        </w:rPr>
        <w:t xml:space="preserve">Stablecoins are doomed to fail, Part I: </w:t>
      </w:r>
      <w:hyperlink r:id="rId39">
        <w:r w:rsidDel="00000000" w:rsidR="00000000" w:rsidRPr="00000000">
          <w:rPr>
            <w:color w:val="0000ff"/>
            <w:u w:val="single"/>
            <w:rtl w:val="0"/>
          </w:rPr>
          <w:t xml:space="preserve">https://prestonbyrne.com/2017/12/10/stablecoins-are-doomed-to-fail/</w:t>
        </w:r>
      </w:hyperlink>
      <w:r w:rsidDel="00000000" w:rsidR="00000000" w:rsidRPr="00000000">
        <w:rPr>
          <w:rtl w:val="0"/>
        </w:rPr>
      </w:r>
    </w:p>
    <w:p w:rsidR="00000000" w:rsidDel="00000000" w:rsidP="00000000" w:rsidRDefault="00000000" w:rsidRPr="00000000" w14:paraId="000000C2">
      <w:pPr>
        <w:keepNext w:val="0"/>
        <w:keepLines w:val="0"/>
        <w:widowControl w:val="1"/>
        <w:numPr>
          <w:ilvl w:val="0"/>
          <w:numId w:val="28"/>
        </w:numPr>
        <w:spacing w:after="0" w:before="0" w:line="240" w:lineRule="auto"/>
        <w:ind w:left="1440" w:right="0" w:hanging="360"/>
        <w:contextualSpacing w:val="0"/>
        <w:jc w:val="left"/>
        <w:rPr>
          <w:b w:val="0"/>
          <w:i w:val="0"/>
          <w:smallCaps w:val="0"/>
          <w:strike w:val="0"/>
          <w:color w:val="000000"/>
          <w:u w:val="none"/>
          <w:vertAlign w:val="baseline"/>
        </w:rPr>
      </w:pPr>
      <w:r w:rsidDel="00000000" w:rsidR="00000000" w:rsidRPr="00000000">
        <w:rPr>
          <w:i w:val="1"/>
          <w:rtl w:val="0"/>
        </w:rPr>
        <w:t xml:space="preserve">Stablecoins are doomed to fail, Part II: </w:t>
      </w:r>
      <w:hyperlink r:id="rId40">
        <w:r w:rsidDel="00000000" w:rsidR="00000000" w:rsidRPr="00000000">
          <w:rPr>
            <w:color w:val="0000ff"/>
            <w:u w:val="single"/>
            <w:rtl w:val="0"/>
          </w:rPr>
          <w:t xml:space="preserve">https://prestonbyrne.com/2018/01/11/epicaricacy/</w:t>
        </w:r>
      </w:hyperlink>
      <w:r w:rsidDel="00000000" w:rsidR="00000000" w:rsidRPr="00000000">
        <w:rPr>
          <w:rtl w:val="0"/>
        </w:rPr>
      </w:r>
    </w:p>
    <w:p w:rsidR="00000000" w:rsidDel="00000000" w:rsidP="00000000" w:rsidRDefault="00000000" w:rsidRPr="00000000" w14:paraId="000000C3">
      <w:pPr>
        <w:keepNext w:val="0"/>
        <w:keepLines w:val="0"/>
        <w:widowControl w:val="1"/>
        <w:numPr>
          <w:ilvl w:val="0"/>
          <w:numId w:val="19"/>
        </w:numP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color w:val="000000"/>
          <w:rtl w:val="0"/>
        </w:rPr>
        <w:t xml:space="preserve">Commodity Tokens</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5"/>
        </w:numPr>
        <w:spacing w:after="0" w:before="0" w:line="240" w:lineRule="auto"/>
        <w:ind w:left="1440" w:right="0" w:hanging="360"/>
        <w:contextualSpacing w:val="1"/>
        <w:jc w:val="left"/>
        <w:rPr>
          <w:b w:val="0"/>
          <w:i w:val="0"/>
          <w:smallCaps w:val="0"/>
          <w:strike w:val="0"/>
          <w:color w:val="000000"/>
          <w:u w:val="none"/>
          <w:vertAlign w:val="baseline"/>
        </w:rPr>
      </w:pPr>
      <w:r w:rsidDel="00000000" w:rsidR="00000000" w:rsidRPr="00000000">
        <w:rPr>
          <w:i w:val="1"/>
          <w:rtl w:val="0"/>
        </w:rPr>
        <w:t xml:space="preserve">Digix’s White Paper:</w:t>
      </w:r>
      <w:r w:rsidDel="00000000" w:rsidR="00000000" w:rsidRPr="00000000">
        <w:rPr>
          <w:rtl w:val="0"/>
        </w:rPr>
        <w:t xml:space="preserve"> </w:t>
      </w:r>
      <w:hyperlink r:id="rId41">
        <w:r w:rsidDel="00000000" w:rsidR="00000000" w:rsidRPr="00000000">
          <w:rPr>
            <w:color w:val="0000ff"/>
            <w:u w:val="single"/>
            <w:rtl w:val="0"/>
          </w:rPr>
          <w:t xml:space="preserve">https://dgx.io/whitepaper.pdf</w:t>
        </w:r>
      </w:hyperlink>
      <w:r w:rsidDel="00000000" w:rsidR="00000000" w:rsidRPr="00000000">
        <w:rPr>
          <w:rtl w:val="0"/>
        </w:rPr>
      </w:r>
    </w:p>
    <w:p w:rsidR="00000000" w:rsidDel="00000000" w:rsidP="00000000" w:rsidRDefault="00000000" w:rsidRPr="00000000" w14:paraId="000000C5">
      <w:pPr>
        <w:numPr>
          <w:ilvl w:val="0"/>
          <w:numId w:val="5"/>
        </w:numPr>
        <w:spacing w:after="0" w:before="0" w:lineRule="auto"/>
        <w:ind w:left="1440" w:hanging="360"/>
        <w:contextualSpacing w:val="0"/>
        <w:rPr/>
      </w:pPr>
      <w:r w:rsidDel="00000000" w:rsidR="00000000" w:rsidRPr="00000000">
        <w:rPr>
          <w:i w:val="1"/>
          <w:rtl w:val="0"/>
        </w:rPr>
        <w:t xml:space="preserve">CFTC Aligns With SEC: ICO Tokens Can Be Commodities:</w:t>
      </w:r>
      <w:r w:rsidDel="00000000" w:rsidR="00000000" w:rsidRPr="00000000">
        <w:rPr>
          <w:rtl w:val="0"/>
        </w:rPr>
        <w:t xml:space="preserve"> </w:t>
      </w:r>
      <w:hyperlink r:id="rId42">
        <w:r w:rsidDel="00000000" w:rsidR="00000000" w:rsidRPr="00000000">
          <w:rPr>
            <w:color w:val="0000ff"/>
            <w:u w:val="single"/>
            <w:rtl w:val="0"/>
          </w:rPr>
          <w:t xml:space="preserve">https://www.coindesk.com/cftc-no-inconsistency-sec-cryptocurrency-regulation/</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19"/>
        </w:numP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color w:val="000000"/>
          <w:rtl w:val="0"/>
        </w:rPr>
        <w:t xml:space="preserve">Utility Tokens (could still be securities)</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9"/>
        </w:numPr>
        <w:spacing w:after="0" w:before="0" w:line="240" w:lineRule="auto"/>
        <w:ind w:left="1440" w:right="0" w:hanging="360"/>
        <w:contextualSpacing w:val="1"/>
        <w:jc w:val="left"/>
        <w:rPr>
          <w:b w:val="0"/>
          <w:i w:val="0"/>
          <w:smallCaps w:val="0"/>
          <w:strike w:val="0"/>
          <w:color w:val="000000"/>
          <w:u w:val="none"/>
          <w:vertAlign w:val="baseline"/>
        </w:rPr>
      </w:pPr>
      <w:r w:rsidDel="00000000" w:rsidR="00000000" w:rsidRPr="00000000">
        <w:rPr>
          <w:i w:val="1"/>
          <w:rtl w:val="0"/>
        </w:rPr>
        <w:t xml:space="preserve">Sia: Simple Decentralized Storage:</w:t>
      </w:r>
      <w:r w:rsidDel="00000000" w:rsidR="00000000" w:rsidRPr="00000000">
        <w:rPr>
          <w:rtl w:val="0"/>
        </w:rPr>
        <w:t xml:space="preserve"> </w:t>
        <w:br w:type="textWrapping"/>
      </w:r>
      <w:hyperlink r:id="rId43">
        <w:r w:rsidDel="00000000" w:rsidR="00000000" w:rsidRPr="00000000">
          <w:rPr>
            <w:color w:val="0000ff"/>
            <w:u w:val="single"/>
            <w:rtl w:val="0"/>
          </w:rPr>
          <w:t xml:space="preserve">https://sia.tech/sia.pdf</w:t>
        </w:r>
      </w:hyperlink>
      <w:r w:rsidDel="00000000" w:rsidR="00000000" w:rsidRPr="00000000">
        <w:rPr>
          <w:rtl w:val="0"/>
        </w:rPr>
      </w:r>
    </w:p>
    <w:p w:rsidR="00000000" w:rsidDel="00000000" w:rsidP="00000000" w:rsidRDefault="00000000" w:rsidRPr="00000000" w14:paraId="000000C8">
      <w:pPr>
        <w:numPr>
          <w:ilvl w:val="0"/>
          <w:numId w:val="9"/>
        </w:numPr>
        <w:spacing w:after="0" w:before="0" w:lineRule="auto"/>
        <w:ind w:left="1440" w:hanging="360"/>
        <w:contextualSpacing w:val="0"/>
        <w:rPr/>
      </w:pPr>
      <w:r w:rsidDel="00000000" w:rsidR="00000000" w:rsidRPr="00000000">
        <w:rPr>
          <w:i w:val="1"/>
          <w:rtl w:val="0"/>
        </w:rPr>
        <w:t xml:space="preserve">Golem Project White Paper:</w:t>
      </w:r>
      <w:r w:rsidDel="00000000" w:rsidR="00000000" w:rsidRPr="00000000">
        <w:rPr>
          <w:color w:val="000000"/>
          <w:rtl w:val="0"/>
        </w:rPr>
        <w:br w:type="textWrapping"/>
      </w:r>
      <w:hyperlink r:id="rId44">
        <w:r w:rsidDel="00000000" w:rsidR="00000000" w:rsidRPr="00000000">
          <w:rPr>
            <w:color w:val="0000ff"/>
            <w:u w:val="single"/>
            <w:rtl w:val="0"/>
          </w:rPr>
          <w:t xml:space="preserve">http://golemproject.net/doc/DraftGolemProjectWhitepaper.pdf</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9">
      <w:pPr>
        <w:numPr>
          <w:ilvl w:val="0"/>
          <w:numId w:val="9"/>
        </w:numPr>
        <w:spacing w:after="0" w:before="0" w:lineRule="auto"/>
        <w:ind w:left="1440" w:hanging="360"/>
        <w:contextualSpacing w:val="0"/>
        <w:rPr/>
      </w:pPr>
      <w:r w:rsidDel="00000000" w:rsidR="00000000" w:rsidRPr="00000000">
        <w:rPr>
          <w:i w:val="1"/>
          <w:rtl w:val="0"/>
        </w:rPr>
        <w:t xml:space="preserve">Filecoin: A Decentralized Storage Network:</w:t>
        <w:br w:type="textWrapping"/>
      </w:r>
      <w:hyperlink r:id="rId45">
        <w:r w:rsidDel="00000000" w:rsidR="00000000" w:rsidRPr="00000000">
          <w:rPr>
            <w:color w:val="0000ff"/>
            <w:u w:val="single"/>
            <w:rtl w:val="0"/>
          </w:rPr>
          <w:t xml:space="preserve">https://filecoin.io/filecoin.pdf</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A">
      <w:pPr>
        <w:numPr>
          <w:ilvl w:val="0"/>
          <w:numId w:val="9"/>
        </w:numPr>
        <w:spacing w:after="280" w:before="0" w:lineRule="auto"/>
        <w:ind w:left="1440" w:hanging="360"/>
        <w:contextualSpacing w:val="0"/>
        <w:rPr/>
      </w:pPr>
      <w:r w:rsidDel="00000000" w:rsidR="00000000" w:rsidRPr="00000000">
        <w:rPr>
          <w:i w:val="1"/>
          <w:rtl w:val="0"/>
        </w:rPr>
        <w:t xml:space="preserve">Here is the leaked white paper for the massive Telegram ICO:</w:t>
        <w:br w:type="textWrapping"/>
      </w:r>
      <w:hyperlink r:id="rId46">
        <w:r w:rsidDel="00000000" w:rsidR="00000000" w:rsidRPr="00000000">
          <w:rPr>
            <w:color w:val="0000ff"/>
            <w:u w:val="single"/>
            <w:rtl w:val="0"/>
          </w:rPr>
          <w:t xml:space="preserve">https://thenextweb.com/hardfork/2018/01/09/telegram-ico-white-paper-leak/</w:t>
        </w:r>
      </w:hyperlink>
      <w:r w:rsidDel="00000000" w:rsidR="00000000" w:rsidRPr="00000000">
        <w:rPr>
          <w:rtl w:val="0"/>
        </w:rPr>
      </w:r>
    </w:p>
    <w:p w:rsidR="00000000" w:rsidDel="00000000" w:rsidP="00000000" w:rsidRDefault="00000000" w:rsidRPr="00000000" w14:paraId="000000CB">
      <w:pPr>
        <w:contextualSpacing w:val="0"/>
        <w:rPr>
          <w:rFonts w:ascii="Cambria" w:cs="Cambria" w:eastAsia="Cambria" w:hAnsi="Cambria"/>
          <w:b w:val="1"/>
          <w:i w:val="1"/>
          <w:color w:val="000000"/>
        </w:rPr>
      </w:pPr>
      <w:r w:rsidDel="00000000" w:rsidR="00000000" w:rsidRPr="00000000">
        <w:rPr>
          <w:rtl w:val="0"/>
        </w:rPr>
      </w:r>
    </w:p>
    <w:p w:rsidR="00000000" w:rsidDel="00000000" w:rsidP="00000000" w:rsidRDefault="00000000" w:rsidRPr="00000000" w14:paraId="000000CC">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9: Capital Raising</w:t>
      </w:r>
    </w:p>
    <w:p w:rsidR="00000000" w:rsidDel="00000000" w:rsidP="00000000" w:rsidRDefault="00000000" w:rsidRPr="00000000" w14:paraId="000000CD">
      <w:pPr>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color w:val="000000"/>
          <w:rtl w:val="0"/>
        </w:rPr>
        <w:t xml:space="preserve">What is the impact on traditional capital raising? How do ICOs impact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mbria" w:cs="Cambria" w:eastAsia="Cambria" w:hAnsi="Cambria"/>
          <w:color w:val="000000"/>
          <w:rtl w:val="0"/>
        </w:rPr>
        <w:t xml:space="preserve">Angel/VC investing?</w:t>
        <w:br w:type="textWrapping"/>
      </w:r>
      <w:r w:rsidDel="00000000" w:rsidR="00000000" w:rsidRPr="00000000">
        <w:rPr>
          <w:rtl w:val="0"/>
        </w:rPr>
      </w:r>
    </w:p>
    <w:p w:rsidR="00000000" w:rsidDel="00000000" w:rsidP="00000000" w:rsidRDefault="00000000" w:rsidRPr="00000000" w14:paraId="000000CE">
      <w:pPr>
        <w:numPr>
          <w:ilvl w:val="0"/>
          <w:numId w:val="14"/>
        </w:numPr>
        <w:ind w:left="1080" w:hanging="360"/>
        <w:contextualSpacing w:val="0"/>
        <w:rPr>
          <w:color w:val="000000"/>
        </w:rPr>
      </w:pPr>
      <w:r w:rsidDel="00000000" w:rsidR="00000000" w:rsidRPr="00000000">
        <w:rPr>
          <w:rFonts w:ascii="Cambria" w:cs="Cambria" w:eastAsia="Cambria" w:hAnsi="Cambria"/>
          <w:color w:val="000000"/>
          <w:rtl w:val="0"/>
        </w:rPr>
        <w:t xml:space="preserve">Are blockchain projects offering a combination of equity and tokens? </w:t>
      </w:r>
      <w:r w:rsidDel="00000000" w:rsidR="00000000" w:rsidRPr="00000000">
        <w:rPr>
          <w:rtl w:val="0"/>
        </w:rPr>
      </w:r>
    </w:p>
    <w:p w:rsidR="00000000" w:rsidDel="00000000" w:rsidP="00000000" w:rsidRDefault="00000000" w:rsidRPr="00000000" w14:paraId="000000CF">
      <w:pPr>
        <w:numPr>
          <w:ilvl w:val="0"/>
          <w:numId w:val="14"/>
        </w:numPr>
        <w:ind w:left="1080" w:hanging="360"/>
        <w:contextualSpacing w:val="0"/>
        <w:rPr>
          <w:color w:val="000000"/>
        </w:rPr>
      </w:pPr>
      <w:r w:rsidDel="00000000" w:rsidR="00000000" w:rsidRPr="00000000">
        <w:rPr>
          <w:rFonts w:ascii="Cambria" w:cs="Cambria" w:eastAsia="Cambria" w:hAnsi="Cambria"/>
          <w:color w:val="000000"/>
          <w:rtl w:val="0"/>
        </w:rPr>
        <w:t xml:space="preserve">What are the implications for M&amp;A? </w:t>
      </w:r>
      <w:r w:rsidDel="00000000" w:rsidR="00000000" w:rsidRPr="00000000">
        <w:rPr>
          <w:rtl w:val="0"/>
        </w:rPr>
      </w:r>
    </w:p>
    <w:p w:rsidR="00000000" w:rsidDel="00000000" w:rsidP="00000000" w:rsidRDefault="00000000" w:rsidRPr="00000000" w14:paraId="000000D0">
      <w:pPr>
        <w:numPr>
          <w:ilvl w:val="0"/>
          <w:numId w:val="14"/>
        </w:numPr>
        <w:ind w:left="1080" w:hanging="360"/>
        <w:contextualSpacing w:val="0"/>
        <w:rPr>
          <w:color w:val="000000"/>
        </w:rPr>
      </w:pPr>
      <w:r w:rsidDel="00000000" w:rsidR="00000000" w:rsidRPr="00000000">
        <w:rPr>
          <w:rFonts w:ascii="Cambria" w:cs="Cambria" w:eastAsia="Cambria" w:hAnsi="Cambria"/>
          <w:color w:val="000000"/>
          <w:rtl w:val="0"/>
        </w:rPr>
        <w:t xml:space="preserve">For an IPO? </w:t>
      </w:r>
      <w:r w:rsidDel="00000000" w:rsidR="00000000" w:rsidRPr="00000000">
        <w:rPr>
          <w:rtl w:val="0"/>
        </w:rPr>
      </w:r>
    </w:p>
    <w:p w:rsidR="00000000" w:rsidDel="00000000" w:rsidP="00000000" w:rsidRDefault="00000000" w:rsidRPr="00000000" w14:paraId="000000D1">
      <w:pPr>
        <w:numPr>
          <w:ilvl w:val="0"/>
          <w:numId w:val="14"/>
        </w:numPr>
        <w:ind w:left="1080" w:hanging="360"/>
        <w:contextualSpacing w:val="0"/>
        <w:rPr>
          <w:color w:val="000000"/>
        </w:rPr>
      </w:pPr>
      <w:r w:rsidDel="00000000" w:rsidR="00000000" w:rsidRPr="00000000">
        <w:rPr>
          <w:rFonts w:ascii="Cambria" w:cs="Cambria" w:eastAsia="Cambria" w:hAnsi="Cambria"/>
          <w:color w:val="000000"/>
          <w:rtl w:val="0"/>
        </w:rPr>
        <w:t xml:space="preserve">What happens if the project fails? </w:t>
      </w:r>
      <w:r w:rsidDel="00000000" w:rsidR="00000000" w:rsidRPr="00000000">
        <w:rPr>
          <w:rtl w:val="0"/>
        </w:rPr>
      </w:r>
    </w:p>
    <w:p w:rsidR="00000000" w:rsidDel="00000000" w:rsidP="00000000" w:rsidRDefault="00000000" w:rsidRPr="00000000" w14:paraId="000000D2">
      <w:pPr>
        <w:numPr>
          <w:ilvl w:val="0"/>
          <w:numId w:val="14"/>
        </w:numPr>
        <w:ind w:left="1080" w:hanging="360"/>
        <w:contextualSpacing w:val="0"/>
        <w:rPr>
          <w:color w:val="000000"/>
        </w:rPr>
      </w:pPr>
      <w:r w:rsidDel="00000000" w:rsidR="00000000" w:rsidRPr="00000000">
        <w:rPr>
          <w:rFonts w:ascii="Cambria" w:cs="Cambria" w:eastAsia="Cambria" w:hAnsi="Cambria"/>
          <w:color w:val="000000"/>
          <w:rtl w:val="0"/>
        </w:rPr>
        <w:t xml:space="preserve">Coins don’t go bankrupt, only companies and people do, how does that play into valuing a company centered on a coin?</w:t>
      </w:r>
      <w:r w:rsidDel="00000000" w:rsidR="00000000" w:rsidRPr="00000000">
        <w:rPr>
          <w:rtl w:val="0"/>
        </w:rPr>
      </w:r>
    </w:p>
    <w:p w:rsidR="00000000" w:rsidDel="00000000" w:rsidP="00000000" w:rsidRDefault="00000000" w:rsidRPr="00000000" w14:paraId="000000D3">
      <w:pPr>
        <w:ind w:left="720"/>
        <w:contextualSpacing w:val="0"/>
        <w:rPr>
          <w:rFonts w:ascii="Cambria" w:cs="Cambria" w:eastAsia="Cambria" w:hAnsi="Cambria"/>
          <w:color w:val="000000"/>
        </w:rPr>
      </w:pPr>
      <w:r w:rsidDel="00000000" w:rsidR="00000000" w:rsidRPr="00000000">
        <w:rPr>
          <w:rFonts w:ascii="Cambria" w:cs="Cambria" w:eastAsia="Cambria" w:hAnsi="Cambria"/>
          <w:color w:val="000000"/>
          <w:rtl w:val="0"/>
        </w:rPr>
        <w:br w:type="textWrapping"/>
        <w:t xml:space="preserve">DEEP DIVE </w:t>
      </w:r>
    </w:p>
    <w:p w:rsidR="00000000" w:rsidDel="00000000" w:rsidP="00000000" w:rsidRDefault="00000000" w:rsidRPr="00000000" w14:paraId="000000D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SEC’s Reg D, what was it designed for, and how does it work? </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 is an accredited investor?</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a “restriction on secondary market transfer?”</w:t>
      </w:r>
      <w:r w:rsidDel="00000000" w:rsidR="00000000" w:rsidRPr="00000000">
        <w:rPr>
          <w:rtl w:val="0"/>
        </w:rPr>
      </w:r>
    </w:p>
    <w:p w:rsidR="00000000" w:rsidDel="00000000" w:rsidP="00000000" w:rsidRDefault="00000000" w:rsidRPr="00000000" w14:paraId="000000D7">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8">
      <w:pPr>
        <w:ind w:left="360" w:firstLine="360"/>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BONUS CONTENT – What is the SEC’s Reg S?</w:t>
      </w:r>
    </w:p>
    <w:p w:rsidR="00000000" w:rsidDel="00000000" w:rsidP="00000000" w:rsidRDefault="00000000" w:rsidRPr="00000000" w14:paraId="000000D9">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A">
      <w:pPr>
        <w:ind w:left="360"/>
        <w:contextualSpacing w:val="0"/>
        <w:rPr/>
      </w:pPr>
      <w:r w:rsidDel="00000000" w:rsidR="00000000" w:rsidRPr="00000000">
        <w:rPr>
          <w:rFonts w:ascii="Cambria" w:cs="Cambria" w:eastAsia="Cambria" w:hAnsi="Cambria"/>
          <w:b w:val="1"/>
          <w:i w:val="1"/>
          <w:color w:val="000000"/>
          <w:rtl w:val="0"/>
        </w:rPr>
        <w:t xml:space="preserve">Readings for Week 9:</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22"/>
        </w:numP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rtl w:val="0"/>
        </w:rPr>
        <w:t xml:space="preserve">“A New Age of Investing” (YCombinator): </w:t>
      </w:r>
      <w:hyperlink r:id="rId47">
        <w:r w:rsidDel="00000000" w:rsidR="00000000" w:rsidRPr="00000000">
          <w:rPr>
            <w:color w:val="0000ff"/>
            <w:u w:val="single"/>
            <w:rtl w:val="0"/>
          </w:rPr>
          <w:t xml:space="preserve">https://blog.ycombinator.com/the-decentralized-future-series-a-new-age-of-investing/</w:t>
        </w:r>
      </w:hyperlink>
      <w:r w:rsidDel="00000000" w:rsidR="00000000" w:rsidRPr="00000000">
        <w:rPr>
          <w:rtl w:val="0"/>
        </w:rPr>
      </w:r>
    </w:p>
    <w:p w:rsidR="00000000" w:rsidDel="00000000" w:rsidP="00000000" w:rsidRDefault="00000000" w:rsidRPr="00000000" w14:paraId="000000DC">
      <w:pPr>
        <w:keepNext w:val="0"/>
        <w:keepLines w:val="0"/>
        <w:widowControl w:val="1"/>
        <w:numPr>
          <w:ilvl w:val="0"/>
          <w:numId w:val="22"/>
        </w:numP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color w:val="000000"/>
          <w:rtl w:val="0"/>
        </w:rPr>
        <w:t xml:space="preserve">SEC Reg D, Reg S: </w:t>
        <w:br w:type="textWrapping"/>
      </w:r>
      <w:hyperlink r:id="rId48">
        <w:r w:rsidDel="00000000" w:rsidR="00000000" w:rsidRPr="00000000">
          <w:rPr>
            <w:rFonts w:ascii="Cambria" w:cs="Cambria" w:eastAsia="Cambria" w:hAnsi="Cambria"/>
            <w:color w:val="0000ff"/>
            <w:u w:val="single"/>
            <w:rtl w:val="0"/>
          </w:rPr>
          <w:t xml:space="preserve">https://www.sec.gov/rules/final/33-7505.htm</w:t>
        </w:r>
      </w:hyperlink>
      <w:r w:rsidDel="00000000" w:rsidR="00000000" w:rsidRPr="00000000">
        <w:rPr>
          <w:rFonts w:ascii="Cambria" w:cs="Cambria" w:eastAsia="Cambria" w:hAnsi="Cambria"/>
          <w:color w:val="000000"/>
          <w:rtl w:val="0"/>
        </w:rPr>
        <w:t xml:space="preserve"> </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22"/>
        </w:numP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color w:val="000000"/>
          <w:rtl w:val="0"/>
        </w:rPr>
        <w:t xml:space="preserve">Definition of Accredited investor: </w:t>
        <w:br w:type="textWrapping"/>
      </w:r>
      <w:hyperlink r:id="rId49">
        <w:r w:rsidDel="00000000" w:rsidR="00000000" w:rsidRPr="00000000">
          <w:rPr>
            <w:rFonts w:ascii="Cambria" w:cs="Cambria" w:eastAsia="Cambria" w:hAnsi="Cambria"/>
            <w:color w:val="0000ff"/>
            <w:u w:val="single"/>
            <w:rtl w:val="0"/>
          </w:rPr>
          <w:t xml:space="preserve">https://www.sec.gov/fast-answers/answers-accredhtm.html</w:t>
        </w:r>
      </w:hyperlink>
      <w:r w:rsidDel="00000000" w:rsidR="00000000" w:rsidRPr="00000000">
        <w:rPr>
          <w:rFonts w:ascii="Cambria" w:cs="Cambria" w:eastAsia="Cambria" w:hAnsi="Cambria"/>
          <w:color w:val="000000"/>
          <w:rtl w:val="0"/>
        </w:rPr>
        <w:t xml:space="preserve"> </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22"/>
        </w:numP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color w:val="000000"/>
          <w:rtl w:val="0"/>
        </w:rPr>
        <w:t xml:space="preserve">Crypto Kitties - Series A offering</w:t>
      </w:r>
      <w:r w:rsidDel="00000000" w:rsidR="00000000" w:rsidRPr="00000000">
        <w:rPr>
          <w:rtl w:val="0"/>
        </w:rPr>
      </w:r>
    </w:p>
    <w:p w:rsidR="00000000" w:rsidDel="00000000" w:rsidP="00000000" w:rsidRDefault="00000000" w:rsidRPr="00000000" w14:paraId="000000DF">
      <w:pPr>
        <w:keepNext w:val="0"/>
        <w:keepLines w:val="0"/>
        <w:widowControl w:val="1"/>
        <w:spacing w:after="0" w:before="0" w:line="240" w:lineRule="auto"/>
        <w:ind w:left="1080" w:right="0" w:firstLine="0"/>
        <w:contextualSpacing w:val="0"/>
        <w:jc w:val="left"/>
        <w:rPr>
          <w:rFonts w:ascii="Cambria" w:cs="Cambria" w:eastAsia="Cambria" w:hAnsi="Cambria"/>
          <w:color w:val="000000"/>
        </w:rPr>
      </w:pPr>
      <w:hyperlink r:id="rId50">
        <w:r w:rsidDel="00000000" w:rsidR="00000000" w:rsidRPr="00000000">
          <w:rPr>
            <w:rFonts w:ascii="Cambria" w:cs="Cambria" w:eastAsia="Cambria" w:hAnsi="Cambria"/>
            <w:color w:val="0000ff"/>
            <w:u w:val="single"/>
            <w:rtl w:val="0"/>
          </w:rPr>
          <w:t xml:space="preserve">https://coinjournal.net/cryptokitties-raises-us12m-series-a-from-top-investors-as-it-spins-out-into-separate-company/</w:t>
        </w:r>
      </w:hyperlink>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E0">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1">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10: Presentation of capital raising analysis followed by panel of experts.</w:t>
      </w:r>
    </w:p>
    <w:p w:rsidR="00000000" w:rsidDel="00000000" w:rsidP="00000000" w:rsidRDefault="00000000" w:rsidRPr="00000000" w14:paraId="000000E2">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Students will present capital raise -legal analysis and have the opportunity to engage in discussion with a panel of experts (founder of an ICO, entrepreneur and social impact entrepreneur).  </w:t>
      </w:r>
    </w:p>
    <w:p w:rsidR="00000000" w:rsidDel="00000000" w:rsidP="00000000" w:rsidRDefault="00000000" w:rsidRPr="00000000" w14:paraId="000000E3">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4">
      <w:pPr>
        <w:ind w:left="360"/>
        <w:contextualSpacing w:val="0"/>
        <w:rPr>
          <w:rFonts w:ascii="Times New Roman" w:cs="Times New Roman" w:eastAsia="Times New Roman" w:hAnsi="Times New Roman"/>
          <w:b w:val="1"/>
          <w:sz w:val="20"/>
          <w:szCs w:val="20"/>
        </w:rPr>
      </w:pPr>
      <w:r w:rsidDel="00000000" w:rsidR="00000000" w:rsidRPr="00000000">
        <w:rPr>
          <w:rFonts w:ascii="Noto Sans Symbols" w:cs="Noto Sans Symbols" w:eastAsia="Noto Sans Symbols" w:hAnsi="Noto Sans Symbols"/>
          <w:b w:val="1"/>
          <w:color w:val="000000"/>
          <w:rtl w:val="0"/>
        </w:rPr>
        <w:t xml:space="preserve">❖</w:t>
      </w:r>
      <w:r w:rsidDel="00000000" w:rsidR="00000000" w:rsidRPr="00000000">
        <w:rPr>
          <w:rFonts w:ascii="Cambria" w:cs="Cambria" w:eastAsia="Cambria" w:hAnsi="Cambria"/>
          <w:b w:val="1"/>
          <w:color w:val="000000"/>
          <w:rtl w:val="0"/>
        </w:rPr>
        <w:t xml:space="preserve"> Assignment for Week 10 </w:t>
      </w:r>
      <w:r w:rsidDel="00000000" w:rsidR="00000000" w:rsidRPr="00000000">
        <w:rPr>
          <w:rFonts w:ascii="Noto Sans Symbols" w:cs="Noto Sans Symbols" w:eastAsia="Noto Sans Symbols" w:hAnsi="Noto Sans Symbols"/>
          <w:b w:val="1"/>
          <w:color w:val="000000"/>
          <w:rtl w:val="0"/>
        </w:rPr>
        <w:t xml:space="preserve">❖</w:t>
      </w:r>
      <w:r w:rsidDel="00000000" w:rsidR="00000000" w:rsidRPr="00000000">
        <w:rPr>
          <w:rFonts w:ascii="Cambria" w:cs="Cambria" w:eastAsia="Cambria" w:hAnsi="Cambria"/>
          <w:b w:val="1"/>
          <w:color w:val="000000"/>
          <w:rtl w:val="0"/>
        </w:rPr>
        <w:t xml:space="preserve"> </w:t>
        <w:br w:type="textWrapping"/>
        <w:t xml:space="preserve">Select an ICO or startup from the provided list above, prepare a 2-page discussion on the why the method of capital raise was appropriate or inappropriate for the company/project. Would you invest? Discuss the legal implications.</w:t>
      </w: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11: Jurisdictions</w:t>
      </w:r>
    </w:p>
    <w:p w:rsidR="00000000" w:rsidDel="00000000" w:rsidP="00000000" w:rsidRDefault="00000000" w:rsidRPr="00000000" w14:paraId="000000E8">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class will focus on geographical arbitrage from a legal perspective, from a business formation perspective and also from that of trading opportunities. Issues to address:</w:t>
        <w:br w:type="textWrapping"/>
      </w:r>
    </w:p>
    <w:p w:rsidR="00000000" w:rsidDel="00000000" w:rsidP="00000000" w:rsidRDefault="00000000" w:rsidRPr="00000000" w14:paraId="000000E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USA update.</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Investment manager laws; qualified custodians for registered investment advisers and registered investment companies.</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Banking laws (including KYC/AML).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C">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br w:type="textWrapping"/>
        <w:t xml:space="preserve">Review of global regulation trends – a few examples -pulling headlines from South Korea, China, the UK, Switzerland, Malta, Seychelles and Gibraltar</w:t>
      </w:r>
    </w:p>
    <w:p w:rsidR="00000000" w:rsidDel="00000000" w:rsidP="00000000" w:rsidRDefault="00000000" w:rsidRPr="00000000" w14:paraId="000000ED">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E">
      <w:pPr>
        <w:ind w:left="360"/>
        <w:contextualSpacing w:val="0"/>
        <w:rPr>
          <w:b w:val="1"/>
          <w:i w:val="1"/>
          <w:color w:val="000000"/>
        </w:rPr>
      </w:pPr>
      <w:r w:rsidDel="00000000" w:rsidR="00000000" w:rsidRPr="00000000">
        <w:rPr>
          <w:b w:val="1"/>
          <w:i w:val="1"/>
          <w:color w:val="000000"/>
          <w:rtl w:val="0"/>
        </w:rPr>
        <w:t xml:space="preserve">Readings Week 11:</w:t>
      </w:r>
    </w:p>
    <w:p w:rsidR="00000000" w:rsidDel="00000000" w:rsidP="00000000" w:rsidRDefault="00000000" w:rsidRPr="00000000" w14:paraId="000000EF">
      <w:pPr>
        <w:keepNext w:val="0"/>
        <w:keepLines w:val="0"/>
        <w:widowControl w:val="1"/>
        <w:numPr>
          <w:ilvl w:val="0"/>
          <w:numId w:val="15"/>
        </w:numP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color w:val="000000"/>
          <w:rtl w:val="0"/>
        </w:rPr>
        <w:t xml:space="preserve">ICO: Celsius, Celsius legal opinion (to be distributed) - </w:t>
      </w:r>
      <w:hyperlink r:id="rId51">
        <w:r w:rsidDel="00000000" w:rsidR="00000000" w:rsidRPr="00000000">
          <w:rPr>
            <w:color w:val="0000ff"/>
            <w:u w:val="single"/>
            <w:rtl w:val="0"/>
          </w:rPr>
          <w:t xml:space="preserve">https://celsius.network</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15"/>
        </w:numP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color w:val="333333"/>
          <w:rtl w:val="0"/>
        </w:rPr>
        <w:t xml:space="preserve">Gibraltar</w:t>
      </w:r>
      <w:r w:rsidDel="00000000" w:rsidR="00000000" w:rsidRPr="00000000">
        <w:rPr>
          <w:b w:val="0"/>
          <w:color w:val="333333"/>
          <w:rtl w:val="0"/>
        </w:rPr>
        <w:t xml:space="preserve"> Suggests Many ICO-Issued Digital Tokens Are Commercial Products, Not Securities</w:t>
      </w:r>
      <w:r w:rsidDel="00000000" w:rsidR="00000000" w:rsidRPr="00000000">
        <w:rPr>
          <w:color w:val="333333"/>
          <w:rtl w:val="0"/>
        </w:rPr>
        <w:t xml:space="preserve">: </w:t>
        <w:br w:type="textWrapping"/>
      </w:r>
      <w:hyperlink r:id="rId52">
        <w:r w:rsidDel="00000000" w:rsidR="00000000" w:rsidRPr="00000000">
          <w:rPr>
            <w:color w:val="0000ff"/>
            <w:u w:val="single"/>
            <w:rtl w:val="0"/>
          </w:rPr>
          <w:t xml:space="preserve">http://gibraltarfinance.gi/20180309-token-regulation---policy-document-v2.1-final.pdf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1">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12: Private-Public Blockchains</w:t>
      </w:r>
    </w:p>
    <w:p w:rsidR="00000000" w:rsidDel="00000000" w:rsidP="00000000" w:rsidRDefault="00000000" w:rsidRPr="00000000" w14:paraId="000000F4">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Part 1 of class: invited panel guests from (i.e.) IBM and JP Morgan, NASDAQ will discuss how their companies are using blockchain, the value of it for the enterprise, and forecasts for the next 12 months for both public and private blockchains</w:t>
      </w:r>
    </w:p>
    <w:p w:rsidR="00000000" w:rsidDel="00000000" w:rsidP="00000000" w:rsidRDefault="00000000" w:rsidRPr="00000000" w14:paraId="000000F5">
      <w:pPr>
        <w:ind w:left="36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6">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Part 2 of class: students will reflect on and discuss the use cases for private and public blockchains presented by the panel as well as other examples from weekly articles provided.</w:t>
      </w:r>
    </w:p>
    <w:p w:rsidR="00000000" w:rsidDel="00000000" w:rsidP="00000000" w:rsidRDefault="00000000" w:rsidRPr="00000000" w14:paraId="000000F7">
      <w:pPr>
        <w:ind w:left="36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8">
      <w:pPr>
        <w:ind w:left="360"/>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Readings for Week 12:</w:t>
      </w:r>
    </w:p>
    <w:p w:rsidR="00000000" w:rsidDel="00000000" w:rsidP="00000000" w:rsidRDefault="00000000" w:rsidRPr="00000000" w14:paraId="000000F9">
      <w:pPr>
        <w:keepNext w:val="0"/>
        <w:keepLines w:val="0"/>
        <w:widowControl w:val="1"/>
        <w:numPr>
          <w:ilvl w:val="0"/>
          <w:numId w:val="26"/>
        </w:numP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color w:val="000000"/>
          <w:rtl w:val="0"/>
        </w:rPr>
        <w:t xml:space="preserve">Materials to be determined by invited panelists</w:t>
      </w: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13: Investing in the blockchain or crypto</w:t>
      </w:r>
    </w:p>
    <w:p w:rsidR="00000000" w:rsidDel="00000000" w:rsidP="00000000" w:rsidRDefault="00000000" w:rsidRPr="00000000" w14:paraId="000000FD">
      <w:pPr>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color w:val="000000"/>
          <w:rtl w:val="0"/>
        </w:rPr>
        <w:t xml:space="preserve">What are the reasons to invest in blockchain and crypto? What are the risks, the opportunities? Part 1 of class is a panel discussion with:</w:t>
        <w:br w:type="textWrapping"/>
      </w:r>
      <w:r w:rsidDel="00000000" w:rsidR="00000000" w:rsidRPr="00000000">
        <w:rPr>
          <w:rtl w:val="0"/>
        </w:rPr>
      </w:r>
    </w:p>
    <w:p w:rsidR="00000000" w:rsidDel="00000000" w:rsidP="00000000" w:rsidRDefault="00000000" w:rsidRPr="00000000" w14:paraId="000000F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David Namdar, CPA, Partner Galaxy Digital Assets</w:t>
      </w:r>
      <w:r w:rsidDel="00000000" w:rsidR="00000000" w:rsidRPr="00000000">
        <w:rPr>
          <w:rtl w:val="0"/>
        </w:rPr>
      </w:r>
    </w:p>
    <w:p w:rsidR="00000000" w:rsidDel="00000000" w:rsidP="00000000" w:rsidRDefault="00000000" w:rsidRPr="00000000" w14:paraId="000000F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James Robinson, RRE Ventures</w:t>
      </w:r>
      <w:r w:rsidDel="00000000" w:rsidR="00000000" w:rsidRPr="00000000">
        <w:rPr>
          <w:rtl w:val="0"/>
        </w:rPr>
      </w:r>
    </w:p>
    <w:p w:rsidR="00000000" w:rsidDel="00000000" w:rsidP="00000000" w:rsidRDefault="00000000" w:rsidRPr="00000000" w14:paraId="000001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Nisa Amolis, VC investor</w:t>
        <w:br w:type="textWrapping"/>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Part 2 of class: students will ask prepared questions and engage with the panels in discussion, Q&amp;A.</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ind w:firstLine="720"/>
        <w:contextualSpacing w:val="0"/>
        <w:rPr>
          <w:rFonts w:ascii="Cambria" w:cs="Cambria" w:eastAsia="Cambria" w:hAnsi="Cambria"/>
          <w:b w:val="1"/>
          <w:color w:val="000000"/>
        </w:rPr>
      </w:pPr>
      <w:r w:rsidDel="00000000" w:rsidR="00000000" w:rsidRPr="00000000">
        <w:rPr>
          <w:rFonts w:ascii="Noto Sans Symbols" w:cs="Noto Sans Symbols" w:eastAsia="Noto Sans Symbols" w:hAnsi="Noto Sans Symbols"/>
          <w:b w:val="1"/>
          <w:color w:val="000000"/>
          <w:rtl w:val="0"/>
        </w:rPr>
        <w:t xml:space="preserve">❖</w:t>
      </w:r>
      <w:r w:rsidDel="00000000" w:rsidR="00000000" w:rsidRPr="00000000">
        <w:rPr>
          <w:rFonts w:ascii="Cambria" w:cs="Cambria" w:eastAsia="Cambria" w:hAnsi="Cambria"/>
          <w:b w:val="1"/>
          <w:color w:val="000000"/>
          <w:rtl w:val="0"/>
        </w:rPr>
        <w:t xml:space="preserve"> Assignment for Week 13 </w:t>
      </w:r>
      <w:r w:rsidDel="00000000" w:rsidR="00000000" w:rsidRPr="00000000">
        <w:rPr>
          <w:rFonts w:ascii="Noto Sans Symbols" w:cs="Noto Sans Symbols" w:eastAsia="Noto Sans Symbols" w:hAnsi="Noto Sans Symbols"/>
          <w:b w:val="1"/>
          <w:color w:val="000000"/>
          <w:rtl w:val="0"/>
        </w:rPr>
        <w:t xml:space="preserve">❖</w:t>
      </w:r>
      <w:r w:rsidDel="00000000" w:rsidR="00000000" w:rsidRPr="00000000">
        <w:rPr>
          <w:rtl w:val="0"/>
        </w:rPr>
      </w:r>
    </w:p>
    <w:p w:rsidR="00000000" w:rsidDel="00000000" w:rsidP="00000000" w:rsidRDefault="00000000" w:rsidRPr="00000000" w14:paraId="00000104">
      <w:pPr>
        <w:ind w:left="720"/>
        <w:contextualSpacing w:val="0"/>
        <w:rPr>
          <w:b w:val="1"/>
        </w:rPr>
      </w:pPr>
      <w:r w:rsidDel="00000000" w:rsidR="00000000" w:rsidRPr="00000000">
        <w:rPr>
          <w:rtl w:val="0"/>
        </w:rPr>
      </w:r>
    </w:p>
    <w:p w:rsidR="00000000" w:rsidDel="00000000" w:rsidP="00000000" w:rsidRDefault="00000000" w:rsidRPr="00000000" w14:paraId="00000105">
      <w:pPr>
        <w:ind w:left="720"/>
        <w:contextualSpacing w:val="0"/>
        <w:rPr/>
      </w:pPr>
      <w:r w:rsidDel="00000000" w:rsidR="00000000" w:rsidRPr="00000000">
        <w:rPr>
          <w:rFonts w:ascii="Cambria" w:cs="Cambria" w:eastAsia="Cambria" w:hAnsi="Cambria"/>
          <w:b w:val="1"/>
          <w:color w:val="000000"/>
          <w:rtl w:val="0"/>
        </w:rPr>
        <w:t xml:space="preserve">ASSIGNMENT (5%</w:t>
      </w:r>
      <w:r w:rsidDel="00000000" w:rsidR="00000000" w:rsidRPr="00000000">
        <w:rPr>
          <w:b w:val="1"/>
          <w:rtl w:val="0"/>
        </w:rPr>
        <w:t xml:space="preserve"> of class participation grade)</w:t>
      </w:r>
      <w:r w:rsidDel="00000000" w:rsidR="00000000" w:rsidRPr="00000000">
        <w:rPr>
          <w:rFonts w:ascii="Cambria" w:cs="Cambria" w:eastAsia="Cambria" w:hAnsi="Cambria"/>
          <w:color w:val="000000"/>
          <w:rtl w:val="0"/>
        </w:rPr>
        <w:t xml:space="preserve">: Students will each prepare two questions for the class on investing in blockchain or crypto</w:t>
      </w: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14: The winners and losers so far in 2018</w:t>
      </w:r>
    </w:p>
    <w:p w:rsidR="00000000" w:rsidDel="00000000" w:rsidP="00000000" w:rsidRDefault="00000000" w:rsidRPr="00000000" w14:paraId="00000109">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Where are we now?</w:t>
        <w:br w:type="textWrapping"/>
      </w:r>
    </w:p>
    <w:p w:rsidR="00000000" w:rsidDel="00000000" w:rsidP="00000000" w:rsidRDefault="00000000" w:rsidRPr="00000000" w14:paraId="0000010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happened to the hot ICOs (FileCoin, Telegram, Tezos, EOS, SALT, Kodak, Hashgraph, etc.)? </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Did Hashgraph/Dags/Parallel Blockchains render blockchain obsolete? </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country is “winning” the crypto war? </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does it mean to be a bitcoin “maximalist”? </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best and worst of the regulatory environments?</w:t>
      </w:r>
      <w:r w:rsidDel="00000000" w:rsidR="00000000" w:rsidRPr="00000000">
        <w:rPr>
          <w:rtl w:val="0"/>
        </w:rPr>
      </w:r>
    </w:p>
    <w:p w:rsidR="00000000" w:rsidDel="00000000" w:rsidP="00000000" w:rsidRDefault="00000000" w:rsidRPr="00000000" w14:paraId="0000010F">
      <w:pP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10">
      <w:pPr>
        <w:ind w:left="360"/>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Readings Week 14:</w:t>
      </w:r>
    </w:p>
    <w:p w:rsidR="00000000" w:rsidDel="00000000" w:rsidP="00000000" w:rsidRDefault="00000000" w:rsidRPr="00000000" w14:paraId="0000011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1"/>
          <w:i w:val="1"/>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Long ICOs, Hello Airdrops: The Free Token Giveaway Craze Is Here” </w:t>
      </w:r>
      <w:hyperlink r:id="rId5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https://www.coindesk.com/long-icos-hello-airdrops-free-token-giveaway-craze/</w:t>
        </w:r>
      </w:hyperlink>
      <w:r w:rsidDel="00000000" w:rsidR="00000000" w:rsidRPr="00000000">
        <w:rPr>
          <w:rtl w:val="0"/>
        </w:rPr>
      </w:r>
    </w:p>
    <w:p w:rsidR="00000000" w:rsidDel="00000000" w:rsidP="00000000" w:rsidRDefault="00000000" w:rsidRPr="00000000" w14:paraId="00000112">
      <w:pPr>
        <w:keepNext w:val="0"/>
        <w:keepLines w:val="0"/>
        <w:widowControl w:val="1"/>
        <w:numPr>
          <w:ilvl w:val="0"/>
          <w:numId w:val="26"/>
        </w:numP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color w:val="000000"/>
          <w:rtl w:val="0"/>
        </w:rPr>
        <w:t xml:space="preserve">Hashgraph White Paper:</w:t>
      </w:r>
      <w:r w:rsidDel="00000000" w:rsidR="00000000" w:rsidRPr="00000000">
        <w:rPr>
          <w:rtl w:val="0"/>
        </w:rPr>
      </w:r>
    </w:p>
    <w:p w:rsidR="00000000" w:rsidDel="00000000" w:rsidP="00000000" w:rsidRDefault="00000000" w:rsidRPr="00000000" w14:paraId="00000113">
      <w:pPr>
        <w:keepNext w:val="0"/>
        <w:keepLines w:val="0"/>
        <w:widowControl w:val="1"/>
        <w:spacing w:after="0" w:before="0" w:line="240" w:lineRule="auto"/>
        <w:ind w:left="1080" w:right="0" w:firstLine="0"/>
        <w:contextualSpacing w:val="0"/>
        <w:jc w:val="left"/>
        <w:rPr>
          <w:rFonts w:ascii="Cambria" w:cs="Cambria" w:eastAsia="Cambria" w:hAnsi="Cambria"/>
          <w:color w:val="000000"/>
        </w:rPr>
      </w:pPr>
      <w:hyperlink r:id="rId54">
        <w:r w:rsidDel="00000000" w:rsidR="00000000" w:rsidRPr="00000000">
          <w:rPr>
            <w:rFonts w:ascii="Cambria" w:cs="Cambria" w:eastAsia="Cambria" w:hAnsi="Cambria"/>
            <w:color w:val="0000ff"/>
            <w:u w:val="single"/>
            <w:rtl w:val="0"/>
          </w:rPr>
          <w:t xml:space="preserve">https://www.swirlds.com/downloads/SWIRLDS-TR-2016-01.pdf</w:t>
        </w:r>
      </w:hyperlink>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114">
      <w:pPr>
        <w:keepNext w:val="0"/>
        <w:keepLines w:val="0"/>
        <w:widowControl w:val="1"/>
        <w:numPr>
          <w:ilvl w:val="0"/>
          <w:numId w:val="26"/>
        </w:numP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rtl w:val="0"/>
        </w:rPr>
        <w:t xml:space="preserve">[SEC Enforcement] Statement on Potentially Unlawful Online Platforms for Trading Digital Assets: </w:t>
        <w:br w:type="textWrapping"/>
      </w:r>
      <w:hyperlink r:id="rId55">
        <w:r w:rsidDel="00000000" w:rsidR="00000000" w:rsidRPr="00000000">
          <w:rPr>
            <w:color w:val="0000ff"/>
            <w:u w:val="single"/>
            <w:rtl w:val="0"/>
          </w:rPr>
          <w:t xml:space="preserve">https://www.sec.gov/news/public-statement/enforcement-tm-statement-potentially-unlawful-online-platforms-trading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26"/>
        </w:numPr>
        <w:spacing w:after="0" w:before="0" w:line="240" w:lineRule="auto"/>
        <w:ind w:left="1080" w:right="0" w:hanging="360"/>
        <w:contextualSpacing w:val="1"/>
        <w:jc w:val="left"/>
        <w:rPr>
          <w:b w:val="0"/>
          <w:i w:val="0"/>
          <w:smallCaps w:val="0"/>
          <w:strike w:val="0"/>
          <w:color w:val="000000"/>
          <w:u w:val="none"/>
          <w:shd w:fill="auto" w:val="clear"/>
          <w:vertAlign w:val="baseline"/>
        </w:rPr>
      </w:pPr>
      <w:r w:rsidDel="00000000" w:rsidR="00000000" w:rsidRPr="00000000">
        <w:rPr>
          <w:rtl w:val="0"/>
        </w:rPr>
        <w:t xml:space="preserve">Cryptocurrency Firms Targeted in SEC Probe (Wall Street Journal): </w:t>
      </w:r>
      <w:hyperlink r:id="rId56">
        <w:r w:rsidDel="00000000" w:rsidR="00000000" w:rsidRPr="00000000">
          <w:rPr>
            <w:color w:val="0000ff"/>
            <w:u w:val="single"/>
            <w:rtl w:val="0"/>
          </w:rPr>
          <w:t xml:space="preserve">https://www.wsj.com/articles/sec-launches-cryptocurrency-probe-1519856266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6">
      <w:pPr>
        <w:ind w:left="60"/>
        <w:contextualSpacing w:val="0"/>
        <w:rPr>
          <w:color w:val="000000"/>
        </w:rPr>
      </w:pPr>
      <w:r w:rsidDel="00000000" w:rsidR="00000000" w:rsidRPr="00000000">
        <w:rPr>
          <w:rtl w:val="0"/>
        </w:rPr>
      </w:r>
    </w:p>
    <w:p w:rsidR="00000000" w:rsidDel="00000000" w:rsidP="00000000" w:rsidRDefault="00000000" w:rsidRPr="00000000" w14:paraId="00000117">
      <w:pPr>
        <w:contextualSpacing w:val="0"/>
        <w:rPr>
          <w:rFonts w:ascii="Cambria" w:cs="Cambria" w:eastAsia="Cambria" w:hAnsi="Cambria"/>
          <w:b w:val="1"/>
          <w:i w:val="1"/>
          <w:color w:val="000000"/>
        </w:rPr>
      </w:pPr>
      <w:r w:rsidDel="00000000" w:rsidR="00000000" w:rsidRPr="00000000">
        <w:rPr>
          <w:rtl w:val="0"/>
        </w:rPr>
      </w:r>
    </w:p>
    <w:p w:rsidR="00000000" w:rsidDel="00000000" w:rsidP="00000000" w:rsidRDefault="00000000" w:rsidRPr="00000000" w14:paraId="00000118">
      <w:pPr>
        <w:contextualSpacing w:val="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Week 15: Future trends</w:t>
      </w:r>
    </w:p>
    <w:p w:rsidR="00000000" w:rsidDel="00000000" w:rsidP="00000000" w:rsidRDefault="00000000" w:rsidRPr="00000000" w14:paraId="00000119">
      <w:pPr>
        <w:contextualSpacing w:val="0"/>
        <w:rPr/>
      </w:pPr>
      <w:bookmarkStart w:colFirst="0" w:colLast="0" w:name="_gjdgxs" w:id="0"/>
      <w:bookmarkEnd w:id="0"/>
      <w:r w:rsidDel="00000000" w:rsidR="00000000" w:rsidRPr="00000000">
        <w:rPr>
          <w:rFonts w:ascii="Cambria" w:cs="Cambria" w:eastAsia="Cambria" w:hAnsi="Cambria"/>
          <w:color w:val="000000"/>
          <w:rtl w:val="0"/>
        </w:rPr>
        <w:t xml:space="preserve">What do the professionals expect for 2019? Guest lecturers  form a panel to predict the trends and key expectations for the 2019. Students will engage with the panel using the assignment.</w:t>
      </w:r>
      <w:r w:rsidDel="00000000" w:rsidR="00000000" w:rsidRPr="00000000">
        <w:rPr>
          <w:rtl w:val="0"/>
        </w:rPr>
      </w:r>
    </w:p>
    <w:sectPr>
      <w:footerReference r:id="rId5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o"/>
      <w:lvlJc w:val="left"/>
      <w:pPr>
        <w:ind w:left="1440" w:hanging="360"/>
      </w:pPr>
      <w:rPr>
        <w:rFonts w:ascii="Courier New" w:cs="Courier New" w:eastAsia="Courier New" w:hAnsi="Courier New"/>
        <w:sz w:val="18"/>
        <w:szCs w:val="18"/>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o"/>
      <w:lvlJc w:val="left"/>
      <w:pPr>
        <w:ind w:left="1440" w:hanging="360"/>
      </w:pPr>
      <w:rPr>
        <w:rFonts w:ascii="Courier New" w:cs="Courier New" w:eastAsia="Courier New" w:hAnsi="Courier New"/>
        <w:sz w:val="18"/>
        <w:szCs w:val="18"/>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080" w:hanging="360"/>
      </w:pPr>
      <w:rPr>
        <w:rFonts w:ascii="Noto Sans Symbols" w:cs="Noto Sans Symbols" w:eastAsia="Noto Sans Symbols" w:hAnsi="Noto Sans Symbols"/>
        <w:sz w:val="18"/>
        <w:szCs w:val="18"/>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1080" w:hanging="360"/>
      </w:pPr>
      <w:rPr>
        <w:rFonts w:ascii="Noto Sans Symbols" w:cs="Noto Sans Symbols" w:eastAsia="Noto Sans Symbols" w:hAnsi="Noto Sans Symbols"/>
        <w:sz w:val="18"/>
        <w:szCs w:val="18"/>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26">
    <w:lvl w:ilvl="0">
      <w:start w:val="1"/>
      <w:numFmt w:val="bullet"/>
      <w:lvlText w:val="●"/>
      <w:lvlJc w:val="left"/>
      <w:pPr>
        <w:ind w:left="1080" w:hanging="360"/>
      </w:pPr>
      <w:rPr>
        <w:rFonts w:ascii="Noto Sans Symbols" w:cs="Noto Sans Symbols" w:eastAsia="Noto Sans Symbols" w:hAnsi="Noto Sans Symbols"/>
        <w:sz w:val="18"/>
        <w:szCs w:val="18"/>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bullet"/>
      <w:lvlText w:val="o"/>
      <w:lvlJc w:val="left"/>
      <w:pPr>
        <w:ind w:left="1440" w:hanging="360"/>
      </w:pPr>
      <w:rPr>
        <w:rFonts w:ascii="Courier New" w:cs="Courier New" w:eastAsia="Courier New" w:hAnsi="Courier New"/>
        <w:sz w:val="18"/>
        <w:szCs w:val="18"/>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estonbyrne.com/2018/01/11/epicaricacy/" TargetMode="External"/><Relationship Id="rId42" Type="http://schemas.openxmlformats.org/officeDocument/2006/relationships/hyperlink" Target="https://www.coindesk.com/cftc-no-inconsistency-sec-cryptocurrency-regulation/" TargetMode="External"/><Relationship Id="rId41" Type="http://schemas.openxmlformats.org/officeDocument/2006/relationships/hyperlink" Target="https://dgx.io/whitepaper.pdf" TargetMode="External"/><Relationship Id="rId44" Type="http://schemas.openxmlformats.org/officeDocument/2006/relationships/hyperlink" Target="http://golemproject.net/doc/DraftGolemProjectWhitepaper.pdf" TargetMode="External"/><Relationship Id="rId43" Type="http://schemas.openxmlformats.org/officeDocument/2006/relationships/hyperlink" Target="https://sia.tech/sia.pdf" TargetMode="External"/><Relationship Id="rId46" Type="http://schemas.openxmlformats.org/officeDocument/2006/relationships/hyperlink" Target="https://thenextweb.com/hardfork/2018/01/09/telegram-ico-white-paper-leak/" TargetMode="External"/><Relationship Id="rId45" Type="http://schemas.openxmlformats.org/officeDocument/2006/relationships/hyperlink" Target="https://filecoin.io/filecoi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hanacademy.org/economics-finance-domain/core-finance/money-and-banking#bitcoin" TargetMode="External"/><Relationship Id="rId48" Type="http://schemas.openxmlformats.org/officeDocument/2006/relationships/hyperlink" Target="https://www.sec.gov/rules/final/33-7505.htm" TargetMode="External"/><Relationship Id="rId47" Type="http://schemas.openxmlformats.org/officeDocument/2006/relationships/hyperlink" Target="https://blog.ycombinator.com/the-decentralized-future-series-a-new-age-of-investing/" TargetMode="External"/><Relationship Id="rId49" Type="http://schemas.openxmlformats.org/officeDocument/2006/relationships/hyperlink" Target="https://www.sec.gov/fast-answers/answers-accredhtm.html" TargetMode="External"/><Relationship Id="rId5" Type="http://schemas.openxmlformats.org/officeDocument/2006/relationships/styles" Target="styles.xml"/><Relationship Id="rId6" Type="http://schemas.openxmlformats.org/officeDocument/2006/relationships/hyperlink" Target="https://www.nytimes.com/2018/01/16/magazine/beyond-the-bitcoin-bubble.html" TargetMode="External"/><Relationship Id="rId7" Type="http://schemas.openxmlformats.org/officeDocument/2006/relationships/hyperlink" Target="https://www.youtube.com/watch?v=g6iDZspbRMg" TargetMode="External"/><Relationship Id="rId8" Type="http://schemas.openxmlformats.org/officeDocument/2006/relationships/hyperlink" Target="https://www.youtube.com/watch?v=SSo_EIwHSd4" TargetMode="External"/><Relationship Id="rId31" Type="http://schemas.openxmlformats.org/officeDocument/2006/relationships/hyperlink" Target="https://coincenter.org/files/2018-03/fincen-ico-letter-march-2018-coin-center.pdf" TargetMode="External"/><Relationship Id="rId30" Type="http://schemas.openxmlformats.org/officeDocument/2006/relationships/hyperlink" Target="http://www.cftc.gov/PressRoom/PressReleases/pr7380-16" TargetMode="External"/><Relationship Id="rId33" Type="http://schemas.openxmlformats.org/officeDocument/2006/relationships/hyperlink" Target="https://www.sec.gov/fast-answers/answers-accredhtm.html" TargetMode="External"/><Relationship Id="rId32" Type="http://schemas.openxmlformats.org/officeDocument/2006/relationships/hyperlink" Target="https://www.cftc.gov/PressRoom/PressReleases/pr7675-18" TargetMode="External"/><Relationship Id="rId35" Type="http://schemas.openxmlformats.org/officeDocument/2006/relationships/hyperlink" Target="https://www.sec.gov/about/offices/ocie/amlmfsourcetool.htm" TargetMode="External"/><Relationship Id="rId34" Type="http://schemas.openxmlformats.org/officeDocument/2006/relationships/hyperlink" Target="https://www.sec.gov/about/offices/ocie/amlsourcetool.htm" TargetMode="External"/><Relationship Id="rId37" Type="http://schemas.openxmlformats.org/officeDocument/2006/relationships/hyperlink" Target="https://cdn2.hubspot.net/hubfs/3919777/pdf/kowala-protocol-whitepaper-v1.0.pdf?t=1522055289869" TargetMode="External"/><Relationship Id="rId36" Type="http://schemas.openxmlformats.org/officeDocument/2006/relationships/hyperlink" Target="https://saftproject.com/" TargetMode="External"/><Relationship Id="rId39" Type="http://schemas.openxmlformats.org/officeDocument/2006/relationships/hyperlink" Target="https://prestonbyrne.com/2017/12/10/stablecoins-are-doomed-to-fail/" TargetMode="External"/><Relationship Id="rId38" Type="http://schemas.openxmlformats.org/officeDocument/2006/relationships/hyperlink" Target="https://bitshares.org/technology/price-stable-cryptocurrencies/" TargetMode="External"/><Relationship Id="rId20" Type="http://schemas.openxmlformats.org/officeDocument/2006/relationships/hyperlink" Target="https://www.theventurealley.com/wp-content/uploads/sites/5/2017/12/Munchee-White-Paper.pdf" TargetMode="External"/><Relationship Id="rId22" Type="http://schemas.openxmlformats.org/officeDocument/2006/relationships/hyperlink" Target="https://en.wikipedia.org/wiki/Regulation_D_(SEC" TargetMode="External"/><Relationship Id="rId21" Type="http://schemas.openxmlformats.org/officeDocument/2006/relationships/hyperlink" Target="https://www.sec.gov/litigation/admin/2017/33-10445.pdf" TargetMode="External"/><Relationship Id="rId24" Type="http://schemas.openxmlformats.org/officeDocument/2006/relationships/hyperlink" Target="https://www.sec.gov/fast-answers/answers-rule506htm.html" TargetMode="External"/><Relationship Id="rId23" Type="http://schemas.openxmlformats.org/officeDocument/2006/relationships/hyperlink" Target="https://www.sec.gov/fast-answers/answers-rule504.html" TargetMode="External"/><Relationship Id="rId26" Type="http://schemas.openxmlformats.org/officeDocument/2006/relationships/hyperlink" Target="https://www.sec.gov/litigation/complaints/2017/comp-pr2017-219.pdf" TargetMode="External"/><Relationship Id="rId25" Type="http://schemas.openxmlformats.org/officeDocument/2006/relationships/hyperlink" Target="http://2hsvz0l74ah31vgcm16peuy12tz.wpengine.netdna-cdn.com/wp-content/uploads/2018/03/01621904.pdf" TargetMode="External"/><Relationship Id="rId28" Type="http://schemas.openxmlformats.org/officeDocument/2006/relationships/hyperlink" Target="https://www.law.cornell.edu/cfr/text/17/242.301" TargetMode="External"/><Relationship Id="rId27" Type="http://schemas.openxmlformats.org/officeDocument/2006/relationships/hyperlink" Target="https://www.dfs.ny.gov/legal/regulations/adoptions/dfsp200t.pdf" TargetMode="External"/><Relationship Id="rId29" Type="http://schemas.openxmlformats.org/officeDocument/2006/relationships/hyperlink" Target="https://www.justice.gov/usao-edny/press-release/file/1007956/download" TargetMode="External"/><Relationship Id="rId51" Type="http://schemas.openxmlformats.org/officeDocument/2006/relationships/hyperlink" Target="https://celsius.network" TargetMode="External"/><Relationship Id="rId50" Type="http://schemas.openxmlformats.org/officeDocument/2006/relationships/hyperlink" Target="https://coinjournal.net/cryptokitties-raises-us12m-series-a-from-top-investors-as-it-spins-out-into-separate-company/" TargetMode="External"/><Relationship Id="rId53" Type="http://schemas.openxmlformats.org/officeDocument/2006/relationships/hyperlink" Target="https://www.coindesk.com/long-icos-hello-airdrops-free-token-giveaway-craze/" TargetMode="External"/><Relationship Id="rId52" Type="http://schemas.openxmlformats.org/officeDocument/2006/relationships/hyperlink" Target="http://gibraltarfinance.gi/20180309-token-regulation---policy-document-v2.1-final.pdf" TargetMode="External"/><Relationship Id="rId11" Type="http://schemas.openxmlformats.org/officeDocument/2006/relationships/hyperlink" Target="https://www.bitcoin.com/bitcoin.pdf" TargetMode="External"/><Relationship Id="rId55" Type="http://schemas.openxmlformats.org/officeDocument/2006/relationships/hyperlink" Target="https://www.sec.gov/news/public-statement/enforcement-tm-statement-potentially-unlawful-online-platforms-trading" TargetMode="External"/><Relationship Id="rId10" Type="http://schemas.openxmlformats.org/officeDocument/2006/relationships/hyperlink" Target="https://vimeo.com/260347834" TargetMode="External"/><Relationship Id="rId54" Type="http://schemas.openxmlformats.org/officeDocument/2006/relationships/hyperlink" Target="https://www.swirlds.com/downloads/SWIRLDS-TR-2016-01.pdf" TargetMode="External"/><Relationship Id="rId13" Type="http://schemas.openxmlformats.org/officeDocument/2006/relationships/hyperlink" Target="https://scholarship.law.duke.edu/dlj/vol27/iss5/1/" TargetMode="External"/><Relationship Id="rId57" Type="http://schemas.openxmlformats.org/officeDocument/2006/relationships/footer" Target="footer1.xml"/><Relationship Id="rId12" Type="http://schemas.openxmlformats.org/officeDocument/2006/relationships/hyperlink" Target="https://ethereum.github.io/yellowpaper/paper.pdf" TargetMode="External"/><Relationship Id="rId56" Type="http://schemas.openxmlformats.org/officeDocument/2006/relationships/hyperlink" Target="https://www.wsj.com/articles/sec-launches-cryptocurrency-probe-1519856266" TargetMode="External"/><Relationship Id="rId15" Type="http://schemas.openxmlformats.org/officeDocument/2006/relationships/hyperlink" Target="http://www.untitled-inc.com/the-token-classification-framework-a-multi-dimensional-tool-for-understanding-and-classifying-crypto-tokens/" TargetMode="External"/><Relationship Id="rId14" Type="http://schemas.openxmlformats.org/officeDocument/2006/relationships/hyperlink" Target="https://supreme.justia.com/cases/federal/us/328/293/case.html" TargetMode="External"/><Relationship Id="rId17" Type="http://schemas.openxmlformats.org/officeDocument/2006/relationships/hyperlink" Target="http://www.cryptokitties.co" TargetMode="External"/><Relationship Id="rId16" Type="http://schemas.openxmlformats.org/officeDocument/2006/relationships/hyperlink" Target="https://www.sec.gov/litigation/investreport/34-81207.pdf" TargetMode="External"/><Relationship Id="rId19" Type="http://schemas.openxmlformats.org/officeDocument/2006/relationships/hyperlink" Target="https://ripple.com/files/ripple_solutions_guide.pdf" TargetMode="External"/><Relationship Id="rId18" Type="http://schemas.openxmlformats.org/officeDocument/2006/relationships/hyperlink" Target="https://www.nytimes.com/2017/12/28/style/cryptokitties-want-a-blockchain-snug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