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76BB" w:rsidRDefault="005618A1">
      <w:pPr>
        <w:rPr>
          <w:b/>
        </w:rPr>
      </w:pPr>
      <w:r w:rsidRPr="005618A1">
        <w:rPr>
          <w:b/>
        </w:rPr>
        <w:t>VALUE-ADDED TAX</w:t>
      </w:r>
    </w:p>
    <w:p w:rsidR="005618A1" w:rsidRDefault="005618A1" w:rsidP="000936DE">
      <w:pPr>
        <w:pStyle w:val="ListParagraph"/>
        <w:numPr>
          <w:ilvl w:val="0"/>
          <w:numId w:val="2"/>
        </w:numPr>
        <w:ind w:left="360"/>
        <w:rPr>
          <w:b/>
        </w:rPr>
      </w:pPr>
      <w:r>
        <w:rPr>
          <w:b/>
        </w:rPr>
        <w:t>Characteristics of VAT</w:t>
      </w:r>
    </w:p>
    <w:p w:rsidR="005618A1" w:rsidRDefault="005618A1" w:rsidP="000936DE">
      <w:pPr>
        <w:pStyle w:val="ListParagraph"/>
        <w:numPr>
          <w:ilvl w:val="0"/>
          <w:numId w:val="4"/>
        </w:numPr>
        <w:ind w:left="720"/>
      </w:pPr>
      <w:r>
        <w:t>Tax on value added at each points in the supply chain.</w:t>
      </w:r>
    </w:p>
    <w:p w:rsidR="005618A1" w:rsidRDefault="005618A1" w:rsidP="000936DE">
      <w:pPr>
        <w:pStyle w:val="ListParagraph"/>
        <w:numPr>
          <w:ilvl w:val="0"/>
          <w:numId w:val="4"/>
        </w:numPr>
        <w:ind w:left="720"/>
      </w:pPr>
      <w:r>
        <w:t>Imposed on taxable transactions</w:t>
      </w:r>
    </w:p>
    <w:p w:rsidR="005618A1" w:rsidRDefault="005618A1" w:rsidP="000936DE">
      <w:pPr>
        <w:pStyle w:val="ListParagraph"/>
        <w:numPr>
          <w:ilvl w:val="0"/>
          <w:numId w:val="4"/>
        </w:numPr>
        <w:ind w:left="720"/>
      </w:pPr>
      <w:r>
        <w:t>Indirect tax</w:t>
      </w:r>
    </w:p>
    <w:p w:rsidR="005618A1" w:rsidRDefault="005618A1" w:rsidP="000936DE">
      <w:pPr>
        <w:pStyle w:val="ListParagraph"/>
        <w:numPr>
          <w:ilvl w:val="0"/>
          <w:numId w:val="5"/>
        </w:numPr>
        <w:ind w:left="1080"/>
      </w:pPr>
      <w:r>
        <w:t>Impact of taxation – seller</w:t>
      </w:r>
    </w:p>
    <w:p w:rsidR="005618A1" w:rsidRDefault="005618A1" w:rsidP="000936DE">
      <w:pPr>
        <w:pStyle w:val="ListParagraph"/>
        <w:numPr>
          <w:ilvl w:val="0"/>
          <w:numId w:val="5"/>
        </w:numPr>
        <w:ind w:left="1080"/>
      </w:pPr>
      <w:r>
        <w:t>Incidence of taxation – final consumer</w:t>
      </w:r>
    </w:p>
    <w:p w:rsidR="005618A1" w:rsidRDefault="005618A1" w:rsidP="000936DE">
      <w:pPr>
        <w:pStyle w:val="ListParagraph"/>
        <w:numPr>
          <w:ilvl w:val="0"/>
          <w:numId w:val="4"/>
        </w:numPr>
        <w:ind w:left="720"/>
      </w:pPr>
      <w:r>
        <w:t>Tax inclusive method</w:t>
      </w:r>
    </w:p>
    <w:p w:rsidR="005618A1" w:rsidRDefault="005618A1" w:rsidP="000936DE">
      <w:pPr>
        <w:pStyle w:val="ListParagraph"/>
        <w:numPr>
          <w:ilvl w:val="0"/>
          <w:numId w:val="4"/>
        </w:numPr>
        <w:ind w:left="720"/>
      </w:pPr>
      <w:r>
        <w:t>Tax credit method</w:t>
      </w:r>
    </w:p>
    <w:p w:rsidR="005618A1" w:rsidRDefault="005618A1" w:rsidP="000936DE">
      <w:pPr>
        <w:pStyle w:val="ListParagraph"/>
        <w:numPr>
          <w:ilvl w:val="0"/>
          <w:numId w:val="4"/>
        </w:numPr>
        <w:ind w:left="720"/>
      </w:pPr>
      <w:r>
        <w:t>Destination principle/cross border principle</w:t>
      </w:r>
    </w:p>
    <w:p w:rsidR="005618A1" w:rsidRDefault="005618A1" w:rsidP="000936DE">
      <w:pPr>
        <w:pStyle w:val="ListParagraph"/>
        <w:numPr>
          <w:ilvl w:val="0"/>
          <w:numId w:val="4"/>
        </w:numPr>
        <w:ind w:left="720"/>
      </w:pPr>
      <w:r>
        <w:t>No cascading</w:t>
      </w:r>
    </w:p>
    <w:p w:rsidR="005618A1" w:rsidRDefault="005618A1" w:rsidP="000936DE">
      <w:pPr>
        <w:pStyle w:val="ListParagraph"/>
      </w:pPr>
    </w:p>
    <w:p w:rsidR="005618A1" w:rsidRDefault="004E327E" w:rsidP="000936DE">
      <w:pPr>
        <w:pStyle w:val="ListParagraph"/>
        <w:numPr>
          <w:ilvl w:val="0"/>
          <w:numId w:val="2"/>
        </w:numPr>
        <w:ind w:left="360"/>
        <w:rPr>
          <w:b/>
        </w:rPr>
      </w:pPr>
      <w:r w:rsidRPr="004E327E">
        <w:rPr>
          <w:b/>
        </w:rPr>
        <w:t>Formula for Computation of VAT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50"/>
      </w:tblGrid>
      <w:tr w:rsidR="004E327E" w:rsidTr="000936DE">
        <w:tc>
          <w:tcPr>
            <w:tcW w:w="4675" w:type="dxa"/>
          </w:tcPr>
          <w:p w:rsidR="004E327E" w:rsidRPr="004E327E" w:rsidRDefault="004E327E" w:rsidP="004E327E">
            <w:pPr>
              <w:pStyle w:val="ListParagraph"/>
              <w:ind w:left="0"/>
            </w:pPr>
            <w:r w:rsidRPr="004E327E">
              <w:t>Output VAT</w:t>
            </w:r>
          </w:p>
        </w:tc>
        <w:tc>
          <w:tcPr>
            <w:tcW w:w="450" w:type="dxa"/>
          </w:tcPr>
          <w:p w:rsidR="004E327E" w:rsidRPr="004E327E" w:rsidRDefault="004E327E" w:rsidP="004E327E">
            <w:pPr>
              <w:pStyle w:val="ListParagraph"/>
              <w:ind w:left="0"/>
              <w:jc w:val="right"/>
            </w:pPr>
            <w:r w:rsidRPr="004E327E">
              <w:t>xx</w:t>
            </w:r>
          </w:p>
        </w:tc>
      </w:tr>
      <w:tr w:rsidR="004E327E" w:rsidTr="000936DE">
        <w:tc>
          <w:tcPr>
            <w:tcW w:w="4675" w:type="dxa"/>
          </w:tcPr>
          <w:p w:rsidR="004E327E" w:rsidRPr="004E327E" w:rsidRDefault="004E327E" w:rsidP="004E327E">
            <w:pPr>
              <w:pStyle w:val="ListParagraph"/>
              <w:ind w:left="0"/>
            </w:pPr>
            <w:r w:rsidRPr="004E327E">
              <w:t>Less: Input VAT</w:t>
            </w:r>
          </w:p>
        </w:tc>
        <w:tc>
          <w:tcPr>
            <w:tcW w:w="450" w:type="dxa"/>
            <w:tcBorders>
              <w:bottom w:val="single" w:sz="4" w:space="0" w:color="auto"/>
            </w:tcBorders>
          </w:tcPr>
          <w:p w:rsidR="004E327E" w:rsidRPr="004E327E" w:rsidRDefault="004E327E" w:rsidP="004E327E">
            <w:pPr>
              <w:pStyle w:val="ListParagraph"/>
              <w:ind w:left="0"/>
              <w:jc w:val="right"/>
            </w:pPr>
            <w:r w:rsidRPr="004E327E">
              <w:t>xx</w:t>
            </w:r>
          </w:p>
        </w:tc>
      </w:tr>
      <w:tr w:rsidR="004E327E" w:rsidTr="000936DE">
        <w:tc>
          <w:tcPr>
            <w:tcW w:w="4675" w:type="dxa"/>
          </w:tcPr>
          <w:p w:rsidR="004E327E" w:rsidRPr="004E327E" w:rsidRDefault="004E327E" w:rsidP="004E327E">
            <w:pPr>
              <w:pStyle w:val="ListParagraph"/>
              <w:ind w:left="0"/>
            </w:pPr>
            <w:r w:rsidRPr="004E327E">
              <w:t>VAT Payable</w:t>
            </w:r>
          </w:p>
        </w:tc>
        <w:tc>
          <w:tcPr>
            <w:tcW w:w="450" w:type="dxa"/>
            <w:tcBorders>
              <w:top w:val="single" w:sz="4" w:space="0" w:color="auto"/>
            </w:tcBorders>
          </w:tcPr>
          <w:p w:rsidR="004E327E" w:rsidRPr="004E327E" w:rsidRDefault="004E327E" w:rsidP="004E327E">
            <w:pPr>
              <w:pStyle w:val="ListParagraph"/>
              <w:ind w:left="0"/>
              <w:jc w:val="right"/>
            </w:pPr>
            <w:r w:rsidRPr="004E327E">
              <w:t>xx</w:t>
            </w:r>
          </w:p>
        </w:tc>
      </w:tr>
    </w:tbl>
    <w:p w:rsidR="004E327E" w:rsidRPr="004E327E" w:rsidRDefault="004E327E" w:rsidP="000936DE">
      <w:pPr>
        <w:pStyle w:val="ListParagraph"/>
        <w:ind w:left="360"/>
        <w:rPr>
          <w:b/>
        </w:rPr>
      </w:pPr>
    </w:p>
    <w:p w:rsidR="005618A1" w:rsidRPr="005618A1" w:rsidRDefault="004E327E" w:rsidP="000936DE">
      <w:pPr>
        <w:pStyle w:val="ListParagraph"/>
        <w:numPr>
          <w:ilvl w:val="0"/>
          <w:numId w:val="2"/>
        </w:numPr>
        <w:ind w:left="360"/>
        <w:rPr>
          <w:b/>
        </w:rPr>
      </w:pPr>
      <w:r>
        <w:rPr>
          <w:b/>
        </w:rPr>
        <w:t xml:space="preserve">Example </w:t>
      </w:r>
      <w:r w:rsidR="005618A1" w:rsidRPr="005618A1">
        <w:rPr>
          <w:b/>
        </w:rPr>
        <w:t>Computation of VAT</w:t>
      </w: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9715"/>
      </w:tblGrid>
      <w:tr w:rsidR="005618A1" w:rsidTr="000936DE">
        <w:tc>
          <w:tcPr>
            <w:tcW w:w="9715" w:type="dxa"/>
          </w:tcPr>
          <w:p w:rsidR="005618A1" w:rsidRDefault="005618A1" w:rsidP="005618A1">
            <w:pPr>
              <w:pStyle w:val="ListParagraph"/>
              <w:ind w:left="0"/>
              <w:rPr>
                <w:b/>
              </w:rPr>
            </w:pPr>
            <w:r w:rsidRPr="00762F8F">
              <w:rPr>
                <w:b/>
              </w:rPr>
              <w:t>Simple Example</w:t>
            </w:r>
          </w:p>
          <w:p w:rsidR="00774DD5" w:rsidRPr="00762F8F" w:rsidRDefault="00774DD5" w:rsidP="005618A1">
            <w:pPr>
              <w:pStyle w:val="ListParagraph"/>
              <w:ind w:left="0"/>
              <w:rPr>
                <w:b/>
              </w:rPr>
            </w:pPr>
          </w:p>
          <w:p w:rsidR="005618A1" w:rsidRDefault="005618A1" w:rsidP="00762F8F">
            <w:pPr>
              <w:pStyle w:val="ListParagraph"/>
              <w:ind w:left="0"/>
            </w:pPr>
            <w:r>
              <w:t xml:space="preserve">Vendor </w:t>
            </w:r>
            <w:r w:rsidR="00762F8F">
              <w:t>A sold product to Company B with invoice amount of P56,000. Company B sold the same to Customer C for an invoice amount of P112,000.</w:t>
            </w:r>
          </w:p>
          <w:p w:rsidR="00762F8F" w:rsidRDefault="00762F8F" w:rsidP="00762F8F">
            <w:pPr>
              <w:pStyle w:val="ListParagraph"/>
              <w:ind w:left="0"/>
            </w:pPr>
          </w:p>
          <w:p w:rsidR="00762F8F" w:rsidRDefault="00762F8F" w:rsidP="00762F8F">
            <w:r>
              <w:t>For Company B to recognized Input V</w:t>
            </w:r>
            <w:r w:rsidR="00626C87">
              <w:t>AT</w:t>
            </w:r>
            <w:r>
              <w:t xml:space="preserve"> on its purchases:</w:t>
            </w:r>
          </w:p>
          <w:p w:rsidR="00762F8F" w:rsidRDefault="00762F8F" w:rsidP="00762F8F">
            <w:pPr>
              <w:pStyle w:val="ListParagraph"/>
              <w:numPr>
                <w:ilvl w:val="0"/>
                <w:numId w:val="6"/>
              </w:numPr>
            </w:pPr>
            <w:r>
              <w:t xml:space="preserve">Company </w:t>
            </w:r>
            <w:r w:rsidR="00626C87">
              <w:t>B must be VAT-registered. If Company B falls under mandatory VAT reg</w:t>
            </w:r>
            <w:r w:rsidR="00003B01">
              <w:t>istration but fails to do so (that is, VAT-registrable as defined by RR 14-2005), it cannot claim input VAT on its</w:t>
            </w:r>
            <w:r w:rsidR="00626C87">
              <w:t xml:space="preserve"> purchases but liable to pay Output VAT as if it’s VAT-registered.</w:t>
            </w:r>
          </w:p>
          <w:p w:rsidR="00626C87" w:rsidRDefault="00626C87" w:rsidP="00626C87">
            <w:pPr>
              <w:pStyle w:val="ListParagraph"/>
              <w:numPr>
                <w:ilvl w:val="0"/>
                <w:numId w:val="6"/>
              </w:numPr>
            </w:pPr>
            <w:r>
              <w:t>Purchase transaction must subject to 12% VAT.</w:t>
            </w:r>
          </w:p>
          <w:p w:rsidR="00626C87" w:rsidRDefault="00626C87" w:rsidP="00626C87">
            <w:pPr>
              <w:pStyle w:val="ListParagraph"/>
              <w:numPr>
                <w:ilvl w:val="0"/>
                <w:numId w:val="6"/>
              </w:numPr>
            </w:pPr>
            <w:r>
              <w:t>Th</w:t>
            </w:r>
            <w:r w:rsidR="00003B01">
              <w:t>e seller, Vendor A, must be VAT-</w:t>
            </w:r>
            <w:r>
              <w:t>registered</w:t>
            </w:r>
            <w:r w:rsidR="00AF0AF2">
              <w:t xml:space="preserve"> (Sec. 110B, NIRC)</w:t>
            </w:r>
            <w:r>
              <w:t>.</w:t>
            </w:r>
          </w:p>
          <w:p w:rsidR="00626C87" w:rsidRDefault="00626C87" w:rsidP="00626C87"/>
          <w:p w:rsidR="00626C87" w:rsidRDefault="00626C87" w:rsidP="00626C87">
            <w:r>
              <w:t>For Company B to recognized Output VAT on its sales:</w:t>
            </w:r>
          </w:p>
          <w:p w:rsidR="00626C87" w:rsidRDefault="00626C87" w:rsidP="00626C87">
            <w:pPr>
              <w:pStyle w:val="ListParagraph"/>
              <w:numPr>
                <w:ilvl w:val="0"/>
                <w:numId w:val="6"/>
              </w:numPr>
            </w:pPr>
            <w:r>
              <w:t xml:space="preserve">Company B </w:t>
            </w:r>
            <w:r w:rsidR="00003B01">
              <w:t>must be VAT-registered or VAT-registrable. If VAT-</w:t>
            </w:r>
            <w:r>
              <w:t xml:space="preserve">registered, he can claim the Input VAT on its purchases. However, if </w:t>
            </w:r>
            <w:r w:rsidR="00003B01">
              <w:t>instead VAT-registrable</w:t>
            </w:r>
            <w:r>
              <w:t>, he cannot do so.</w:t>
            </w:r>
          </w:p>
          <w:p w:rsidR="00626C87" w:rsidRDefault="00626C87" w:rsidP="00626C87">
            <w:pPr>
              <w:pStyle w:val="ListParagraph"/>
              <w:numPr>
                <w:ilvl w:val="0"/>
                <w:numId w:val="6"/>
              </w:numPr>
            </w:pPr>
            <w:r>
              <w:t>Sale transaction must be subject to 12% VAT.</w:t>
            </w:r>
          </w:p>
          <w:p w:rsidR="00626C87" w:rsidRDefault="00626C87" w:rsidP="00626C87"/>
          <w:p w:rsidR="00626C87" w:rsidRDefault="00626C87" w:rsidP="00626C87">
            <w:r>
              <w:t>The following are the journal entries if conditions above are met:</w:t>
            </w:r>
          </w:p>
          <w:p w:rsidR="00774DD5" w:rsidRDefault="00774DD5" w:rsidP="00626C87"/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832"/>
              <w:gridCol w:w="1890"/>
              <w:gridCol w:w="1886"/>
            </w:tblGrid>
            <w:tr w:rsidR="00774DD5" w:rsidTr="00774DD5">
              <w:tc>
                <w:tcPr>
                  <w:tcW w:w="4832" w:type="dxa"/>
                </w:tcPr>
                <w:p w:rsidR="00774DD5" w:rsidRPr="00774DD5" w:rsidRDefault="00774DD5" w:rsidP="00626C87">
                  <w:pPr>
                    <w:rPr>
                      <w:i/>
                    </w:rPr>
                  </w:pPr>
                  <w:r w:rsidRPr="00774DD5">
                    <w:rPr>
                      <w:i/>
                    </w:rPr>
                    <w:t>On purchases:</w:t>
                  </w:r>
                </w:p>
              </w:tc>
              <w:tc>
                <w:tcPr>
                  <w:tcW w:w="1890" w:type="dxa"/>
                </w:tcPr>
                <w:p w:rsidR="00774DD5" w:rsidRDefault="00774DD5" w:rsidP="00774DD5">
                  <w:pPr>
                    <w:jc w:val="right"/>
                  </w:pPr>
                </w:p>
              </w:tc>
              <w:tc>
                <w:tcPr>
                  <w:tcW w:w="1886" w:type="dxa"/>
                </w:tcPr>
                <w:p w:rsidR="00774DD5" w:rsidRDefault="00774DD5" w:rsidP="00774DD5">
                  <w:pPr>
                    <w:jc w:val="right"/>
                  </w:pPr>
                </w:p>
              </w:tc>
            </w:tr>
            <w:tr w:rsidR="00774DD5" w:rsidTr="00774DD5">
              <w:tc>
                <w:tcPr>
                  <w:tcW w:w="4832" w:type="dxa"/>
                </w:tcPr>
                <w:p w:rsidR="00774DD5" w:rsidRDefault="00774DD5" w:rsidP="00626C87">
                  <w:r>
                    <w:t>Dr: Purchases</w:t>
                  </w:r>
                </w:p>
              </w:tc>
              <w:tc>
                <w:tcPr>
                  <w:tcW w:w="1890" w:type="dxa"/>
                </w:tcPr>
                <w:p w:rsidR="00774DD5" w:rsidRDefault="00774DD5" w:rsidP="00774DD5">
                  <w:pPr>
                    <w:jc w:val="right"/>
                  </w:pPr>
                  <w:r>
                    <w:t>50,000</w:t>
                  </w:r>
                </w:p>
              </w:tc>
              <w:tc>
                <w:tcPr>
                  <w:tcW w:w="1886" w:type="dxa"/>
                </w:tcPr>
                <w:p w:rsidR="00774DD5" w:rsidRDefault="00774DD5" w:rsidP="00774DD5">
                  <w:pPr>
                    <w:jc w:val="right"/>
                  </w:pPr>
                </w:p>
              </w:tc>
            </w:tr>
            <w:tr w:rsidR="00774DD5" w:rsidTr="00774DD5">
              <w:tc>
                <w:tcPr>
                  <w:tcW w:w="4832" w:type="dxa"/>
                </w:tcPr>
                <w:p w:rsidR="00774DD5" w:rsidRDefault="00774DD5" w:rsidP="00626C87">
                  <w:r>
                    <w:t>Dr: Input VAT</w:t>
                  </w:r>
                </w:p>
              </w:tc>
              <w:tc>
                <w:tcPr>
                  <w:tcW w:w="1890" w:type="dxa"/>
                </w:tcPr>
                <w:p w:rsidR="00774DD5" w:rsidRDefault="00774DD5" w:rsidP="00774DD5">
                  <w:pPr>
                    <w:jc w:val="right"/>
                  </w:pPr>
                  <w:r>
                    <w:t>6,000</w:t>
                  </w:r>
                </w:p>
              </w:tc>
              <w:tc>
                <w:tcPr>
                  <w:tcW w:w="1886" w:type="dxa"/>
                </w:tcPr>
                <w:p w:rsidR="00774DD5" w:rsidRDefault="00774DD5" w:rsidP="00774DD5">
                  <w:pPr>
                    <w:jc w:val="right"/>
                  </w:pPr>
                </w:p>
              </w:tc>
            </w:tr>
            <w:tr w:rsidR="00774DD5" w:rsidTr="00774DD5">
              <w:tc>
                <w:tcPr>
                  <w:tcW w:w="4832" w:type="dxa"/>
                </w:tcPr>
                <w:p w:rsidR="00774DD5" w:rsidRDefault="00774DD5" w:rsidP="00626C87">
                  <w:r>
                    <w:t>Cr: Accounts Payable (or Cash)</w:t>
                  </w:r>
                </w:p>
              </w:tc>
              <w:tc>
                <w:tcPr>
                  <w:tcW w:w="1890" w:type="dxa"/>
                </w:tcPr>
                <w:p w:rsidR="00774DD5" w:rsidRDefault="00774DD5" w:rsidP="00774DD5">
                  <w:pPr>
                    <w:jc w:val="right"/>
                  </w:pPr>
                </w:p>
              </w:tc>
              <w:tc>
                <w:tcPr>
                  <w:tcW w:w="1886" w:type="dxa"/>
                </w:tcPr>
                <w:p w:rsidR="00774DD5" w:rsidRDefault="00774DD5" w:rsidP="00774DD5">
                  <w:pPr>
                    <w:jc w:val="right"/>
                  </w:pPr>
                  <w:r>
                    <w:t>56,000</w:t>
                  </w:r>
                </w:p>
              </w:tc>
            </w:tr>
            <w:tr w:rsidR="00774DD5" w:rsidTr="00774DD5">
              <w:tc>
                <w:tcPr>
                  <w:tcW w:w="4832" w:type="dxa"/>
                </w:tcPr>
                <w:p w:rsidR="00774DD5" w:rsidRDefault="00774DD5" w:rsidP="00626C87"/>
              </w:tc>
              <w:tc>
                <w:tcPr>
                  <w:tcW w:w="1890" w:type="dxa"/>
                </w:tcPr>
                <w:p w:rsidR="00774DD5" w:rsidRDefault="00774DD5" w:rsidP="00774DD5">
                  <w:pPr>
                    <w:jc w:val="right"/>
                  </w:pPr>
                </w:p>
              </w:tc>
              <w:tc>
                <w:tcPr>
                  <w:tcW w:w="1886" w:type="dxa"/>
                </w:tcPr>
                <w:p w:rsidR="00774DD5" w:rsidRDefault="00774DD5" w:rsidP="00774DD5">
                  <w:pPr>
                    <w:jc w:val="right"/>
                  </w:pPr>
                </w:p>
              </w:tc>
            </w:tr>
            <w:tr w:rsidR="00774DD5" w:rsidTr="00774DD5">
              <w:tc>
                <w:tcPr>
                  <w:tcW w:w="4832" w:type="dxa"/>
                </w:tcPr>
                <w:p w:rsidR="00774DD5" w:rsidRPr="00774DD5" w:rsidRDefault="00774DD5" w:rsidP="00626C87">
                  <w:pPr>
                    <w:rPr>
                      <w:i/>
                    </w:rPr>
                  </w:pPr>
                  <w:r w:rsidRPr="00774DD5">
                    <w:rPr>
                      <w:i/>
                    </w:rPr>
                    <w:t>On sales:</w:t>
                  </w:r>
                </w:p>
              </w:tc>
              <w:tc>
                <w:tcPr>
                  <w:tcW w:w="1890" w:type="dxa"/>
                </w:tcPr>
                <w:p w:rsidR="00774DD5" w:rsidRDefault="00774DD5" w:rsidP="00774DD5">
                  <w:pPr>
                    <w:jc w:val="right"/>
                  </w:pPr>
                </w:p>
              </w:tc>
              <w:tc>
                <w:tcPr>
                  <w:tcW w:w="1886" w:type="dxa"/>
                </w:tcPr>
                <w:p w:rsidR="00774DD5" w:rsidRDefault="00774DD5" w:rsidP="00774DD5">
                  <w:pPr>
                    <w:jc w:val="right"/>
                  </w:pPr>
                </w:p>
              </w:tc>
            </w:tr>
            <w:tr w:rsidR="00774DD5" w:rsidTr="00774DD5">
              <w:tc>
                <w:tcPr>
                  <w:tcW w:w="4832" w:type="dxa"/>
                </w:tcPr>
                <w:p w:rsidR="00774DD5" w:rsidRDefault="00774DD5" w:rsidP="00626C87">
                  <w:r>
                    <w:t>Dr: Accounts Receivable (or Cash)</w:t>
                  </w:r>
                </w:p>
              </w:tc>
              <w:tc>
                <w:tcPr>
                  <w:tcW w:w="1890" w:type="dxa"/>
                </w:tcPr>
                <w:p w:rsidR="00774DD5" w:rsidRDefault="00774DD5" w:rsidP="00774DD5">
                  <w:pPr>
                    <w:jc w:val="right"/>
                  </w:pPr>
                  <w:r>
                    <w:t>112,000</w:t>
                  </w:r>
                </w:p>
              </w:tc>
              <w:tc>
                <w:tcPr>
                  <w:tcW w:w="1886" w:type="dxa"/>
                </w:tcPr>
                <w:p w:rsidR="00774DD5" w:rsidRDefault="00774DD5" w:rsidP="00774DD5">
                  <w:pPr>
                    <w:jc w:val="right"/>
                  </w:pPr>
                </w:p>
              </w:tc>
            </w:tr>
            <w:tr w:rsidR="00774DD5" w:rsidTr="00774DD5">
              <w:tc>
                <w:tcPr>
                  <w:tcW w:w="4832" w:type="dxa"/>
                </w:tcPr>
                <w:p w:rsidR="00774DD5" w:rsidRDefault="00774DD5" w:rsidP="00626C87">
                  <w:r>
                    <w:t>Cr: Sales</w:t>
                  </w:r>
                </w:p>
              </w:tc>
              <w:tc>
                <w:tcPr>
                  <w:tcW w:w="1890" w:type="dxa"/>
                </w:tcPr>
                <w:p w:rsidR="00774DD5" w:rsidRDefault="00774DD5" w:rsidP="00774DD5">
                  <w:pPr>
                    <w:jc w:val="right"/>
                  </w:pPr>
                </w:p>
              </w:tc>
              <w:tc>
                <w:tcPr>
                  <w:tcW w:w="1886" w:type="dxa"/>
                </w:tcPr>
                <w:p w:rsidR="00774DD5" w:rsidRDefault="00774DD5" w:rsidP="00774DD5">
                  <w:pPr>
                    <w:jc w:val="right"/>
                  </w:pPr>
                  <w:r>
                    <w:t>100,000</w:t>
                  </w:r>
                </w:p>
              </w:tc>
            </w:tr>
            <w:tr w:rsidR="00774DD5" w:rsidTr="00774DD5">
              <w:tc>
                <w:tcPr>
                  <w:tcW w:w="4832" w:type="dxa"/>
                </w:tcPr>
                <w:p w:rsidR="00774DD5" w:rsidRDefault="00774DD5" w:rsidP="00626C87">
                  <w:r>
                    <w:t>Cr: Output VAT</w:t>
                  </w:r>
                </w:p>
              </w:tc>
              <w:tc>
                <w:tcPr>
                  <w:tcW w:w="1890" w:type="dxa"/>
                </w:tcPr>
                <w:p w:rsidR="00774DD5" w:rsidRDefault="00774DD5" w:rsidP="00774DD5">
                  <w:pPr>
                    <w:jc w:val="right"/>
                  </w:pPr>
                </w:p>
              </w:tc>
              <w:tc>
                <w:tcPr>
                  <w:tcW w:w="1886" w:type="dxa"/>
                </w:tcPr>
                <w:p w:rsidR="00774DD5" w:rsidRDefault="00774DD5" w:rsidP="00774DD5">
                  <w:pPr>
                    <w:jc w:val="right"/>
                  </w:pPr>
                  <w:r>
                    <w:t>12,000</w:t>
                  </w:r>
                </w:p>
              </w:tc>
            </w:tr>
            <w:tr w:rsidR="00774DD5" w:rsidTr="00774DD5">
              <w:tc>
                <w:tcPr>
                  <w:tcW w:w="4832" w:type="dxa"/>
                </w:tcPr>
                <w:p w:rsidR="00774DD5" w:rsidRDefault="00774DD5" w:rsidP="00626C87"/>
              </w:tc>
              <w:tc>
                <w:tcPr>
                  <w:tcW w:w="1890" w:type="dxa"/>
                </w:tcPr>
                <w:p w:rsidR="00774DD5" w:rsidRDefault="00774DD5" w:rsidP="00774DD5">
                  <w:pPr>
                    <w:jc w:val="right"/>
                  </w:pPr>
                </w:p>
              </w:tc>
              <w:tc>
                <w:tcPr>
                  <w:tcW w:w="1886" w:type="dxa"/>
                </w:tcPr>
                <w:p w:rsidR="00774DD5" w:rsidRDefault="00774DD5" w:rsidP="00774DD5">
                  <w:pPr>
                    <w:jc w:val="right"/>
                  </w:pPr>
                </w:p>
              </w:tc>
            </w:tr>
            <w:tr w:rsidR="00774DD5" w:rsidTr="00774DD5">
              <w:tc>
                <w:tcPr>
                  <w:tcW w:w="4832" w:type="dxa"/>
                </w:tcPr>
                <w:p w:rsidR="00774DD5" w:rsidRPr="00774DD5" w:rsidRDefault="00774DD5" w:rsidP="00626C87">
                  <w:pPr>
                    <w:rPr>
                      <w:i/>
                    </w:rPr>
                  </w:pPr>
                  <w:r w:rsidRPr="00774DD5">
                    <w:rPr>
                      <w:i/>
                    </w:rPr>
                    <w:t>Recognize VAT Payable:</w:t>
                  </w:r>
                </w:p>
              </w:tc>
              <w:tc>
                <w:tcPr>
                  <w:tcW w:w="1890" w:type="dxa"/>
                </w:tcPr>
                <w:p w:rsidR="00774DD5" w:rsidRDefault="00774DD5" w:rsidP="00774DD5">
                  <w:pPr>
                    <w:jc w:val="right"/>
                  </w:pPr>
                </w:p>
              </w:tc>
              <w:tc>
                <w:tcPr>
                  <w:tcW w:w="1886" w:type="dxa"/>
                </w:tcPr>
                <w:p w:rsidR="00774DD5" w:rsidRDefault="00774DD5" w:rsidP="00774DD5">
                  <w:pPr>
                    <w:jc w:val="right"/>
                  </w:pPr>
                </w:p>
              </w:tc>
            </w:tr>
            <w:tr w:rsidR="00774DD5" w:rsidTr="00774DD5">
              <w:tc>
                <w:tcPr>
                  <w:tcW w:w="4832" w:type="dxa"/>
                </w:tcPr>
                <w:p w:rsidR="00774DD5" w:rsidRDefault="00774DD5" w:rsidP="00626C87">
                  <w:r>
                    <w:t>Dr: Output VAT</w:t>
                  </w:r>
                </w:p>
              </w:tc>
              <w:tc>
                <w:tcPr>
                  <w:tcW w:w="1890" w:type="dxa"/>
                </w:tcPr>
                <w:p w:rsidR="00774DD5" w:rsidRDefault="00774DD5" w:rsidP="00774DD5">
                  <w:pPr>
                    <w:jc w:val="right"/>
                  </w:pPr>
                  <w:r>
                    <w:t>12,000</w:t>
                  </w:r>
                </w:p>
              </w:tc>
              <w:tc>
                <w:tcPr>
                  <w:tcW w:w="1886" w:type="dxa"/>
                </w:tcPr>
                <w:p w:rsidR="00774DD5" w:rsidRDefault="00774DD5" w:rsidP="00774DD5">
                  <w:pPr>
                    <w:jc w:val="right"/>
                  </w:pPr>
                </w:p>
              </w:tc>
            </w:tr>
            <w:tr w:rsidR="00774DD5" w:rsidTr="00774DD5">
              <w:tc>
                <w:tcPr>
                  <w:tcW w:w="4832" w:type="dxa"/>
                </w:tcPr>
                <w:p w:rsidR="00774DD5" w:rsidRDefault="00774DD5" w:rsidP="00626C87">
                  <w:r>
                    <w:t>Cr: Input VAT</w:t>
                  </w:r>
                </w:p>
              </w:tc>
              <w:tc>
                <w:tcPr>
                  <w:tcW w:w="1890" w:type="dxa"/>
                </w:tcPr>
                <w:p w:rsidR="00774DD5" w:rsidRDefault="00774DD5" w:rsidP="00774DD5">
                  <w:pPr>
                    <w:jc w:val="right"/>
                  </w:pPr>
                </w:p>
              </w:tc>
              <w:tc>
                <w:tcPr>
                  <w:tcW w:w="1886" w:type="dxa"/>
                </w:tcPr>
                <w:p w:rsidR="00774DD5" w:rsidRDefault="00774DD5" w:rsidP="00774DD5">
                  <w:pPr>
                    <w:jc w:val="right"/>
                  </w:pPr>
                  <w:r>
                    <w:t>6,000</w:t>
                  </w:r>
                </w:p>
              </w:tc>
            </w:tr>
            <w:tr w:rsidR="00774DD5" w:rsidTr="00774DD5">
              <w:tc>
                <w:tcPr>
                  <w:tcW w:w="4832" w:type="dxa"/>
                </w:tcPr>
                <w:p w:rsidR="00774DD5" w:rsidRDefault="00774DD5" w:rsidP="00626C87">
                  <w:r>
                    <w:t>Cr: VAT Payable</w:t>
                  </w:r>
                </w:p>
              </w:tc>
              <w:tc>
                <w:tcPr>
                  <w:tcW w:w="1890" w:type="dxa"/>
                </w:tcPr>
                <w:p w:rsidR="00774DD5" w:rsidRDefault="00774DD5" w:rsidP="00774DD5">
                  <w:pPr>
                    <w:jc w:val="right"/>
                  </w:pPr>
                </w:p>
              </w:tc>
              <w:tc>
                <w:tcPr>
                  <w:tcW w:w="1886" w:type="dxa"/>
                </w:tcPr>
                <w:p w:rsidR="00774DD5" w:rsidRDefault="00774DD5" w:rsidP="00774DD5">
                  <w:pPr>
                    <w:jc w:val="right"/>
                  </w:pPr>
                  <w:r>
                    <w:t>6,000</w:t>
                  </w:r>
                </w:p>
              </w:tc>
            </w:tr>
            <w:tr w:rsidR="00774DD5" w:rsidTr="00774DD5">
              <w:tc>
                <w:tcPr>
                  <w:tcW w:w="4832" w:type="dxa"/>
                </w:tcPr>
                <w:p w:rsidR="00774DD5" w:rsidRDefault="00774DD5" w:rsidP="00626C87"/>
              </w:tc>
              <w:tc>
                <w:tcPr>
                  <w:tcW w:w="1890" w:type="dxa"/>
                </w:tcPr>
                <w:p w:rsidR="00774DD5" w:rsidRDefault="00774DD5" w:rsidP="00774DD5">
                  <w:pPr>
                    <w:jc w:val="right"/>
                  </w:pPr>
                </w:p>
              </w:tc>
              <w:tc>
                <w:tcPr>
                  <w:tcW w:w="1886" w:type="dxa"/>
                </w:tcPr>
                <w:p w:rsidR="00774DD5" w:rsidRDefault="00774DD5" w:rsidP="00774DD5">
                  <w:pPr>
                    <w:jc w:val="right"/>
                  </w:pPr>
                </w:p>
              </w:tc>
            </w:tr>
            <w:tr w:rsidR="00774DD5" w:rsidTr="00774DD5">
              <w:tc>
                <w:tcPr>
                  <w:tcW w:w="4832" w:type="dxa"/>
                </w:tcPr>
                <w:p w:rsidR="00774DD5" w:rsidRPr="00774DD5" w:rsidRDefault="00774DD5" w:rsidP="00626C87">
                  <w:pPr>
                    <w:rPr>
                      <w:i/>
                    </w:rPr>
                  </w:pPr>
                  <w:r w:rsidRPr="00774DD5">
                    <w:rPr>
                      <w:i/>
                    </w:rPr>
                    <w:t>Payment of VAT Payable:</w:t>
                  </w:r>
                </w:p>
              </w:tc>
              <w:tc>
                <w:tcPr>
                  <w:tcW w:w="1890" w:type="dxa"/>
                </w:tcPr>
                <w:p w:rsidR="00774DD5" w:rsidRDefault="00774DD5" w:rsidP="00774DD5">
                  <w:pPr>
                    <w:jc w:val="right"/>
                  </w:pPr>
                </w:p>
              </w:tc>
              <w:tc>
                <w:tcPr>
                  <w:tcW w:w="1886" w:type="dxa"/>
                </w:tcPr>
                <w:p w:rsidR="00774DD5" w:rsidRDefault="00774DD5" w:rsidP="00774DD5">
                  <w:pPr>
                    <w:jc w:val="right"/>
                  </w:pPr>
                </w:p>
              </w:tc>
            </w:tr>
            <w:tr w:rsidR="00774DD5" w:rsidTr="00774DD5">
              <w:tc>
                <w:tcPr>
                  <w:tcW w:w="4832" w:type="dxa"/>
                </w:tcPr>
                <w:p w:rsidR="00774DD5" w:rsidRDefault="00774DD5" w:rsidP="00626C87">
                  <w:r>
                    <w:t>Dr: VAT Payable</w:t>
                  </w:r>
                </w:p>
              </w:tc>
              <w:tc>
                <w:tcPr>
                  <w:tcW w:w="1890" w:type="dxa"/>
                </w:tcPr>
                <w:p w:rsidR="00774DD5" w:rsidRDefault="00774DD5" w:rsidP="00774DD5">
                  <w:pPr>
                    <w:jc w:val="right"/>
                  </w:pPr>
                  <w:r>
                    <w:t>6,000</w:t>
                  </w:r>
                </w:p>
              </w:tc>
              <w:tc>
                <w:tcPr>
                  <w:tcW w:w="1886" w:type="dxa"/>
                </w:tcPr>
                <w:p w:rsidR="00774DD5" w:rsidRDefault="00774DD5" w:rsidP="00774DD5">
                  <w:pPr>
                    <w:jc w:val="right"/>
                  </w:pPr>
                </w:p>
              </w:tc>
            </w:tr>
            <w:tr w:rsidR="00774DD5" w:rsidTr="00774DD5">
              <w:tc>
                <w:tcPr>
                  <w:tcW w:w="4832" w:type="dxa"/>
                </w:tcPr>
                <w:p w:rsidR="00774DD5" w:rsidRDefault="00774DD5" w:rsidP="00626C87">
                  <w:r>
                    <w:t>Cr: Cash</w:t>
                  </w:r>
                </w:p>
              </w:tc>
              <w:tc>
                <w:tcPr>
                  <w:tcW w:w="1890" w:type="dxa"/>
                </w:tcPr>
                <w:p w:rsidR="00774DD5" w:rsidRDefault="00774DD5" w:rsidP="00774DD5">
                  <w:pPr>
                    <w:jc w:val="right"/>
                  </w:pPr>
                </w:p>
              </w:tc>
              <w:tc>
                <w:tcPr>
                  <w:tcW w:w="1886" w:type="dxa"/>
                </w:tcPr>
                <w:p w:rsidR="00774DD5" w:rsidRDefault="00774DD5" w:rsidP="00774DD5">
                  <w:pPr>
                    <w:jc w:val="right"/>
                  </w:pPr>
                  <w:r>
                    <w:t>6,000</w:t>
                  </w:r>
                </w:p>
              </w:tc>
            </w:tr>
          </w:tbl>
          <w:p w:rsidR="00774DD5" w:rsidRDefault="00774DD5" w:rsidP="00626C87">
            <w:r>
              <w:t xml:space="preserve"> </w:t>
            </w:r>
          </w:p>
          <w:p w:rsidR="00774DD5" w:rsidRPr="005618A1" w:rsidRDefault="004E327E" w:rsidP="00626C87">
            <w:r>
              <w:lastRenderedPageBreak/>
              <w:t>Note the bias against the input VAT here. Company B must be VAT-registered otherwise he cannot claim Input VAT. The seller must be VAT-registered too. Compared with the Output VAT, wherein Company B can be VAT-registered or VAT-registrable and yet liable to Output VAT in both cases. This can be a very important tip in Tax Planning.</w:t>
            </w:r>
          </w:p>
        </w:tc>
      </w:tr>
    </w:tbl>
    <w:p w:rsidR="005618A1" w:rsidRDefault="005618A1" w:rsidP="005618A1">
      <w:pPr>
        <w:pStyle w:val="ListParagraph"/>
      </w:pPr>
    </w:p>
    <w:p w:rsidR="005618A1" w:rsidRDefault="005618A1" w:rsidP="005618A1">
      <w:pPr>
        <w:pStyle w:val="ListParagraph"/>
      </w:pPr>
    </w:p>
    <w:p w:rsidR="005618A1" w:rsidRDefault="000936DE" w:rsidP="008D16B6">
      <w:pPr>
        <w:pStyle w:val="ListParagraph"/>
        <w:numPr>
          <w:ilvl w:val="0"/>
          <w:numId w:val="2"/>
        </w:numPr>
        <w:ind w:left="360"/>
        <w:rPr>
          <w:b/>
        </w:rPr>
      </w:pPr>
      <w:r w:rsidRPr="000936DE">
        <w:rPr>
          <w:b/>
        </w:rPr>
        <w:t>VATable Transactions</w:t>
      </w:r>
    </w:p>
    <w:p w:rsidR="000936DE" w:rsidRDefault="000936DE" w:rsidP="008D16B6">
      <w:pPr>
        <w:pStyle w:val="ListParagraph"/>
        <w:ind w:left="360"/>
      </w:pPr>
      <w:r>
        <w:t>The trick to determining transactions subject to 12% VAT is to know the Exempt Transactions and Zero-rate transactions first. Anything else then are subject to 12% VAT.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9710"/>
      </w:tblGrid>
      <w:tr w:rsidR="008D16B6" w:rsidTr="00AE2F45">
        <w:tc>
          <w:tcPr>
            <w:tcW w:w="9710" w:type="dxa"/>
          </w:tcPr>
          <w:p w:rsidR="008D16B6" w:rsidRPr="008D16B6" w:rsidRDefault="008D16B6" w:rsidP="008D16B6">
            <w:pPr>
              <w:pStyle w:val="ListParagraph"/>
              <w:ind w:left="0"/>
              <w:rPr>
                <w:b/>
              </w:rPr>
            </w:pPr>
            <w:r w:rsidRPr="008D16B6">
              <w:rPr>
                <w:b/>
              </w:rPr>
              <w:t>General Rule on Imports and Exports</w:t>
            </w:r>
          </w:p>
          <w:p w:rsidR="008D16B6" w:rsidRDefault="008D16B6" w:rsidP="008D16B6">
            <w:pPr>
              <w:pStyle w:val="ListParagraph"/>
              <w:ind w:left="0"/>
            </w:pPr>
          </w:p>
          <w:p w:rsidR="008D16B6" w:rsidRDefault="004631E0" w:rsidP="008D16B6">
            <w:pPr>
              <w:pStyle w:val="ListParagraph"/>
              <w:ind w:left="0"/>
            </w:pPr>
            <w:r>
              <w:t>Company P imports its products</w:t>
            </w:r>
            <w:r w:rsidR="008D16B6">
              <w:t xml:space="preserve"> from Tsina Comp</w:t>
            </w:r>
            <w:r>
              <w:t xml:space="preserve">any located in China (duh!). After customizing the imported products, it sells </w:t>
            </w:r>
            <w:r w:rsidR="008D16B6">
              <w:t>or exports the same to Japan.</w:t>
            </w:r>
          </w:p>
          <w:p w:rsidR="008D16B6" w:rsidRDefault="008D16B6" w:rsidP="008D16B6">
            <w:pPr>
              <w:pStyle w:val="ListParagraph"/>
              <w:ind w:left="0"/>
            </w:pPr>
          </w:p>
          <w:p w:rsidR="008D16B6" w:rsidRPr="008D16B6" w:rsidRDefault="008D16B6" w:rsidP="008D16B6">
            <w:pPr>
              <w:pStyle w:val="ListParagraph"/>
              <w:ind w:left="0"/>
              <w:rPr>
                <w:i/>
              </w:rPr>
            </w:pPr>
            <w:r w:rsidRPr="008D16B6">
              <w:rPr>
                <w:i/>
              </w:rPr>
              <w:t>Tax treatments: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161"/>
              <w:gridCol w:w="3161"/>
              <w:gridCol w:w="3162"/>
            </w:tblGrid>
            <w:tr w:rsidR="008D16B6" w:rsidTr="008D16B6">
              <w:tc>
                <w:tcPr>
                  <w:tcW w:w="3161" w:type="dxa"/>
                </w:tcPr>
                <w:p w:rsidR="008D16B6" w:rsidRPr="008D16B6" w:rsidRDefault="008D16B6" w:rsidP="008D16B6">
                  <w:pPr>
                    <w:jc w:val="center"/>
                    <w:rPr>
                      <w:b/>
                    </w:rPr>
                  </w:pPr>
                  <w:r w:rsidRPr="008D16B6">
                    <w:rPr>
                      <w:b/>
                    </w:rPr>
                    <w:t>If Company P is</w:t>
                  </w:r>
                </w:p>
              </w:tc>
              <w:tc>
                <w:tcPr>
                  <w:tcW w:w="3161" w:type="dxa"/>
                </w:tcPr>
                <w:p w:rsidR="008D16B6" w:rsidRPr="008D16B6" w:rsidRDefault="008D16B6" w:rsidP="008D16B6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Company P’s Exports</w:t>
                  </w:r>
                </w:p>
              </w:tc>
              <w:tc>
                <w:tcPr>
                  <w:tcW w:w="3162" w:type="dxa"/>
                </w:tcPr>
                <w:p w:rsidR="008D16B6" w:rsidRPr="008D16B6" w:rsidRDefault="008D16B6" w:rsidP="008D16B6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Company P’s Imports</w:t>
                  </w:r>
                </w:p>
              </w:tc>
            </w:tr>
            <w:tr w:rsidR="008D16B6" w:rsidTr="00154527">
              <w:tc>
                <w:tcPr>
                  <w:tcW w:w="3161" w:type="dxa"/>
                </w:tcPr>
                <w:p w:rsidR="008D16B6" w:rsidRDefault="008D16B6" w:rsidP="008D16B6">
                  <w:r>
                    <w:t>VAT-registered</w:t>
                  </w:r>
                </w:p>
              </w:tc>
              <w:tc>
                <w:tcPr>
                  <w:tcW w:w="3161" w:type="dxa"/>
                </w:tcPr>
                <w:p w:rsidR="008D16B6" w:rsidRDefault="008D16B6" w:rsidP="008D16B6">
                  <w:pPr>
                    <w:jc w:val="center"/>
                  </w:pPr>
                  <w:r>
                    <w:t>0%</w:t>
                  </w:r>
                </w:p>
              </w:tc>
              <w:tc>
                <w:tcPr>
                  <w:tcW w:w="3162" w:type="dxa"/>
                  <w:vMerge w:val="restart"/>
                  <w:vAlign w:val="center"/>
                </w:tcPr>
                <w:p w:rsidR="008D16B6" w:rsidRDefault="008D16B6" w:rsidP="00154527">
                  <w:pPr>
                    <w:jc w:val="center"/>
                  </w:pPr>
                  <w:r>
                    <w:t>12%</w:t>
                  </w:r>
                  <w:r w:rsidR="000C439F">
                    <w:t xml:space="preserve"> Output VAT</w:t>
                  </w:r>
                </w:p>
              </w:tc>
            </w:tr>
            <w:tr w:rsidR="008D16B6" w:rsidTr="008D16B6">
              <w:tc>
                <w:tcPr>
                  <w:tcW w:w="3161" w:type="dxa"/>
                </w:tcPr>
                <w:p w:rsidR="008D16B6" w:rsidRDefault="008D16B6" w:rsidP="008D16B6">
                  <w:r>
                    <w:t>VAT-exempt</w:t>
                  </w:r>
                </w:p>
              </w:tc>
              <w:tc>
                <w:tcPr>
                  <w:tcW w:w="3161" w:type="dxa"/>
                </w:tcPr>
                <w:p w:rsidR="008D16B6" w:rsidRDefault="008D16B6" w:rsidP="008D16B6">
                  <w:pPr>
                    <w:jc w:val="center"/>
                  </w:pPr>
                  <w:r>
                    <w:t>Exempt</w:t>
                  </w:r>
                </w:p>
              </w:tc>
              <w:tc>
                <w:tcPr>
                  <w:tcW w:w="3162" w:type="dxa"/>
                  <w:vMerge/>
                </w:tcPr>
                <w:p w:rsidR="008D16B6" w:rsidRDefault="008D16B6" w:rsidP="008D16B6"/>
              </w:tc>
            </w:tr>
          </w:tbl>
          <w:p w:rsidR="008D16B6" w:rsidRDefault="008D16B6" w:rsidP="008D16B6"/>
          <w:p w:rsidR="00F76DD5" w:rsidRPr="00F76DD5" w:rsidRDefault="00F76DD5" w:rsidP="008D16B6">
            <w:pPr>
              <w:rPr>
                <w:i/>
              </w:rPr>
            </w:pPr>
            <w:r w:rsidRPr="00F76DD5">
              <w:rPr>
                <w:i/>
              </w:rPr>
              <w:t>Note:</w:t>
            </w:r>
          </w:p>
          <w:p w:rsidR="00F76DD5" w:rsidRDefault="00F76DD5" w:rsidP="008D16B6">
            <w:r>
              <w:t>I</w:t>
            </w:r>
            <w:r w:rsidR="000C439F">
              <w:t>n general, output VAT is payable on imports regardless of registration.</w:t>
            </w:r>
            <w:r>
              <w:t xml:space="preserve"> In fact, this is true regardless of who the importer is and whether the import was made in the ordinary course of business or not.</w:t>
            </w:r>
          </w:p>
          <w:p w:rsidR="00F76DD5" w:rsidRDefault="00F76DD5" w:rsidP="008D16B6"/>
          <w:p w:rsidR="008D16B6" w:rsidRDefault="000C439F" w:rsidP="008D16B6">
            <w:r>
              <w:t xml:space="preserve">On the other hand, export sales of VAT-registered company are subject to 0% VAT. This is another Tax Planning tip; the government is actually encouraging business to export their products. </w:t>
            </w:r>
          </w:p>
          <w:p w:rsidR="0065495C" w:rsidRDefault="0065495C" w:rsidP="008D16B6"/>
          <w:p w:rsidR="0065495C" w:rsidRDefault="0065495C" w:rsidP="0065495C">
            <w:pPr>
              <w:rPr>
                <w:b/>
              </w:rPr>
            </w:pPr>
            <w:r w:rsidRPr="00AE2F45">
              <w:rPr>
                <w:b/>
              </w:rPr>
              <w:t>Rule on Sale of Real Properties</w:t>
            </w:r>
          </w:p>
          <w:p w:rsidR="0065495C" w:rsidRDefault="0065495C" w:rsidP="0065495C">
            <w:r>
              <w:t>The following sale of real properties are exempt from VAT.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744"/>
              <w:gridCol w:w="2433"/>
            </w:tblGrid>
            <w:tr w:rsidR="0065495C" w:rsidTr="004033F2">
              <w:tc>
                <w:tcPr>
                  <w:tcW w:w="4744" w:type="dxa"/>
                </w:tcPr>
                <w:p w:rsidR="0065495C" w:rsidRPr="0065495C" w:rsidRDefault="0065495C" w:rsidP="0065495C">
                  <w:pPr>
                    <w:jc w:val="center"/>
                    <w:rPr>
                      <w:b/>
                    </w:rPr>
                  </w:pPr>
                  <w:r w:rsidRPr="0065495C">
                    <w:rPr>
                      <w:b/>
                    </w:rPr>
                    <w:t>Real Property</w:t>
                  </w:r>
                </w:p>
              </w:tc>
              <w:tc>
                <w:tcPr>
                  <w:tcW w:w="2433" w:type="dxa"/>
                </w:tcPr>
                <w:p w:rsidR="0065495C" w:rsidRPr="0065495C" w:rsidRDefault="0065495C" w:rsidP="0065495C">
                  <w:pPr>
                    <w:jc w:val="center"/>
                    <w:rPr>
                      <w:b/>
                    </w:rPr>
                  </w:pPr>
                  <w:r w:rsidRPr="0065495C">
                    <w:rPr>
                      <w:b/>
                    </w:rPr>
                    <w:t>VAT-Exempt</w:t>
                  </w:r>
                </w:p>
              </w:tc>
            </w:tr>
            <w:tr w:rsidR="0065495C" w:rsidTr="004033F2">
              <w:tc>
                <w:tcPr>
                  <w:tcW w:w="4744" w:type="dxa"/>
                </w:tcPr>
                <w:p w:rsidR="0065495C" w:rsidRDefault="0065495C" w:rsidP="0065495C">
                  <w:r>
                    <w:t>Residential Vacant Lot</w:t>
                  </w:r>
                </w:p>
              </w:tc>
              <w:tc>
                <w:tcPr>
                  <w:tcW w:w="2433" w:type="dxa"/>
                </w:tcPr>
                <w:p w:rsidR="0065495C" w:rsidRDefault="0065495C" w:rsidP="00DA3E4F">
                  <w:pPr>
                    <w:jc w:val="right"/>
                  </w:pPr>
                  <w:r w:rsidRPr="0065495C">
                    <w:t>₱1,919,500 and below</w:t>
                  </w:r>
                </w:p>
              </w:tc>
            </w:tr>
            <w:tr w:rsidR="0065495C" w:rsidTr="004033F2">
              <w:tc>
                <w:tcPr>
                  <w:tcW w:w="4744" w:type="dxa"/>
                </w:tcPr>
                <w:p w:rsidR="0065495C" w:rsidRDefault="0065495C" w:rsidP="0065495C">
                  <w:r>
                    <w:t>Residential House and Lot</w:t>
                  </w:r>
                </w:p>
              </w:tc>
              <w:tc>
                <w:tcPr>
                  <w:tcW w:w="2433" w:type="dxa"/>
                </w:tcPr>
                <w:p w:rsidR="0065495C" w:rsidRDefault="0065495C" w:rsidP="00DA3E4F">
                  <w:pPr>
                    <w:jc w:val="right"/>
                  </w:pPr>
                  <w:r w:rsidRPr="0065495C">
                    <w:t>₱3,199,200 and below</w:t>
                  </w:r>
                </w:p>
              </w:tc>
            </w:tr>
            <w:tr w:rsidR="0065495C" w:rsidTr="004033F2">
              <w:tc>
                <w:tcPr>
                  <w:tcW w:w="4744" w:type="dxa"/>
                </w:tcPr>
                <w:p w:rsidR="0065495C" w:rsidRDefault="0065495C" w:rsidP="0065495C">
                  <w:r>
                    <w:t>Residential Condominium Unit</w:t>
                  </w:r>
                </w:p>
              </w:tc>
              <w:tc>
                <w:tcPr>
                  <w:tcW w:w="2433" w:type="dxa"/>
                </w:tcPr>
                <w:p w:rsidR="0065495C" w:rsidRDefault="0065495C" w:rsidP="00DA3E4F">
                  <w:pPr>
                    <w:jc w:val="right"/>
                  </w:pPr>
                  <w:r w:rsidRPr="0065495C">
                    <w:t>₱3,199,200 and below</w:t>
                  </w:r>
                </w:p>
              </w:tc>
            </w:tr>
            <w:tr w:rsidR="0065495C" w:rsidTr="004033F2">
              <w:tc>
                <w:tcPr>
                  <w:tcW w:w="4744" w:type="dxa"/>
                </w:tcPr>
                <w:p w:rsidR="0065495C" w:rsidRDefault="0065495C" w:rsidP="0065495C">
                  <w:r>
                    <w:t>Residential property utilized for low-cost housing</w:t>
                  </w:r>
                </w:p>
              </w:tc>
              <w:tc>
                <w:tcPr>
                  <w:tcW w:w="2433" w:type="dxa"/>
                </w:tcPr>
                <w:p w:rsidR="0065495C" w:rsidRPr="0065495C" w:rsidRDefault="0065495C" w:rsidP="00DA3E4F">
                  <w:pPr>
                    <w:jc w:val="right"/>
                  </w:pPr>
                  <w:r w:rsidRPr="0065495C">
                    <w:t>₱</w:t>
                  </w:r>
                  <w:r>
                    <w:t>3,000,000</w:t>
                  </w:r>
                  <w:r w:rsidRPr="0065495C">
                    <w:t xml:space="preserve"> and below</w:t>
                  </w:r>
                </w:p>
              </w:tc>
            </w:tr>
            <w:tr w:rsidR="0065495C" w:rsidTr="004033F2">
              <w:tc>
                <w:tcPr>
                  <w:tcW w:w="4744" w:type="dxa"/>
                </w:tcPr>
                <w:p w:rsidR="0065495C" w:rsidRDefault="0065495C" w:rsidP="0065495C">
                  <w:r>
                    <w:t>Residential property utilized for socialized housing</w:t>
                  </w:r>
                </w:p>
              </w:tc>
              <w:tc>
                <w:tcPr>
                  <w:tcW w:w="2433" w:type="dxa"/>
                </w:tcPr>
                <w:p w:rsidR="0065495C" w:rsidRPr="0065495C" w:rsidRDefault="0065495C" w:rsidP="00DA3E4F">
                  <w:pPr>
                    <w:jc w:val="right"/>
                  </w:pPr>
                  <w:r w:rsidRPr="0065495C">
                    <w:t>₱</w:t>
                  </w:r>
                  <w:r>
                    <w:t>400,000</w:t>
                  </w:r>
                  <w:r w:rsidRPr="0065495C">
                    <w:t xml:space="preserve"> and below</w:t>
                  </w:r>
                </w:p>
              </w:tc>
            </w:tr>
            <w:tr w:rsidR="0065495C" w:rsidTr="004033F2">
              <w:tc>
                <w:tcPr>
                  <w:tcW w:w="4744" w:type="dxa"/>
                </w:tcPr>
                <w:p w:rsidR="0065495C" w:rsidRDefault="0065495C" w:rsidP="0065495C">
                  <w:r>
                    <w:t>Residential property on installment</w:t>
                  </w:r>
                </w:p>
              </w:tc>
              <w:tc>
                <w:tcPr>
                  <w:tcW w:w="2433" w:type="dxa"/>
                </w:tcPr>
                <w:p w:rsidR="0065495C" w:rsidRPr="0065495C" w:rsidRDefault="0065495C" w:rsidP="00DA3E4F">
                  <w:pPr>
                    <w:jc w:val="right"/>
                  </w:pPr>
                  <w:r w:rsidRPr="0065495C">
                    <w:t>₱</w:t>
                  </w:r>
                  <w:r>
                    <w:t>1,000,000</w:t>
                  </w:r>
                  <w:r w:rsidRPr="0065495C">
                    <w:t xml:space="preserve"> and below</w:t>
                  </w:r>
                </w:p>
              </w:tc>
            </w:tr>
          </w:tbl>
          <w:p w:rsidR="0065495C" w:rsidRDefault="0065495C" w:rsidP="0065495C"/>
          <w:p w:rsidR="0065495C" w:rsidRDefault="0065495C" w:rsidP="0065495C">
            <w:r>
              <w:t>Note that sale of commercial properties are subject to VAT.</w:t>
            </w:r>
          </w:p>
          <w:p w:rsidR="0065495C" w:rsidRDefault="0065495C" w:rsidP="008D16B6"/>
          <w:p w:rsidR="0065495C" w:rsidRDefault="0065495C" w:rsidP="0065495C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Rule on Lease of Residential Units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672"/>
              <w:gridCol w:w="4860"/>
              <w:gridCol w:w="1952"/>
            </w:tblGrid>
            <w:tr w:rsidR="0065495C" w:rsidTr="004033F2">
              <w:tc>
                <w:tcPr>
                  <w:tcW w:w="7532" w:type="dxa"/>
                  <w:gridSpan w:val="2"/>
                </w:tcPr>
                <w:p w:rsidR="0065495C" w:rsidRDefault="0065495C" w:rsidP="0065495C">
                  <w:pPr>
                    <w:pStyle w:val="ListParagraph"/>
                    <w:ind w:left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Monthly Rental</w:t>
                  </w:r>
                </w:p>
              </w:tc>
              <w:tc>
                <w:tcPr>
                  <w:tcW w:w="1952" w:type="dxa"/>
                </w:tcPr>
                <w:p w:rsidR="0065495C" w:rsidRDefault="0065495C" w:rsidP="0065495C">
                  <w:pPr>
                    <w:pStyle w:val="ListParagraph"/>
                    <w:ind w:left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Treatment</w:t>
                  </w:r>
                </w:p>
              </w:tc>
            </w:tr>
            <w:tr w:rsidR="0065495C" w:rsidTr="004033F2">
              <w:tc>
                <w:tcPr>
                  <w:tcW w:w="7532" w:type="dxa"/>
                  <w:gridSpan w:val="2"/>
                </w:tcPr>
                <w:p w:rsidR="0065495C" w:rsidRPr="0065495C" w:rsidRDefault="0065495C" w:rsidP="0065495C">
                  <w:pPr>
                    <w:pStyle w:val="ListParagraph"/>
                    <w:ind w:left="0"/>
                  </w:pPr>
                  <w:r>
                    <w:t>Not exceeding 12,800/unit</w:t>
                  </w:r>
                </w:p>
              </w:tc>
              <w:tc>
                <w:tcPr>
                  <w:tcW w:w="1952" w:type="dxa"/>
                </w:tcPr>
                <w:p w:rsidR="0065495C" w:rsidRPr="0065495C" w:rsidRDefault="0065495C" w:rsidP="0065495C">
                  <w:pPr>
                    <w:pStyle w:val="ListParagraph"/>
                    <w:ind w:left="0"/>
                    <w:jc w:val="center"/>
                  </w:pPr>
                  <w:r w:rsidRPr="0065495C">
                    <w:t>Exempt</w:t>
                  </w:r>
                </w:p>
              </w:tc>
            </w:tr>
            <w:tr w:rsidR="0065495C" w:rsidTr="004033F2">
              <w:tc>
                <w:tcPr>
                  <w:tcW w:w="2672" w:type="dxa"/>
                  <w:vMerge w:val="restart"/>
                </w:tcPr>
                <w:p w:rsidR="0065495C" w:rsidRPr="0065495C" w:rsidRDefault="0065495C" w:rsidP="0065495C">
                  <w:pPr>
                    <w:pStyle w:val="ListParagraph"/>
                    <w:ind w:left="0"/>
                  </w:pPr>
                  <w:r>
                    <w:t>Exceeding 12,800/unit</w:t>
                  </w:r>
                </w:p>
              </w:tc>
              <w:tc>
                <w:tcPr>
                  <w:tcW w:w="4860" w:type="dxa"/>
                </w:tcPr>
                <w:p w:rsidR="0065495C" w:rsidRPr="0065495C" w:rsidRDefault="0065495C" w:rsidP="0065495C">
                  <w:pPr>
                    <w:pStyle w:val="ListParagraph"/>
                    <w:ind w:left="0"/>
                  </w:pPr>
                  <w:r>
                    <w:t>Aggregate yearly rental does not exceeds 1,919,500</w:t>
                  </w:r>
                </w:p>
              </w:tc>
              <w:tc>
                <w:tcPr>
                  <w:tcW w:w="1952" w:type="dxa"/>
                </w:tcPr>
                <w:p w:rsidR="0065495C" w:rsidRPr="0065495C" w:rsidRDefault="00DA3E4F" w:rsidP="0065495C">
                  <w:pPr>
                    <w:pStyle w:val="ListParagraph"/>
                    <w:ind w:left="0"/>
                    <w:jc w:val="center"/>
                  </w:pPr>
                  <w:r>
                    <w:t>3% OPT</w:t>
                  </w:r>
                </w:p>
              </w:tc>
            </w:tr>
            <w:tr w:rsidR="0065495C" w:rsidTr="004033F2">
              <w:tc>
                <w:tcPr>
                  <w:tcW w:w="2672" w:type="dxa"/>
                  <w:vMerge/>
                </w:tcPr>
                <w:p w:rsidR="0065495C" w:rsidRPr="0065495C" w:rsidRDefault="0065495C" w:rsidP="0065495C">
                  <w:pPr>
                    <w:pStyle w:val="ListParagraph"/>
                    <w:ind w:left="0"/>
                  </w:pPr>
                </w:p>
              </w:tc>
              <w:tc>
                <w:tcPr>
                  <w:tcW w:w="4860" w:type="dxa"/>
                </w:tcPr>
                <w:p w:rsidR="0065495C" w:rsidRPr="0065495C" w:rsidRDefault="0065495C" w:rsidP="0065495C">
                  <w:pPr>
                    <w:pStyle w:val="ListParagraph"/>
                    <w:ind w:left="0"/>
                  </w:pPr>
                  <w:r>
                    <w:t>Aggregate yearly rental exceeds 1,919,500</w:t>
                  </w:r>
                </w:p>
              </w:tc>
              <w:tc>
                <w:tcPr>
                  <w:tcW w:w="1952" w:type="dxa"/>
                </w:tcPr>
                <w:p w:rsidR="0065495C" w:rsidRPr="0065495C" w:rsidRDefault="0065495C" w:rsidP="0065495C">
                  <w:pPr>
                    <w:pStyle w:val="ListParagraph"/>
                    <w:ind w:left="0"/>
                    <w:jc w:val="center"/>
                  </w:pPr>
                  <w:r>
                    <w:t>12% VAT</w:t>
                  </w:r>
                </w:p>
              </w:tc>
            </w:tr>
          </w:tbl>
          <w:p w:rsidR="0065495C" w:rsidRDefault="0065495C" w:rsidP="008D16B6"/>
          <w:p w:rsidR="0065495C" w:rsidRDefault="0065495C" w:rsidP="008D16B6">
            <w:pPr>
              <w:rPr>
                <w:b/>
              </w:rPr>
            </w:pPr>
            <w:r w:rsidRPr="0065495C">
              <w:rPr>
                <w:b/>
              </w:rPr>
              <w:t>Rule on Carriers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580"/>
              <w:gridCol w:w="2072"/>
              <w:gridCol w:w="4832"/>
            </w:tblGrid>
            <w:tr w:rsidR="00FF5407" w:rsidTr="00793C56">
              <w:tc>
                <w:tcPr>
                  <w:tcW w:w="2580" w:type="dxa"/>
                </w:tcPr>
                <w:p w:rsidR="00FF5407" w:rsidRPr="00C904A4" w:rsidRDefault="00FF5407" w:rsidP="00C904A4">
                  <w:pPr>
                    <w:jc w:val="center"/>
                    <w:rPr>
                      <w:b/>
                    </w:rPr>
                  </w:pPr>
                  <w:r w:rsidRPr="00C904A4">
                    <w:rPr>
                      <w:b/>
                    </w:rPr>
                    <w:t>Mode</w:t>
                  </w:r>
                </w:p>
              </w:tc>
              <w:tc>
                <w:tcPr>
                  <w:tcW w:w="2072" w:type="dxa"/>
                </w:tcPr>
                <w:p w:rsidR="00FF5407" w:rsidRDefault="00FF5407" w:rsidP="00C904A4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Transport of</w:t>
                  </w:r>
                </w:p>
              </w:tc>
              <w:tc>
                <w:tcPr>
                  <w:tcW w:w="4832" w:type="dxa"/>
                </w:tcPr>
                <w:p w:rsidR="00FF5407" w:rsidRPr="00C904A4" w:rsidRDefault="00A3367E" w:rsidP="00C904A4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Domestic Carriers</w:t>
                  </w:r>
                </w:p>
              </w:tc>
            </w:tr>
            <w:tr w:rsidR="00EC1947" w:rsidTr="00EE4B59">
              <w:tc>
                <w:tcPr>
                  <w:tcW w:w="2580" w:type="dxa"/>
                  <w:vMerge w:val="restart"/>
                </w:tcPr>
                <w:p w:rsidR="00EC1947" w:rsidRPr="00C904A4" w:rsidRDefault="00EC1947" w:rsidP="00C904A4">
                  <w:r w:rsidRPr="00C904A4">
                    <w:t>Land</w:t>
                  </w:r>
                </w:p>
              </w:tc>
              <w:tc>
                <w:tcPr>
                  <w:tcW w:w="2072" w:type="dxa"/>
                </w:tcPr>
                <w:p w:rsidR="00EC1947" w:rsidRPr="00C904A4" w:rsidRDefault="00EC1947" w:rsidP="00C904A4">
                  <w:pPr>
                    <w:jc w:val="center"/>
                  </w:pPr>
                  <w:r>
                    <w:t>Passenger</w:t>
                  </w:r>
                </w:p>
              </w:tc>
              <w:tc>
                <w:tcPr>
                  <w:tcW w:w="4832" w:type="dxa"/>
                  <w:vAlign w:val="center"/>
                </w:tcPr>
                <w:p w:rsidR="00EC1947" w:rsidRPr="00C904A4" w:rsidRDefault="00EC1947" w:rsidP="00EE4B59">
                  <w:pPr>
                    <w:jc w:val="center"/>
                  </w:pPr>
                  <w:r>
                    <w:t xml:space="preserve">Actual vs. Minimum </w:t>
                  </w:r>
                  <w:r>
                    <w:rPr>
                      <w:rFonts w:cstheme="minorHAnsi"/>
                    </w:rPr>
                    <w:t>↑</w:t>
                  </w:r>
                  <w:r>
                    <w:t xml:space="preserve"> x 3% OPT</w:t>
                  </w:r>
                </w:p>
              </w:tc>
            </w:tr>
            <w:tr w:rsidR="00EC1947" w:rsidTr="00EE4B59">
              <w:tc>
                <w:tcPr>
                  <w:tcW w:w="2580" w:type="dxa"/>
                  <w:vMerge/>
                </w:tcPr>
                <w:p w:rsidR="00EC1947" w:rsidRPr="00C904A4" w:rsidRDefault="00EC1947" w:rsidP="00C904A4"/>
              </w:tc>
              <w:tc>
                <w:tcPr>
                  <w:tcW w:w="2072" w:type="dxa"/>
                </w:tcPr>
                <w:p w:rsidR="00EC1947" w:rsidRPr="00C904A4" w:rsidRDefault="00EC1947" w:rsidP="00C904A4">
                  <w:pPr>
                    <w:jc w:val="center"/>
                  </w:pPr>
                  <w:r>
                    <w:t>Cargo</w:t>
                  </w:r>
                </w:p>
              </w:tc>
              <w:tc>
                <w:tcPr>
                  <w:tcW w:w="4832" w:type="dxa"/>
                  <w:vAlign w:val="center"/>
                </w:tcPr>
                <w:p w:rsidR="00EC1947" w:rsidRPr="00C904A4" w:rsidRDefault="00EC1947" w:rsidP="00EE4B59">
                  <w:pPr>
                    <w:jc w:val="center"/>
                  </w:pPr>
                  <w:r>
                    <w:t>12% VAT</w:t>
                  </w:r>
                </w:p>
              </w:tc>
            </w:tr>
            <w:tr w:rsidR="00EC1947" w:rsidTr="00EE4B59">
              <w:trPr>
                <w:trHeight w:val="782"/>
              </w:trPr>
              <w:tc>
                <w:tcPr>
                  <w:tcW w:w="2580" w:type="dxa"/>
                </w:tcPr>
                <w:p w:rsidR="00EC1947" w:rsidRDefault="00EC1947" w:rsidP="00904BF8">
                  <w:r>
                    <w:t>Air (“Air Carrier”) and</w:t>
                  </w:r>
                </w:p>
                <w:p w:rsidR="00EC1947" w:rsidRPr="00C904A4" w:rsidRDefault="00EC1947" w:rsidP="00247032">
                  <w:r>
                    <w:t>Water (“Shipping Carrier”)</w:t>
                  </w:r>
                </w:p>
              </w:tc>
              <w:tc>
                <w:tcPr>
                  <w:tcW w:w="2072" w:type="dxa"/>
                </w:tcPr>
                <w:p w:rsidR="00EC1947" w:rsidRPr="00C904A4" w:rsidRDefault="00EC1947" w:rsidP="00904BF8">
                  <w:pPr>
                    <w:jc w:val="center"/>
                  </w:pPr>
                  <w:r>
                    <w:t>Passenger &amp; Cargo</w:t>
                  </w:r>
                </w:p>
              </w:tc>
              <w:tc>
                <w:tcPr>
                  <w:tcW w:w="4832" w:type="dxa"/>
                  <w:vAlign w:val="center"/>
                </w:tcPr>
                <w:p w:rsidR="00EC1947" w:rsidRDefault="00EC1947" w:rsidP="00EE4B59">
                  <w:pPr>
                    <w:pStyle w:val="ListParagraph"/>
                    <w:numPr>
                      <w:ilvl w:val="0"/>
                      <w:numId w:val="8"/>
                    </w:numPr>
                    <w:ind w:left="252" w:hanging="270"/>
                  </w:pPr>
                  <w:r>
                    <w:t>From and to Philippines - 12% VAT</w:t>
                  </w:r>
                </w:p>
                <w:p w:rsidR="00EC1947" w:rsidRPr="00C904A4" w:rsidRDefault="00EC1947" w:rsidP="00EE4B59">
                  <w:pPr>
                    <w:pStyle w:val="ListParagraph"/>
                    <w:numPr>
                      <w:ilvl w:val="0"/>
                      <w:numId w:val="8"/>
                    </w:numPr>
                    <w:ind w:left="252" w:hanging="270"/>
                  </w:pPr>
                  <w:r w:rsidRPr="00EC1947">
                    <w:t>From Philippines to another country</w:t>
                  </w:r>
                  <w:r>
                    <w:t xml:space="preserve"> - 0% VAT (Sec.108(B)(6), NIRC)</w:t>
                  </w:r>
                </w:p>
              </w:tc>
            </w:tr>
          </w:tbl>
          <w:p w:rsidR="00A3367E" w:rsidRPr="00793C56" w:rsidRDefault="00247032" w:rsidP="009D53C9">
            <w:pPr>
              <w:rPr>
                <w:b/>
              </w:rPr>
            </w:pPr>
            <w:r>
              <w:rPr>
                <w:b/>
              </w:rPr>
              <w:t xml:space="preserve"> </w:t>
            </w:r>
            <w:r w:rsidR="005F608A">
              <w:rPr>
                <w:b/>
              </w:rPr>
              <w:t xml:space="preserve">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582"/>
              <w:gridCol w:w="2070"/>
              <w:gridCol w:w="4832"/>
            </w:tblGrid>
            <w:tr w:rsidR="00793C56" w:rsidTr="00793C56">
              <w:trPr>
                <w:trHeight w:val="547"/>
              </w:trPr>
              <w:tc>
                <w:tcPr>
                  <w:tcW w:w="2582" w:type="dxa"/>
                </w:tcPr>
                <w:p w:rsidR="00793C56" w:rsidRPr="00C904A4" w:rsidRDefault="00793C56" w:rsidP="00793C56">
                  <w:pPr>
                    <w:jc w:val="center"/>
                    <w:rPr>
                      <w:b/>
                    </w:rPr>
                  </w:pPr>
                  <w:r w:rsidRPr="00C904A4">
                    <w:rPr>
                      <w:b/>
                    </w:rPr>
                    <w:t>Mode</w:t>
                  </w:r>
                </w:p>
              </w:tc>
              <w:tc>
                <w:tcPr>
                  <w:tcW w:w="2070" w:type="dxa"/>
                </w:tcPr>
                <w:p w:rsidR="00793C56" w:rsidRDefault="00793C56" w:rsidP="00793C56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Transport of</w:t>
                  </w:r>
                </w:p>
              </w:tc>
              <w:tc>
                <w:tcPr>
                  <w:tcW w:w="4832" w:type="dxa"/>
                </w:tcPr>
                <w:p w:rsidR="00A843EA" w:rsidRDefault="00793C56" w:rsidP="00793C56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 xml:space="preserve">International </w:t>
                  </w:r>
                  <w:r w:rsidR="00A843EA">
                    <w:rPr>
                      <w:b/>
                    </w:rPr>
                    <w:t>Carriers on their</w:t>
                  </w:r>
                </w:p>
                <w:p w:rsidR="00793C56" w:rsidRPr="00C904A4" w:rsidRDefault="00793C56" w:rsidP="00793C56">
                  <w:pPr>
                    <w:jc w:val="center"/>
                    <w:rPr>
                      <w:b/>
                    </w:rPr>
                  </w:pPr>
                  <w:bookmarkStart w:id="0" w:name="_GoBack"/>
                  <w:bookmarkEnd w:id="0"/>
                  <w:r>
                    <w:rPr>
                      <w:b/>
                    </w:rPr>
                    <w:t>Gross Philippine Billings</w:t>
                  </w:r>
                </w:p>
              </w:tc>
            </w:tr>
            <w:tr w:rsidR="00793C56" w:rsidTr="00793C56">
              <w:tc>
                <w:tcPr>
                  <w:tcW w:w="2582" w:type="dxa"/>
                  <w:vMerge w:val="restart"/>
                </w:tcPr>
                <w:p w:rsidR="00793C56" w:rsidRDefault="00793C56" w:rsidP="00793C56">
                  <w:r>
                    <w:t>Air (“Air Carrier”) and</w:t>
                  </w:r>
                </w:p>
                <w:p w:rsidR="00793C56" w:rsidRPr="00C904A4" w:rsidRDefault="00793C56" w:rsidP="00793C56">
                  <w:r>
                    <w:t>Water (“Shipping Carrier”)</w:t>
                  </w:r>
                </w:p>
              </w:tc>
              <w:tc>
                <w:tcPr>
                  <w:tcW w:w="2070" w:type="dxa"/>
                </w:tcPr>
                <w:p w:rsidR="00793C56" w:rsidRPr="00C904A4" w:rsidRDefault="00793C56" w:rsidP="00793C56">
                  <w:pPr>
                    <w:jc w:val="center"/>
                  </w:pPr>
                  <w:r>
                    <w:t>Passenger</w:t>
                  </w:r>
                </w:p>
              </w:tc>
              <w:tc>
                <w:tcPr>
                  <w:tcW w:w="4832" w:type="dxa"/>
                  <w:vAlign w:val="center"/>
                </w:tcPr>
                <w:p w:rsidR="00793C56" w:rsidRPr="00C904A4" w:rsidRDefault="00793C56" w:rsidP="00793C56">
                  <w:pPr>
                    <w:jc w:val="center"/>
                  </w:pPr>
                  <w:r>
                    <w:t>Exempt (Sec. 109, NIRC as amended by RA 10378)</w:t>
                  </w:r>
                </w:p>
              </w:tc>
            </w:tr>
            <w:tr w:rsidR="00793C56" w:rsidTr="00793C56">
              <w:tc>
                <w:tcPr>
                  <w:tcW w:w="2582" w:type="dxa"/>
                  <w:vMerge/>
                </w:tcPr>
                <w:p w:rsidR="00793C56" w:rsidRPr="00C904A4" w:rsidRDefault="00793C56" w:rsidP="00793C56"/>
              </w:tc>
              <w:tc>
                <w:tcPr>
                  <w:tcW w:w="2070" w:type="dxa"/>
                </w:tcPr>
                <w:p w:rsidR="00793C56" w:rsidRPr="00C904A4" w:rsidRDefault="00793C56" w:rsidP="00793C56">
                  <w:pPr>
                    <w:jc w:val="center"/>
                  </w:pPr>
                  <w:r>
                    <w:t>Cargo</w:t>
                  </w:r>
                </w:p>
              </w:tc>
              <w:tc>
                <w:tcPr>
                  <w:tcW w:w="4832" w:type="dxa"/>
                  <w:vAlign w:val="center"/>
                </w:tcPr>
                <w:p w:rsidR="00793C56" w:rsidRPr="00C904A4" w:rsidRDefault="00793C56" w:rsidP="00793C56">
                  <w:pPr>
                    <w:jc w:val="center"/>
                  </w:pPr>
                  <w:r>
                    <w:t>3% OPT (Sec. 118, NIRC as amended by RA 10378)</w:t>
                  </w:r>
                </w:p>
              </w:tc>
            </w:tr>
          </w:tbl>
          <w:p w:rsidR="009D5D70" w:rsidRDefault="00EC1947" w:rsidP="009D53C9">
            <w:r>
              <w:t xml:space="preserve"> </w:t>
            </w:r>
          </w:p>
        </w:tc>
      </w:tr>
    </w:tbl>
    <w:p w:rsidR="00AE2F45" w:rsidRPr="000936DE" w:rsidRDefault="00AE2F45" w:rsidP="00483E37"/>
    <w:sectPr w:rsidR="00AE2F45" w:rsidRPr="000936DE" w:rsidSect="005618A1">
      <w:pgSz w:w="12240" w:h="18720" w:code="14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5143D"/>
    <w:multiLevelType w:val="hybridMultilevel"/>
    <w:tmpl w:val="1FDCA1D6"/>
    <w:lvl w:ilvl="0" w:tplc="4BCC287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DF1496"/>
    <w:multiLevelType w:val="hybridMultilevel"/>
    <w:tmpl w:val="7D00DEEC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25C1E1C"/>
    <w:multiLevelType w:val="hybridMultilevel"/>
    <w:tmpl w:val="4210B1A8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D150D57"/>
    <w:multiLevelType w:val="hybridMultilevel"/>
    <w:tmpl w:val="D502677A"/>
    <w:lvl w:ilvl="0" w:tplc="90FCBD26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7CD5655"/>
    <w:multiLevelType w:val="hybridMultilevel"/>
    <w:tmpl w:val="6FC09EAC"/>
    <w:lvl w:ilvl="0" w:tplc="4BCC287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FDF733A"/>
    <w:multiLevelType w:val="hybridMultilevel"/>
    <w:tmpl w:val="2892D84C"/>
    <w:lvl w:ilvl="0" w:tplc="549E959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C9D0A9A"/>
    <w:multiLevelType w:val="hybridMultilevel"/>
    <w:tmpl w:val="56148EF4"/>
    <w:lvl w:ilvl="0" w:tplc="AFFE2414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7AE8622B"/>
    <w:multiLevelType w:val="hybridMultilevel"/>
    <w:tmpl w:val="83C0DED0"/>
    <w:lvl w:ilvl="0" w:tplc="79F05B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2"/>
  </w:num>
  <w:num w:numId="5">
    <w:abstractNumId w:val="3"/>
  </w:num>
  <w:num w:numId="6">
    <w:abstractNumId w:val="0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963"/>
    <w:rsid w:val="00003B01"/>
    <w:rsid w:val="000576BB"/>
    <w:rsid w:val="000936DE"/>
    <w:rsid w:val="000C439F"/>
    <w:rsid w:val="001161B7"/>
    <w:rsid w:val="00154527"/>
    <w:rsid w:val="00180F46"/>
    <w:rsid w:val="00247032"/>
    <w:rsid w:val="00262F95"/>
    <w:rsid w:val="004074B8"/>
    <w:rsid w:val="004631E0"/>
    <w:rsid w:val="00483E37"/>
    <w:rsid w:val="004E327E"/>
    <w:rsid w:val="005618A1"/>
    <w:rsid w:val="005F608A"/>
    <w:rsid w:val="00626C87"/>
    <w:rsid w:val="0065495C"/>
    <w:rsid w:val="00757E23"/>
    <w:rsid w:val="00762F8F"/>
    <w:rsid w:val="00774DD5"/>
    <w:rsid w:val="00793C56"/>
    <w:rsid w:val="007B50CA"/>
    <w:rsid w:val="007C4B47"/>
    <w:rsid w:val="008D16B6"/>
    <w:rsid w:val="00904BF8"/>
    <w:rsid w:val="009261BE"/>
    <w:rsid w:val="009617C1"/>
    <w:rsid w:val="00992DEB"/>
    <w:rsid w:val="009D53C9"/>
    <w:rsid w:val="009D5D70"/>
    <w:rsid w:val="00A3367E"/>
    <w:rsid w:val="00A843EA"/>
    <w:rsid w:val="00A91E99"/>
    <w:rsid w:val="00AE2F45"/>
    <w:rsid w:val="00AF0AF2"/>
    <w:rsid w:val="00AF20D7"/>
    <w:rsid w:val="00B25963"/>
    <w:rsid w:val="00C71B53"/>
    <w:rsid w:val="00C904A4"/>
    <w:rsid w:val="00DA3E4F"/>
    <w:rsid w:val="00DC6156"/>
    <w:rsid w:val="00E262AA"/>
    <w:rsid w:val="00EC1947"/>
    <w:rsid w:val="00EE4B59"/>
    <w:rsid w:val="00F76DD5"/>
    <w:rsid w:val="00FF1508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8CD495-0ED6-4541-B213-C48C932E5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18A1"/>
    <w:pPr>
      <w:ind w:left="720"/>
      <w:contextualSpacing/>
    </w:pPr>
  </w:style>
  <w:style w:type="table" w:styleId="TableGrid">
    <w:name w:val="Table Grid"/>
    <w:basedOn w:val="TableNormal"/>
    <w:uiPriority w:val="39"/>
    <w:rsid w:val="005618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3</Pages>
  <Words>635</Words>
  <Characters>3620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38</cp:revision>
  <dcterms:created xsi:type="dcterms:W3CDTF">2017-01-19T13:58:00Z</dcterms:created>
  <dcterms:modified xsi:type="dcterms:W3CDTF">2017-01-22T03:54:00Z</dcterms:modified>
</cp:coreProperties>
</file>