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32" w:rsidRPr="00164C32" w:rsidRDefault="00164C32">
      <w:pPr>
        <w:rPr>
          <w:rFonts w:ascii="Calibri" w:hAnsi="Calibri" w:cs="Calibri"/>
          <w:b/>
          <w:color w:val="000000"/>
          <w:sz w:val="24"/>
          <w:szCs w:val="24"/>
        </w:rPr>
      </w:pPr>
      <w:proofErr w:type="spellStart"/>
      <w:r w:rsidRPr="00164C32">
        <w:rPr>
          <w:rFonts w:ascii="Calibri" w:hAnsi="Calibri" w:cs="Calibri"/>
          <w:b/>
          <w:color w:val="000000"/>
          <w:sz w:val="24"/>
          <w:szCs w:val="24"/>
        </w:rPr>
        <w:t>Situs</w:t>
      </w:r>
      <w:proofErr w:type="spellEnd"/>
      <w:r w:rsidRPr="00164C32">
        <w:rPr>
          <w:rFonts w:ascii="Calibri" w:hAnsi="Calibri" w:cs="Calibri"/>
          <w:b/>
          <w:color w:val="000000"/>
          <w:sz w:val="24"/>
          <w:szCs w:val="24"/>
        </w:rPr>
        <w:t xml:space="preserve"> of Intangible Personal Property</w:t>
      </w:r>
    </w:p>
    <w:p w:rsidR="003005FD" w:rsidRDefault="00164C32">
      <w:pPr>
        <w:rPr>
          <w:rFonts w:ascii="Calibri" w:hAnsi="Calibri" w:cs="Calibri"/>
          <w:color w:val="000000"/>
          <w:sz w:val="24"/>
          <w:szCs w:val="24"/>
        </w:rPr>
      </w:pPr>
      <w:r>
        <w:rPr>
          <w:rFonts w:ascii="Calibri" w:hAnsi="Calibri" w:cs="Calibri"/>
          <w:color w:val="000000"/>
          <w:sz w:val="24"/>
          <w:szCs w:val="24"/>
        </w:rPr>
        <w:t xml:space="preserve">Intangible personal property such as credits, bills receivable, bank deposits, bonds, promissory notes, mortgage loans, judgements and corporate stocks, does not admit of actual location, and as to such property, taxation is at the domicile of the owner. This is in accordance with the principle of </w:t>
      </w:r>
      <w:proofErr w:type="spellStart"/>
      <w:r>
        <w:rPr>
          <w:rFonts w:ascii="Calibri" w:hAnsi="Calibri" w:cs="Calibri"/>
          <w:color w:val="000000"/>
          <w:sz w:val="24"/>
          <w:szCs w:val="24"/>
        </w:rPr>
        <w:t>mobilia</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sequuntur</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personam</w:t>
      </w:r>
      <w:proofErr w:type="spellEnd"/>
      <w:r>
        <w:rPr>
          <w:rFonts w:ascii="Calibri" w:hAnsi="Calibri" w:cs="Calibri"/>
          <w:color w:val="000000"/>
          <w:sz w:val="24"/>
          <w:szCs w:val="24"/>
        </w:rPr>
        <w:t xml:space="preserve">- that the </w:t>
      </w:r>
      <w:proofErr w:type="spellStart"/>
      <w:r>
        <w:rPr>
          <w:rFonts w:ascii="Calibri" w:hAnsi="Calibri" w:cs="Calibri"/>
          <w:color w:val="000000"/>
          <w:sz w:val="24"/>
          <w:szCs w:val="24"/>
        </w:rPr>
        <w:t>situs</w:t>
      </w:r>
      <w:proofErr w:type="spellEnd"/>
      <w:r>
        <w:rPr>
          <w:rFonts w:ascii="Calibri" w:hAnsi="Calibri" w:cs="Calibri"/>
          <w:color w:val="000000"/>
          <w:sz w:val="24"/>
          <w:szCs w:val="24"/>
        </w:rPr>
        <w:t xml:space="preserve"> of personal property is the domicile of the owner. Income from intangible personal property, however, is generally taxable where the obligation arises.   Hence, income of a non-resident foreigner from shares of stock in a domestic corporation, whether as dividends or as gains from sale, are taxable in the Philippines.  The reason is that said shares receive the protection and benefit of our laws.  In the same manner, interest income from a loan is taxable in the state where the loan obligation arises</w:t>
      </w:r>
    </w:p>
    <w:p w:rsidR="00164C32" w:rsidRDefault="00164C32">
      <w:pPr>
        <w:rPr>
          <w:rFonts w:ascii="Calibri" w:hAnsi="Calibri" w:cs="Calibri"/>
          <w:color w:val="000000"/>
          <w:sz w:val="24"/>
          <w:szCs w:val="24"/>
        </w:rPr>
      </w:pPr>
    </w:p>
    <w:p w:rsidR="00164C32" w:rsidRDefault="00164C32">
      <w:pPr>
        <w:rPr>
          <w:rFonts w:ascii="Calibri" w:hAnsi="Calibri" w:cs="Calibri"/>
          <w:color w:val="000000"/>
          <w:sz w:val="24"/>
          <w:szCs w:val="24"/>
        </w:rPr>
      </w:pPr>
      <w:r>
        <w:rPr>
          <w:rFonts w:ascii="Calibri" w:hAnsi="Calibri" w:cs="Calibri"/>
          <w:color w:val="000000"/>
          <w:sz w:val="24"/>
          <w:szCs w:val="24"/>
        </w:rPr>
        <w:t xml:space="preserve">In addition, Sec 42E of Tax Code, states that for gain on sale of personal property purchase in one country and sold in another, taxation is at the place of sale. </w:t>
      </w:r>
    </w:p>
    <w:p w:rsidR="00C02A10" w:rsidRDefault="00C02A10">
      <w:pPr>
        <w:rPr>
          <w:rFonts w:ascii="Calibri" w:hAnsi="Calibri" w:cs="Calibri"/>
          <w:color w:val="000000"/>
          <w:sz w:val="24"/>
          <w:szCs w:val="24"/>
        </w:rPr>
      </w:pPr>
    </w:p>
    <w:p w:rsidR="00C02A10" w:rsidRPr="00C02A10" w:rsidRDefault="00C02A10">
      <w:pPr>
        <w:rPr>
          <w:rFonts w:ascii="Calibri" w:hAnsi="Calibri" w:cs="Calibri"/>
          <w:b/>
          <w:color w:val="000000"/>
          <w:sz w:val="24"/>
          <w:szCs w:val="24"/>
        </w:rPr>
      </w:pPr>
      <w:bookmarkStart w:id="0" w:name="_GoBack"/>
      <w:r w:rsidRPr="00C02A10">
        <w:rPr>
          <w:rFonts w:ascii="Calibri" w:hAnsi="Calibri" w:cs="Calibri"/>
          <w:b/>
          <w:color w:val="000000"/>
          <w:sz w:val="24"/>
          <w:szCs w:val="24"/>
        </w:rPr>
        <w:t>VAT and OPT on Carriers</w:t>
      </w:r>
    </w:p>
    <w:tbl>
      <w:tblPr>
        <w:tblStyle w:val="TableGrid"/>
        <w:tblW w:w="0" w:type="auto"/>
        <w:tblLook w:val="04A0" w:firstRow="1" w:lastRow="0" w:firstColumn="1" w:lastColumn="0" w:noHBand="0" w:noVBand="1"/>
      </w:tblPr>
      <w:tblGrid>
        <w:gridCol w:w="2533"/>
        <w:gridCol w:w="1603"/>
        <w:gridCol w:w="2872"/>
        <w:gridCol w:w="2342"/>
      </w:tblGrid>
      <w:tr w:rsidR="00C02A10" w:rsidTr="00120A4D">
        <w:tc>
          <w:tcPr>
            <w:tcW w:w="2582" w:type="dxa"/>
            <w:vMerge w:val="restart"/>
          </w:tcPr>
          <w:bookmarkEnd w:id="0"/>
          <w:p w:rsidR="00C02A10" w:rsidRPr="00C904A4" w:rsidRDefault="00C02A10" w:rsidP="00120A4D">
            <w:pPr>
              <w:jc w:val="center"/>
              <w:rPr>
                <w:b/>
              </w:rPr>
            </w:pPr>
            <w:r w:rsidRPr="00C904A4">
              <w:rPr>
                <w:b/>
              </w:rPr>
              <w:t>Mode</w:t>
            </w:r>
          </w:p>
        </w:tc>
        <w:tc>
          <w:tcPr>
            <w:tcW w:w="1620" w:type="dxa"/>
            <w:vMerge w:val="restart"/>
          </w:tcPr>
          <w:p w:rsidR="00C02A10" w:rsidRDefault="00C02A10" w:rsidP="00120A4D">
            <w:pPr>
              <w:jc w:val="center"/>
              <w:rPr>
                <w:b/>
              </w:rPr>
            </w:pPr>
            <w:r>
              <w:rPr>
                <w:b/>
              </w:rPr>
              <w:t>Transport of</w:t>
            </w:r>
          </w:p>
        </w:tc>
        <w:tc>
          <w:tcPr>
            <w:tcW w:w="5282" w:type="dxa"/>
            <w:gridSpan w:val="2"/>
          </w:tcPr>
          <w:p w:rsidR="00C02A10" w:rsidRPr="00C904A4" w:rsidRDefault="00C02A10" w:rsidP="00120A4D">
            <w:pPr>
              <w:jc w:val="center"/>
              <w:rPr>
                <w:b/>
              </w:rPr>
            </w:pPr>
            <w:r>
              <w:rPr>
                <w:b/>
              </w:rPr>
              <w:t>Carrier Type</w:t>
            </w:r>
          </w:p>
        </w:tc>
      </w:tr>
      <w:tr w:rsidR="00C02A10" w:rsidTr="00120A4D">
        <w:tc>
          <w:tcPr>
            <w:tcW w:w="2582" w:type="dxa"/>
            <w:vMerge/>
          </w:tcPr>
          <w:p w:rsidR="00C02A10" w:rsidRPr="00C904A4" w:rsidRDefault="00C02A10" w:rsidP="00120A4D">
            <w:pPr>
              <w:jc w:val="center"/>
              <w:rPr>
                <w:b/>
              </w:rPr>
            </w:pPr>
          </w:p>
        </w:tc>
        <w:tc>
          <w:tcPr>
            <w:tcW w:w="1620" w:type="dxa"/>
            <w:vMerge/>
          </w:tcPr>
          <w:p w:rsidR="00C02A10" w:rsidRPr="00C904A4" w:rsidRDefault="00C02A10" w:rsidP="00120A4D">
            <w:pPr>
              <w:jc w:val="center"/>
              <w:rPr>
                <w:b/>
              </w:rPr>
            </w:pPr>
          </w:p>
        </w:tc>
        <w:tc>
          <w:tcPr>
            <w:tcW w:w="2911" w:type="dxa"/>
          </w:tcPr>
          <w:p w:rsidR="00C02A10" w:rsidRPr="00C904A4" w:rsidRDefault="00C02A10" w:rsidP="00120A4D">
            <w:pPr>
              <w:jc w:val="center"/>
              <w:rPr>
                <w:b/>
              </w:rPr>
            </w:pPr>
            <w:r w:rsidRPr="00C904A4">
              <w:rPr>
                <w:b/>
              </w:rPr>
              <w:t>Domestic</w:t>
            </w:r>
          </w:p>
        </w:tc>
        <w:tc>
          <w:tcPr>
            <w:tcW w:w="2371" w:type="dxa"/>
          </w:tcPr>
          <w:p w:rsidR="00C02A10" w:rsidRPr="00C904A4" w:rsidRDefault="00C02A10" w:rsidP="00120A4D">
            <w:pPr>
              <w:jc w:val="center"/>
              <w:rPr>
                <w:b/>
              </w:rPr>
            </w:pPr>
            <w:r w:rsidRPr="00C904A4">
              <w:rPr>
                <w:b/>
              </w:rPr>
              <w:t>International</w:t>
            </w:r>
            <w:r>
              <w:rPr>
                <w:b/>
              </w:rPr>
              <w:t>*</w:t>
            </w:r>
          </w:p>
        </w:tc>
      </w:tr>
      <w:tr w:rsidR="00C02A10" w:rsidTr="00120A4D">
        <w:tc>
          <w:tcPr>
            <w:tcW w:w="2582" w:type="dxa"/>
            <w:vMerge w:val="restart"/>
          </w:tcPr>
          <w:p w:rsidR="00C02A10" w:rsidRPr="00C904A4" w:rsidRDefault="00C02A10" w:rsidP="00120A4D">
            <w:r w:rsidRPr="00C904A4">
              <w:t>Land</w:t>
            </w:r>
          </w:p>
        </w:tc>
        <w:tc>
          <w:tcPr>
            <w:tcW w:w="1620" w:type="dxa"/>
          </w:tcPr>
          <w:p w:rsidR="00C02A10" w:rsidRPr="00C904A4" w:rsidRDefault="00C02A10" w:rsidP="00120A4D">
            <w:pPr>
              <w:jc w:val="center"/>
            </w:pPr>
            <w:r>
              <w:t>Passenger</w:t>
            </w:r>
          </w:p>
        </w:tc>
        <w:tc>
          <w:tcPr>
            <w:tcW w:w="2911" w:type="dxa"/>
          </w:tcPr>
          <w:p w:rsidR="00C02A10" w:rsidRPr="00C904A4" w:rsidRDefault="00C02A10" w:rsidP="00120A4D">
            <w:pPr>
              <w:jc w:val="center"/>
            </w:pPr>
            <w:r>
              <w:t xml:space="preserve">Actual vs. Minimum </w:t>
            </w:r>
            <w:r>
              <w:rPr>
                <w:rFonts w:cstheme="minorHAnsi"/>
              </w:rPr>
              <w:t>↑</w:t>
            </w:r>
            <w:r>
              <w:t xml:space="preserve"> x 3% OPT</w:t>
            </w:r>
          </w:p>
        </w:tc>
        <w:tc>
          <w:tcPr>
            <w:tcW w:w="2371" w:type="dxa"/>
            <w:vMerge w:val="restart"/>
            <w:shd w:val="clear" w:color="auto" w:fill="AEAAAA" w:themeFill="background2" w:themeFillShade="BF"/>
          </w:tcPr>
          <w:p w:rsidR="00C02A10" w:rsidRPr="00C904A4" w:rsidRDefault="00C02A10" w:rsidP="00120A4D"/>
        </w:tc>
      </w:tr>
      <w:tr w:rsidR="00C02A10" w:rsidTr="00120A4D">
        <w:tc>
          <w:tcPr>
            <w:tcW w:w="2582" w:type="dxa"/>
            <w:vMerge/>
          </w:tcPr>
          <w:p w:rsidR="00C02A10" w:rsidRPr="00C904A4" w:rsidRDefault="00C02A10" w:rsidP="00120A4D"/>
        </w:tc>
        <w:tc>
          <w:tcPr>
            <w:tcW w:w="1620" w:type="dxa"/>
          </w:tcPr>
          <w:p w:rsidR="00C02A10" w:rsidRPr="00C904A4" w:rsidRDefault="00C02A10" w:rsidP="00120A4D">
            <w:pPr>
              <w:jc w:val="center"/>
            </w:pPr>
            <w:r>
              <w:t>Cargo</w:t>
            </w:r>
          </w:p>
        </w:tc>
        <w:tc>
          <w:tcPr>
            <w:tcW w:w="2911" w:type="dxa"/>
          </w:tcPr>
          <w:p w:rsidR="00C02A10" w:rsidRPr="00C904A4" w:rsidRDefault="00C02A10" w:rsidP="00120A4D">
            <w:pPr>
              <w:jc w:val="center"/>
            </w:pPr>
            <w:r>
              <w:t>12% VAT</w:t>
            </w:r>
          </w:p>
        </w:tc>
        <w:tc>
          <w:tcPr>
            <w:tcW w:w="2371" w:type="dxa"/>
            <w:vMerge/>
            <w:shd w:val="clear" w:color="auto" w:fill="AEAAAA" w:themeFill="background2" w:themeFillShade="BF"/>
          </w:tcPr>
          <w:p w:rsidR="00C02A10" w:rsidRPr="00C904A4" w:rsidRDefault="00C02A10" w:rsidP="00120A4D"/>
        </w:tc>
      </w:tr>
      <w:tr w:rsidR="00C02A10" w:rsidTr="00120A4D">
        <w:tc>
          <w:tcPr>
            <w:tcW w:w="2582" w:type="dxa"/>
            <w:vMerge w:val="restart"/>
          </w:tcPr>
          <w:p w:rsidR="00C02A10" w:rsidRDefault="00C02A10" w:rsidP="00120A4D">
            <w:r>
              <w:t>Air (“Air Carrier”) and</w:t>
            </w:r>
          </w:p>
          <w:p w:rsidR="00C02A10" w:rsidRPr="00C904A4" w:rsidRDefault="00C02A10" w:rsidP="00120A4D">
            <w:r>
              <w:t>Water (“Shipping Carrier”)</w:t>
            </w:r>
          </w:p>
        </w:tc>
        <w:tc>
          <w:tcPr>
            <w:tcW w:w="1620" w:type="dxa"/>
          </w:tcPr>
          <w:p w:rsidR="00C02A10" w:rsidRPr="00C904A4" w:rsidRDefault="00C02A10" w:rsidP="00120A4D">
            <w:pPr>
              <w:jc w:val="center"/>
            </w:pPr>
            <w:r>
              <w:t>Passenger</w:t>
            </w:r>
          </w:p>
        </w:tc>
        <w:tc>
          <w:tcPr>
            <w:tcW w:w="2911" w:type="dxa"/>
            <w:vMerge w:val="restart"/>
          </w:tcPr>
          <w:p w:rsidR="00C02A10" w:rsidRDefault="00C02A10" w:rsidP="00C02A10">
            <w:pPr>
              <w:pStyle w:val="ListParagraph"/>
              <w:numPr>
                <w:ilvl w:val="0"/>
                <w:numId w:val="1"/>
              </w:numPr>
              <w:ind w:left="252" w:hanging="270"/>
            </w:pPr>
            <w:r>
              <w:t>To and from any point in the Philippines - 12% VAT</w:t>
            </w:r>
          </w:p>
          <w:p w:rsidR="00C02A10" w:rsidRDefault="00C02A10" w:rsidP="00C02A10">
            <w:pPr>
              <w:pStyle w:val="ListParagraph"/>
              <w:numPr>
                <w:ilvl w:val="0"/>
                <w:numId w:val="1"/>
              </w:numPr>
              <w:ind w:left="252" w:hanging="270"/>
            </w:pPr>
            <w:r>
              <w:t>From Philippines to another country - 0% VAT (Sec.108(B)(6), NIRC)</w:t>
            </w:r>
          </w:p>
        </w:tc>
        <w:tc>
          <w:tcPr>
            <w:tcW w:w="2371" w:type="dxa"/>
            <w:shd w:val="clear" w:color="auto" w:fill="auto"/>
          </w:tcPr>
          <w:p w:rsidR="00C02A10" w:rsidRPr="00C904A4" w:rsidRDefault="00C02A10" w:rsidP="00120A4D">
            <w:r>
              <w:t>Exempt (Sec. 109, NIRC as amended by RA 10378)</w:t>
            </w:r>
          </w:p>
        </w:tc>
      </w:tr>
      <w:tr w:rsidR="00C02A10" w:rsidTr="00120A4D">
        <w:tc>
          <w:tcPr>
            <w:tcW w:w="2582" w:type="dxa"/>
            <w:vMerge/>
          </w:tcPr>
          <w:p w:rsidR="00C02A10" w:rsidRPr="00C904A4" w:rsidRDefault="00C02A10" w:rsidP="00120A4D"/>
        </w:tc>
        <w:tc>
          <w:tcPr>
            <w:tcW w:w="1620" w:type="dxa"/>
          </w:tcPr>
          <w:p w:rsidR="00C02A10" w:rsidRPr="00C904A4" w:rsidRDefault="00C02A10" w:rsidP="00120A4D">
            <w:pPr>
              <w:jc w:val="center"/>
            </w:pPr>
            <w:r>
              <w:t>Cargo</w:t>
            </w:r>
          </w:p>
        </w:tc>
        <w:tc>
          <w:tcPr>
            <w:tcW w:w="2911" w:type="dxa"/>
            <w:vMerge/>
          </w:tcPr>
          <w:p w:rsidR="00C02A10" w:rsidRDefault="00C02A10" w:rsidP="00120A4D">
            <w:pPr>
              <w:jc w:val="center"/>
            </w:pPr>
          </w:p>
        </w:tc>
        <w:tc>
          <w:tcPr>
            <w:tcW w:w="2371" w:type="dxa"/>
            <w:shd w:val="clear" w:color="auto" w:fill="auto"/>
          </w:tcPr>
          <w:p w:rsidR="00C02A10" w:rsidRPr="00C904A4" w:rsidRDefault="00C02A10" w:rsidP="00120A4D">
            <w:r>
              <w:t>3% OPT (Sec. 118, NIRC as amended by RA 10378)</w:t>
            </w:r>
          </w:p>
        </w:tc>
      </w:tr>
    </w:tbl>
    <w:p w:rsidR="00C02A10" w:rsidRDefault="00C02A10"/>
    <w:sectPr w:rsidR="00C0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143D"/>
    <w:multiLevelType w:val="hybridMultilevel"/>
    <w:tmpl w:val="1FDCA1D6"/>
    <w:lvl w:ilvl="0" w:tplc="4BCC287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20"/>
    <w:rsid w:val="00164C32"/>
    <w:rsid w:val="003005FD"/>
    <w:rsid w:val="00A46420"/>
    <w:rsid w:val="00C0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1EC85-B488-413B-AC57-FCAF77A8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10"/>
    <w:pPr>
      <w:ind w:left="720"/>
      <w:contextualSpacing/>
    </w:pPr>
  </w:style>
  <w:style w:type="table" w:styleId="TableGrid">
    <w:name w:val="Table Grid"/>
    <w:basedOn w:val="TableNormal"/>
    <w:uiPriority w:val="39"/>
    <w:rsid w:val="00C0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2017-01-17T03:07:00Z</dcterms:created>
  <dcterms:modified xsi:type="dcterms:W3CDTF">2017-01-22T03:34:00Z</dcterms:modified>
</cp:coreProperties>
</file>