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Economics of Widget Regulation</w:t>
      </w:r>
    </w:p>
    <w:p>
      <w:r>
        <w:t>Jane Q. Author, Example University, jane.author@example.edu</w:t>
      </w:r>
    </w:p>
    <w:p>
      <w:r>
        <w:t>Widget markets have long attracted the attention of economists studying regulatory intervention and its welfare consequences.</w:t>
      </w:r>
      <w:r>
        <w:rPr>
          <w:rStyle w:val="FootnoteReference"/>
        </w:rPr>
        <w:footnoteReference w:id="1"/>
      </w:r>
    </w:p>
    <w:p>
      <w:r>
        <w:t>Early empirical work suggested that price controls on widgets reduced consumer surplus over the short run.</w:t>
      </w:r>
      <w:r>
        <w:rPr>
          <w:rStyle w:val="FootnoteReference"/>
        </w:rPr>
        <w:footnoteReference w:id="2"/>
      </w:r>
    </w:p>
    <w:p>
      <w:r>
        <w:t>Subsequent studies revisited these findings using richer panel data and more credible identification.</w:t>
      </w:r>
      <w:r>
        <w:rPr>
          <w:rStyle w:val="FootnoteReference"/>
        </w:rPr>
        <w:footnoteReference w:id="3"/>
      </w:r>
    </w:p>
    <w:p>
      <w:r>
        <w:t>The theoretical mechanism connecting entry barriers to observed markups remains contested throughout the literature.</w:t>
      </w:r>
      <w:r>
        <w:rPr>
          <w:rStyle w:val="FootnoteReference"/>
        </w:rPr>
        <w:footnoteReference w:id="4"/>
      </w:r>
    </w:p>
    <w:p>
      <w:r>
        <w:t>Recent policy proposals emphasize transparency requirements and standardized disclosure for widget manufacturers.</w:t>
      </w:r>
      <w:r>
        <w:rPr>
          <w:rStyle w:val="FootnoteReference"/>
        </w:rPr>
        <w:footnoteReference w:id="5"/>
      </w:r>
    </w:p>
    <w:p>
      <w:r>
        <w:t>This article proceeds in four parts, beginning with the institutional background of widget regulation.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Jane Q. Author &amp; John B. Scholar, </w:t>
      </w:r>
      <w:r>
        <w:rPr>
          <w:i/>
        </w:rPr>
        <w:t xml:space="preserve">The Economics of Widget Regulation</w:t>
      </w:r>
      <w:r>
        <w:t xml:space="preserve">, 12 J. Widget Stud. 345 (2020).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/>
        </w:rPr>
        <w:t xml:space="preserve">Id.</w:t>
      </w:r>
      <w:r>
        <w:t xml:space="preserve"> at 350.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Author &amp; Scholar, </w:t>
      </w:r>
      <w:r>
        <w:rPr>
          <w:i/>
        </w:rPr>
        <w:t xml:space="preserve">supra</w:t>
      </w:r>
      <w:r>
        <w:t xml:space="preserve"> note 1, at 347.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magnitude of these effects depends on identifying assumptions that the empirical design cannot fully test.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 the underlying dataset, see https://example.edu/widget-data (last visited Jan. 1, 2020).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