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2C8F1FBC" w:rsidR="0098294F" w:rsidRDefault="0098294F" w:rsidP="00172122">
      <w:r w:rsidRPr="00172122">
        <w:t>Theory</w:t>
      </w:r>
      <w:r w:rsidR="00D77E13">
        <w:t>, Development,</w:t>
      </w:r>
      <w:r w:rsidR="003271E2">
        <w:t xml:space="preserve"> </w:t>
      </w:r>
      <w:r w:rsidR="00D77E13">
        <w:t>and</w:t>
      </w:r>
      <w:r w:rsidR="003271E2">
        <w:t xml:space="preserve"> </w:t>
      </w:r>
      <w:r w:rsidR="003271E2" w:rsidRPr="00172122">
        <w:t>Conceptualization</w:t>
      </w:r>
    </w:p>
    <w:p w14:paraId="4D5A5C5F" w14:textId="44B2B5D4" w:rsidR="00FD0442" w:rsidRDefault="00CA6A3E" w:rsidP="00172122">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w:t>
      </w:r>
      <w:r w:rsidR="00E03F5E">
        <w:lastRenderedPageBreak/>
        <w:t xml:space="preserve">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lastRenderedPageBreak/>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lastRenderedPageBreak/>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lastRenderedPageBreak/>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lastRenderedPageBreak/>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lastRenderedPageBreak/>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t xml:space="preserve">Chatterjee, S., Moody, G. D., Lowry, P. B., Chakraborty, S., &amp; Hardin, A. (2021). The nonlinear influence of harmonious information technology affordance on </w:t>
      </w:r>
      <w:proofErr w:type="spellStart"/>
      <w:r w:rsidRPr="00E678E0">
        <w:t>organisational</w:t>
      </w:r>
      <w:proofErr w:type="spellEnd"/>
      <w:r w:rsidRPr="00E678E0">
        <w:t xml:space="preserve"> innovation. Information Systems Journal, 31(3), 294–322. https://doi.org/10.1111/isj.12311</w:t>
      </w:r>
    </w:p>
    <w:p w14:paraId="26C594A1" w14:textId="6171C749" w:rsidR="00486C86" w:rsidRPr="00E678E0" w:rsidRDefault="00486C86" w:rsidP="00E678E0">
      <w:r w:rsidRPr="00E678E0">
        <w:t>Chatterjee, S., Moody, G., Lowry, P. B., Chakraborty, S., &amp; Hardin, A. (2015). Strategic relevance of organizational virtues enabled by information technology in organizational innovation. Journal of Management Information Systems, 32(3), 158–196. https://doi.org/10.1080/07421222.2015.1099180</w:t>
      </w:r>
    </w:p>
    <w:p w14:paraId="33EBED68" w14:textId="397EED5B" w:rsidR="00486C86" w:rsidRPr="00E678E0" w:rsidRDefault="00486C86" w:rsidP="00E678E0">
      <w:r w:rsidRPr="00E678E0">
        <w:lastRenderedPageBreak/>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Li, Y., S. Zahra and S. Lan. 2017. Heterogeneity in New Venture Formation Rates across Nations: The Schumpeterian and Institutional Economics Views. Entrepreneurial Finance: Managerial and Policy Implications. 1-35. Lead article</w:t>
      </w:r>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Chatterjee, S., Chakraborty, S., Fulk, K., &amp; Lowry, P. B. (2024). The role of dissonant relational multiplexity in information system implementation failures. Journal of the Association for Information Systems (JAIS). Advance online publication. https://aisel.aisnet.org/jais/vol25/iss2/1/</w:t>
      </w:r>
    </w:p>
    <w:p w14:paraId="3FD6DA6F" w14:textId="77777777" w:rsidR="00486C86" w:rsidRPr="00E678E0" w:rsidRDefault="00486C86" w:rsidP="00E678E0">
      <w:r w:rsidRPr="00E678E0">
        <w:lastRenderedPageBreak/>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 xml:space="preserve">Oberlander, A. M., </w:t>
      </w:r>
      <w:proofErr w:type="spellStart"/>
      <w:r w:rsidRPr="00E678E0">
        <w:t>Roglinger</w:t>
      </w:r>
      <w:proofErr w:type="spellEnd"/>
      <w:r w:rsidRPr="00E678E0">
        <w:t>,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 xml:space="preserve">Wessel, L., </w:t>
      </w:r>
      <w:proofErr w:type="spellStart"/>
      <w:r w:rsidRPr="00E678E0">
        <w:t>Baiyere</w:t>
      </w:r>
      <w:proofErr w:type="spellEnd"/>
      <w:r w:rsidRPr="00E678E0">
        <w:t xml:space="preserve">, A., </w:t>
      </w:r>
      <w:proofErr w:type="spellStart"/>
      <w:r w:rsidRPr="00E678E0">
        <w:t>Ologeanu</w:t>
      </w:r>
      <w:proofErr w:type="spellEnd"/>
      <w:r w:rsidRPr="00E678E0">
        <w:t>-Taddei,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Saab, V., Miller, K., &amp; Yamat, K. L. (2024). Module Paper 1: Business Value Of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lastRenderedPageBreak/>
        <w:br/>
        <w:t xml:space="preserve">Chatterjee, S., Moody, G. D., Lowry, P. B., Chakraborty, S., &amp; Hardin, A. (2021). The </w:t>
      </w:r>
      <w:r w:rsidRPr="00E678E0">
        <w:br/>
        <w:t xml:space="preserve">nonlinear influence of harmonious information technology affordance on </w:t>
      </w:r>
      <w:r w:rsidRPr="00E678E0">
        <w:br/>
      </w:r>
      <w:proofErr w:type="spellStart"/>
      <w:r w:rsidRPr="00E678E0">
        <w:t>organisational</w:t>
      </w:r>
      <w:proofErr w:type="spellEnd"/>
      <w:r w:rsidRPr="00E678E0">
        <w:t xml:space="preserve">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proofErr w:type="spellStart"/>
      <w:r w:rsidRPr="00E678E0">
        <w:t>Hopp</w:t>
      </w:r>
      <w:proofErr w:type="spellEnd"/>
      <w:r w:rsidRPr="00E678E0">
        <w:t xml:space="preserve">,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t xml:space="preserve">Lyytinen, K., &amp; Rose, G. M. (2003). The disruptive nature of information technology </w:t>
      </w:r>
      <w:r w:rsidRPr="00E678E0">
        <w:br/>
        <w:t xml:space="preserve">innovations: The case of internet computing in systems development </w:t>
      </w:r>
      <w:r w:rsidRPr="00E678E0">
        <w:br/>
        <w:t xml:space="preserve">organizations. MIS Quarterly, 27(4), 557-595. </w:t>
      </w:r>
      <w:hyperlink r:id="rId12" w:history="1">
        <w:r w:rsidRPr="00E678E0">
          <w:rPr>
            <w:rStyle w:val="Hyperlink"/>
            <w:color w:val="1155CC"/>
          </w:rPr>
          <w:t>https://doi.org/10.2307/30036549</w:t>
        </w:r>
      </w:hyperlink>
      <w:r w:rsidRPr="00E678E0">
        <w:br/>
      </w:r>
    </w:p>
    <w:p w14:paraId="7499EB9B" w14:textId="36E0DBD0" w:rsidR="00457DEC" w:rsidRPr="00E678E0" w:rsidRDefault="00457DEC" w:rsidP="00E678E0">
      <w:r w:rsidRPr="00E678E0">
        <w:br/>
      </w:r>
    </w:p>
    <w:p w14:paraId="3C7FFF67" w14:textId="77777777" w:rsidR="00866324" w:rsidRPr="00E678E0" w:rsidRDefault="00866324" w:rsidP="00E678E0"/>
    <w:p w14:paraId="4B371B58" w14:textId="36A7C9D4" w:rsidR="00457DEC" w:rsidRDefault="00866324" w:rsidP="00E678E0">
      <w:proofErr w:type="spellStart"/>
      <w:r w:rsidRPr="00866324">
        <w:t>Slickcharts</w:t>
      </w:r>
      <w:proofErr w:type="spellEnd"/>
      <w:r w:rsidRPr="00866324">
        <w:t xml:space="preserve">. (n.d.). S&amp;P 500 ETF Components. </w:t>
      </w:r>
      <w:proofErr w:type="spellStart"/>
      <w:r w:rsidRPr="00866324">
        <w:t>Slickcharts</w:t>
      </w:r>
      <w:proofErr w:type="spellEnd"/>
      <w:r w:rsidRPr="00866324">
        <w:t xml:space="preserve">. Retrieved from </w:t>
      </w:r>
      <w:hyperlink r:id="rId13"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4"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7F3401"/>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www.slickcharts.com/sp500" TargetMode="Externa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fontTable" Target="fontTable.xm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infoandorg.2017.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12</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173</cp:revision>
  <dcterms:created xsi:type="dcterms:W3CDTF">2024-05-03T04:01:00Z</dcterms:created>
  <dcterms:modified xsi:type="dcterms:W3CDTF">2024-05-06T05:18:00Z</dcterms:modified>
</cp:coreProperties>
</file>