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D90CAEC" w14:textId="77777777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26C594A1" w14:textId="77777777" w:rsidR="00486C86" w:rsidRDefault="00486C86" w:rsidP="00486C86"/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lastRenderedPageBreak/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Default="00486C86" w:rsidP="00486C86"/>
    <w:p w14:paraId="4AE1353E" w14:textId="77777777" w:rsidR="00486C86" w:rsidRDefault="00486C86" w:rsidP="00486C86">
      <w:r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Default="00486C86" w:rsidP="00486C86"/>
    <w:p w14:paraId="560CAB79" w14:textId="77777777" w:rsidR="00486C86" w:rsidRDefault="00486C86" w:rsidP="00486C86">
      <w:r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Default="00486C86" w:rsidP="00486C86"/>
    <w:p w14:paraId="0EF3C95F" w14:textId="77777777" w:rsidR="00486C86" w:rsidRDefault="00486C86" w:rsidP="00486C86">
      <w:r>
        <w:t>United States Securities and Exchange Commission. (2024, April 11). Form 8-K: Current report [PDF file]. Retrieved from https://www.sec.gov/Archives/edgar/data/1018724/000110465924045915/tm246113d2_8k.htm</w:t>
      </w:r>
    </w:p>
    <w:p w14:paraId="3980E88D" w14:textId="77777777" w:rsidR="00486C86" w:rsidRDefault="00486C86" w:rsidP="00486C86"/>
    <w:p w14:paraId="2166350D" w14:textId="77777777" w:rsidR="00486C86" w:rsidRDefault="00486C86" w:rsidP="00486C86">
      <w:r>
        <w:t>Kolarovszki, Peter &amp; Tengler, Jiří &amp; Margita, Majerčáková. (2016). The New Model of Customer Segmentation in Postal Enterprises. Procedia - Social and Behavioral Sciences. 230. 10.1016/j.sbspro.2016.09.015. Retrieved from https://www.researchgate.net/publication/308737062_The_New_Model_of_Customer_Segmentation_in_Postal_Enterprises</w:t>
      </w:r>
    </w:p>
    <w:p w14:paraId="690E06AB" w14:textId="77777777" w:rsidR="00486C86" w:rsidRDefault="00486C86" w:rsidP="00486C86">
      <w:r>
        <w:t>Gittelsohn, J. (2023, March 15). Blackstone to Stop Payments on Las Vegas Office Campus. Bloomberg Law. https://news.bloomberglaw.com/mergers-and-acquisitions/blackstone-writes-down-500-million-las-vegas-office-campus</w:t>
      </w:r>
    </w:p>
    <w:p w14:paraId="5A22AAE2" w14:textId="77777777" w:rsidR="00486C86" w:rsidRDefault="00486C86" w:rsidP="00486C86">
      <w:r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lastRenderedPageBreak/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2E95EDF" w14:textId="77777777" w:rsidR="00457DEC" w:rsidRDefault="00457DEC" w:rsidP="00457DEC">
      <w:pPr>
        <w:pStyle w:val="Heading2"/>
        <w:rPr>
          <w:rFonts w:eastAsia="Arial"/>
        </w:rPr>
      </w:pPr>
      <w:r>
        <w:rPr>
          <w:rFonts w:eastAsia="Arial"/>
        </w:rPr>
        <w:t xml:space="preserve">References </w:t>
      </w:r>
    </w:p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  <w:t xml:space="preserve">organisational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lastRenderedPageBreak/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r>
        <w:t xml:space="preserve">Hopp,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r>
        <w:t xml:space="preserve">Benbya, H., Pachidi, S., &amp; Jarvenpaa,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Ismagilova,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lastRenderedPageBreak/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Microtribes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r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>and Exchange 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>decadelong odyssey. Bloomberg.</w:t>
      </w:r>
      <w:hyperlink r:id="rId29" w:history="1">
        <w:r>
          <w:rPr>
            <w:rStyle w:val="Hyperlink"/>
            <w:color w:val="1155CC"/>
          </w:rPr>
          <w:t>https://www.bloomberg.com/news/articles/2024-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lastRenderedPageBreak/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r>
        <w:t xml:space="preserve">Veritasium.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r>
        <w:t xml:space="preserve">Veritasium.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Of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Veritasium [Veritasium].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r>
        <w:t xml:space="preserve">PitchBook Data, Inc. (2024). Perplexity AI, Inc [Company profile]. Retrieved from </w:t>
      </w:r>
    </w:p>
    <w:p w14:paraId="725B0D8D" w14:textId="77777777" w:rsidR="00457DEC" w:rsidRDefault="00457DEC" w:rsidP="00457DEC">
      <w:r>
        <w:t xml:space="preserve">PitchBook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7626A"/>
    <w:rsid w:val="002F7AB0"/>
    <w:rsid w:val="00457DEC"/>
    <w:rsid w:val="00486C86"/>
    <w:rsid w:val="00547B61"/>
    <w:rsid w:val="008B3399"/>
    <w:rsid w:val="00A27575"/>
    <w:rsid w:val="00A730DF"/>
    <w:rsid w:val="00BF7059"/>
    <w:rsid w:val="00D37EBA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</cp:revision>
  <dcterms:created xsi:type="dcterms:W3CDTF">2024-05-03T04:01:00Z</dcterms:created>
  <dcterms:modified xsi:type="dcterms:W3CDTF">2024-05-04T07:53:00Z</dcterms:modified>
</cp:coreProperties>
</file>