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912C8B">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4E237982" w14:textId="77777777" w:rsidR="00A10CF4" w:rsidRDefault="00A10CF4" w:rsidP="000E5D16">
      <w:pPr>
        <w:spacing w:after="0" w:line="480" w:lineRule="auto"/>
        <w:jc w:val="center"/>
        <w:rPr>
          <w:b/>
          <w:bCs/>
        </w:rPr>
      </w:pPr>
    </w:p>
    <w:p w14:paraId="7BF0C9D7" w14:textId="77777777" w:rsidR="00F26506" w:rsidRDefault="00F26506" w:rsidP="000E5D16">
      <w:pPr>
        <w:spacing w:after="0" w:line="480" w:lineRule="auto"/>
        <w:jc w:val="center"/>
        <w:rPr>
          <w:b/>
          <w:bCs/>
        </w:rPr>
      </w:pPr>
    </w:p>
    <w:p w14:paraId="3E179C8D" w14:textId="798F8527" w:rsidR="00F26506" w:rsidRDefault="00F26506" w:rsidP="00F26506">
      <w:pPr>
        <w:spacing w:after="0" w:line="480" w:lineRule="auto"/>
      </w:pPr>
      <w:r>
        <w:t xml:space="preserve">Organizational courage related to HITA – increases </w:t>
      </w:r>
      <w:proofErr w:type="gramStart"/>
      <w:r>
        <w:t>revenue</w:t>
      </w:r>
      <w:proofErr w:type="gramEnd"/>
    </w:p>
    <w:p w14:paraId="7C838E56" w14:textId="50B517D3" w:rsidR="00F26506" w:rsidRPr="00F26506" w:rsidRDefault="00F26506" w:rsidP="00F26506">
      <w:pPr>
        <w:spacing w:after="0" w:line="480" w:lineRule="auto"/>
      </w:pPr>
      <w:r>
        <w:t xml:space="preserve">Organizational agility related to HITA – reduces </w:t>
      </w:r>
      <w:proofErr w:type="gramStart"/>
      <w:r>
        <w:t>risk</w:t>
      </w:r>
      <w:proofErr w:type="gramEnd"/>
    </w:p>
    <w:p w14:paraId="1FA00F2B" w14:textId="77777777" w:rsidR="00F26506" w:rsidRDefault="00F26506" w:rsidP="000E5D16">
      <w:pPr>
        <w:spacing w:after="0" w:line="480" w:lineRule="auto"/>
        <w:jc w:val="center"/>
        <w:rPr>
          <w:b/>
          <w:bCs/>
        </w:rPr>
      </w:pPr>
    </w:p>
    <w:p w14:paraId="480884F3" w14:textId="77777777" w:rsidR="00F26506" w:rsidRDefault="00F26506" w:rsidP="000E5D16">
      <w:pPr>
        <w:spacing w:after="0" w:line="480" w:lineRule="auto"/>
        <w:jc w:val="center"/>
        <w:rPr>
          <w:b/>
          <w:bCs/>
        </w:rPr>
      </w:pPr>
    </w:p>
    <w:p w14:paraId="033E983A" w14:textId="77777777" w:rsidR="00F26506" w:rsidRDefault="00F26506" w:rsidP="000E5D16">
      <w:pPr>
        <w:spacing w:after="0" w:line="480" w:lineRule="auto"/>
        <w:jc w:val="center"/>
        <w:rPr>
          <w:b/>
          <w:bCs/>
        </w:rPr>
      </w:pPr>
    </w:p>
    <w:p w14:paraId="2E910351" w14:textId="77777777" w:rsidR="00F26506" w:rsidRDefault="00F26506" w:rsidP="000E5D16">
      <w:pPr>
        <w:spacing w:after="0" w:line="480" w:lineRule="auto"/>
        <w:jc w:val="center"/>
        <w:rPr>
          <w:b/>
          <w:bCs/>
        </w:rPr>
      </w:pPr>
    </w:p>
    <w:p w14:paraId="2B1C60EA" w14:textId="5437DB96" w:rsidR="00F81C93" w:rsidRDefault="00F81C93" w:rsidP="000E5D16">
      <w:pPr>
        <w:spacing w:after="0" w:line="480" w:lineRule="auto"/>
      </w:pPr>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w:t>
      </w:r>
      <w:r w:rsidR="00F84A85">
        <w:lastRenderedPageBreak/>
        <w:t>there were issues with locating specific information held in the audio 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w:t>
      </w:r>
      <w:r w:rsidR="00F2630E">
        <w:lastRenderedPageBreak/>
        <w:t>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lastRenderedPageBreak/>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w:t>
      </w:r>
      <w:r>
        <w:lastRenderedPageBreak/>
        <w:t xml:space="preserve">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 xml:space="preserve">Discuss </w:t>
      </w:r>
      <w:proofErr w:type="gramStart"/>
      <w:r>
        <w:t>results</w:t>
      </w:r>
      <w:proofErr w:type="gramEnd"/>
    </w:p>
    <w:p w14:paraId="5790291D" w14:textId="77777777" w:rsidR="00393490" w:rsidRDefault="00393490" w:rsidP="00393490">
      <w:r>
        <w:t xml:space="preserve">Discuss Opportunities for further refinement of the </w:t>
      </w:r>
      <w:proofErr w:type="gramStart"/>
      <w:r>
        <w:t>model</w:t>
      </w:r>
      <w:proofErr w:type="gramEnd"/>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lastRenderedPageBreak/>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lastRenderedPageBreak/>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lastRenderedPageBreak/>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45F70DB0" w14:textId="77777777" w:rsidR="00DC159E" w:rsidRDefault="00DC159E" w:rsidP="009E2FE0">
      <w:pPr>
        <w:spacing w:after="0" w:line="240" w:lineRule="auto"/>
        <w:jc w:val="center"/>
        <w:rPr>
          <w:b/>
          <w:bCs/>
        </w:rPr>
      </w:pPr>
    </w:p>
    <w:p w14:paraId="588BE25C" w14:textId="77777777" w:rsidR="009E2FE0" w:rsidRPr="0094296B" w:rsidRDefault="009E2FE0" w:rsidP="009E2FE0">
      <w:pPr>
        <w:spacing w:after="0" w:line="240" w:lineRule="auto"/>
        <w:jc w:val="center"/>
        <w:rPr>
          <w:b/>
          <w:bCs/>
        </w:rPr>
      </w:pPr>
    </w:p>
    <w:p w14:paraId="0BBA5BFE" w14:textId="77777777" w:rsidR="00DC159E" w:rsidRDefault="00DC159E" w:rsidP="00DC159E">
      <w:pPr>
        <w:spacing w:after="0" w:line="240" w:lineRule="auto"/>
      </w:pPr>
      <w:r w:rsidRPr="00E678E0">
        <w:t xml:space="preserve">Anderson, C., &amp; Robey, D. (2017). Affordance potency: Explaining the actualization of </w:t>
      </w:r>
    </w:p>
    <w:p w14:paraId="0767C8F0" w14:textId="77777777" w:rsidR="00DC159E" w:rsidRDefault="00DC159E" w:rsidP="00DC159E">
      <w:pPr>
        <w:spacing w:after="0" w:line="240" w:lineRule="auto"/>
        <w:ind w:left="720"/>
      </w:pPr>
      <w:r w:rsidRPr="00E678E0">
        <w:br/>
        <w:t xml:space="preserve">technology affordances. Information and Organization, 27(2), 100-115. </w:t>
      </w:r>
      <w:r w:rsidRPr="00E678E0">
        <w:br/>
      </w:r>
    </w:p>
    <w:p w14:paraId="3394525D" w14:textId="77777777" w:rsidR="00DC159E" w:rsidRPr="00E678E0" w:rsidRDefault="00DC159E" w:rsidP="00DC159E">
      <w:pPr>
        <w:spacing w:after="0" w:line="240" w:lineRule="auto"/>
        <w:ind w:left="720"/>
        <w:rPr>
          <w:rStyle w:val="Hyperlink"/>
          <w:color w:val="1155CC"/>
        </w:rPr>
      </w:pPr>
      <w:hyperlink r:id="rId4" w:history="1">
        <w:r w:rsidRPr="00184EF3">
          <w:rPr>
            <w:rStyle w:val="Hyperlink"/>
          </w:rPr>
          <w:t>https://doi.org/10.1016/j.infoandorg.2017.03.002</w:t>
        </w:r>
      </w:hyperlink>
      <w:r>
        <w:rPr>
          <w:rStyle w:val="Hyperlink"/>
          <w:color w:val="1155CC"/>
        </w:rPr>
        <w:br/>
      </w:r>
      <w:r>
        <w:rPr>
          <w:rStyle w:val="Hyperlink"/>
          <w:color w:val="1155CC"/>
        </w:rPr>
        <w:br/>
      </w:r>
    </w:p>
    <w:p w14:paraId="1EDE69F7" w14:textId="77777777" w:rsidR="00DC159E" w:rsidRDefault="00DC159E" w:rsidP="009E2FE0">
      <w:pPr>
        <w:spacing w:after="0" w:line="240" w:lineRule="auto"/>
      </w:pPr>
      <w:r w:rsidRPr="00DC159E">
        <w:t xml:space="preserve">Chan, C. M. L., Teoh, S. Y., Yeow, A., &amp; Pan, G. (2019). Agility in responding to </w:t>
      </w:r>
      <w:proofErr w:type="gramStart"/>
      <w:r w:rsidRPr="00DC159E">
        <w:t>disruptive</w:t>
      </w:r>
      <w:proofErr w:type="gramEnd"/>
      <w:r w:rsidRPr="00DC159E">
        <w:t xml:space="preserve"> </w:t>
      </w:r>
    </w:p>
    <w:p w14:paraId="2581E2C5" w14:textId="77777777" w:rsidR="00DC159E" w:rsidRDefault="00DC159E" w:rsidP="00DC159E">
      <w:pPr>
        <w:spacing w:after="0" w:line="240" w:lineRule="auto"/>
        <w:ind w:firstLine="720"/>
      </w:pPr>
    </w:p>
    <w:p w14:paraId="37CE63B2" w14:textId="77777777" w:rsidR="00DC159E" w:rsidRDefault="00DC159E" w:rsidP="00DC159E">
      <w:pPr>
        <w:spacing w:after="0" w:line="240" w:lineRule="auto"/>
        <w:ind w:firstLine="720"/>
      </w:pPr>
      <w:r w:rsidRPr="00DC159E">
        <w:t xml:space="preserve">digital innovation: Case study of an SME. Information Systems Journal (Oxford, </w:t>
      </w:r>
    </w:p>
    <w:p w14:paraId="63886647" w14:textId="77777777" w:rsidR="00DC159E" w:rsidRDefault="00DC159E" w:rsidP="00DC159E">
      <w:pPr>
        <w:spacing w:after="0" w:line="240" w:lineRule="auto"/>
        <w:ind w:firstLine="720"/>
      </w:pPr>
    </w:p>
    <w:p w14:paraId="1C994480" w14:textId="03D37DA9" w:rsidR="00DC159E" w:rsidRDefault="00DC159E" w:rsidP="00DC159E">
      <w:pPr>
        <w:spacing w:after="0" w:line="240" w:lineRule="auto"/>
        <w:ind w:firstLine="720"/>
      </w:pPr>
      <w:r w:rsidRPr="00DC159E">
        <w:t xml:space="preserve">England), 29(2), 436–455. </w:t>
      </w:r>
      <w:hyperlink r:id="rId5" w:history="1">
        <w:r w:rsidRPr="00AD55C4">
          <w:rPr>
            <w:rStyle w:val="Hyperlink"/>
          </w:rPr>
          <w:t>https://doi.org/10.1111/isj.12215</w:t>
        </w:r>
      </w:hyperlink>
    </w:p>
    <w:p w14:paraId="76B0D37D" w14:textId="77777777" w:rsidR="00DC159E" w:rsidRDefault="00DC159E" w:rsidP="009E2FE0">
      <w:pPr>
        <w:spacing w:after="0" w:line="240" w:lineRule="auto"/>
      </w:pPr>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6"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7"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rPr>
          <w:rStyle w:val="Hyperlink"/>
        </w:rPr>
      </w:pPr>
      <w:r w:rsidRPr="00E678E0">
        <w:t xml:space="preserve">29, 101596. </w:t>
      </w:r>
      <w:hyperlink r:id="rId8" w:history="1">
        <w:r w:rsidR="003A5804" w:rsidRPr="00184EF3">
          <w:rPr>
            <w:rStyle w:val="Hyperlink"/>
          </w:rPr>
          <w:t>https://doi.org/10.1016/j.jsis.2020.101596</w:t>
        </w:r>
      </w:hyperlink>
    </w:p>
    <w:p w14:paraId="14BFA7AE" w14:textId="77777777" w:rsidR="00773D5E" w:rsidRDefault="00773D5E" w:rsidP="00773D5E">
      <w:pPr>
        <w:spacing w:after="0" w:line="240" w:lineRule="auto"/>
      </w:pPr>
      <w:r w:rsidRPr="00E678E0">
        <w:lastRenderedPageBreak/>
        <w:t xml:space="preserve">Chatterjee, S., Moody, G. D., Lowry, P. B., Chakraborty, S., &amp; Hardin, A. (2021). The nonlinear </w:t>
      </w:r>
    </w:p>
    <w:p w14:paraId="1790707E" w14:textId="77777777" w:rsidR="00773D5E" w:rsidRDefault="00773D5E" w:rsidP="00773D5E">
      <w:pPr>
        <w:spacing w:after="0" w:line="240" w:lineRule="auto"/>
        <w:ind w:left="720"/>
      </w:pPr>
      <w:r>
        <w:br/>
      </w:r>
      <w:r w:rsidRPr="00E678E0">
        <w:t xml:space="preserve">influence of harmonious information technology affordance on </w:t>
      </w:r>
      <w:proofErr w:type="spellStart"/>
      <w:r w:rsidRPr="00E678E0">
        <w:t>organisational</w:t>
      </w:r>
      <w:proofErr w:type="spellEnd"/>
      <w:r w:rsidRPr="00E678E0">
        <w:t xml:space="preserve"> innovation. </w:t>
      </w:r>
    </w:p>
    <w:p w14:paraId="1B3840AE" w14:textId="77777777" w:rsidR="00773D5E" w:rsidRDefault="00773D5E" w:rsidP="00773D5E">
      <w:pPr>
        <w:spacing w:after="0" w:line="240" w:lineRule="auto"/>
        <w:ind w:left="720"/>
      </w:pPr>
    </w:p>
    <w:p w14:paraId="581621CF" w14:textId="77777777" w:rsidR="00773D5E" w:rsidRDefault="00773D5E" w:rsidP="00773D5E">
      <w:pPr>
        <w:spacing w:after="0" w:line="240" w:lineRule="auto"/>
        <w:ind w:left="720"/>
      </w:pPr>
      <w:r w:rsidRPr="00E678E0">
        <w:t xml:space="preserve">Information Systems Journal, 31(3), 294–322. </w:t>
      </w:r>
      <w:hyperlink r:id="rId9" w:history="1">
        <w:r w:rsidRPr="00184EF3">
          <w:rPr>
            <w:rStyle w:val="Hyperlink"/>
          </w:rPr>
          <w:t>https://doi.org/10.1111/isj.12311</w:t>
        </w:r>
      </w:hyperlink>
    </w:p>
    <w:p w14:paraId="6523429F" w14:textId="77777777" w:rsidR="00773D5E" w:rsidRDefault="00773D5E" w:rsidP="009E2FE0">
      <w:pPr>
        <w:spacing w:after="0" w:line="240" w:lineRule="auto"/>
        <w:ind w:firstLine="720"/>
      </w:pPr>
    </w:p>
    <w:p w14:paraId="5C3199FC" w14:textId="77777777" w:rsidR="009E2FE0" w:rsidRDefault="009E2FE0" w:rsidP="009E2FE0">
      <w:pPr>
        <w:spacing w:after="0" w:line="240" w:lineRule="auto"/>
      </w:pPr>
    </w:p>
    <w:sectPr w:rsidR="009E2FE0" w:rsidSect="00912C8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567E"/>
    <w:rsid w:val="000C690B"/>
    <w:rsid w:val="000E5D16"/>
    <w:rsid w:val="000F6086"/>
    <w:rsid w:val="0010212A"/>
    <w:rsid w:val="001021FD"/>
    <w:rsid w:val="001701EC"/>
    <w:rsid w:val="00172122"/>
    <w:rsid w:val="00173765"/>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7DF4"/>
    <w:rsid w:val="00596230"/>
    <w:rsid w:val="00596EC0"/>
    <w:rsid w:val="005C238B"/>
    <w:rsid w:val="005C4EEE"/>
    <w:rsid w:val="00610D9A"/>
    <w:rsid w:val="00663701"/>
    <w:rsid w:val="00665896"/>
    <w:rsid w:val="006703C9"/>
    <w:rsid w:val="006738CA"/>
    <w:rsid w:val="00694876"/>
    <w:rsid w:val="00696D52"/>
    <w:rsid w:val="006D0CA0"/>
    <w:rsid w:val="006D1F52"/>
    <w:rsid w:val="006F00FD"/>
    <w:rsid w:val="006F7415"/>
    <w:rsid w:val="00710B3F"/>
    <w:rsid w:val="007371E1"/>
    <w:rsid w:val="00740F6F"/>
    <w:rsid w:val="00762D43"/>
    <w:rsid w:val="00773D5E"/>
    <w:rsid w:val="00774867"/>
    <w:rsid w:val="00775053"/>
    <w:rsid w:val="007C2CFC"/>
    <w:rsid w:val="007F3401"/>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2C8B"/>
    <w:rsid w:val="00913B89"/>
    <w:rsid w:val="0091642B"/>
    <w:rsid w:val="00934D4B"/>
    <w:rsid w:val="0094296B"/>
    <w:rsid w:val="00975EBA"/>
    <w:rsid w:val="0098294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C3A43"/>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75916"/>
    <w:rsid w:val="00C9280F"/>
    <w:rsid w:val="00CA6A3E"/>
    <w:rsid w:val="00CB7D5B"/>
    <w:rsid w:val="00CC71E3"/>
    <w:rsid w:val="00CF04C6"/>
    <w:rsid w:val="00CF4096"/>
    <w:rsid w:val="00D261AF"/>
    <w:rsid w:val="00D26944"/>
    <w:rsid w:val="00D37EBA"/>
    <w:rsid w:val="00D77E13"/>
    <w:rsid w:val="00D95D73"/>
    <w:rsid w:val="00DA04D5"/>
    <w:rsid w:val="00DA3D07"/>
    <w:rsid w:val="00DA415C"/>
    <w:rsid w:val="00DC159E"/>
    <w:rsid w:val="00DC6BFF"/>
    <w:rsid w:val="00DD1D31"/>
    <w:rsid w:val="00DF280C"/>
    <w:rsid w:val="00E03F5E"/>
    <w:rsid w:val="00E051F1"/>
    <w:rsid w:val="00E065E0"/>
    <w:rsid w:val="00E07A94"/>
    <w:rsid w:val="00E16A7A"/>
    <w:rsid w:val="00E27C44"/>
    <w:rsid w:val="00E41399"/>
    <w:rsid w:val="00E527B9"/>
    <w:rsid w:val="00E678E0"/>
    <w:rsid w:val="00E91B6F"/>
    <w:rsid w:val="00ED2CC6"/>
    <w:rsid w:val="00EE17B2"/>
    <w:rsid w:val="00EF3BBA"/>
    <w:rsid w:val="00F06472"/>
    <w:rsid w:val="00F2630E"/>
    <w:rsid w:val="00F26506"/>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3" Type="http://schemas.openxmlformats.org/officeDocument/2006/relationships/webSettings" Target="webSettings.xml"/><Relationship Id="rId7" Type="http://schemas.openxmlformats.org/officeDocument/2006/relationships/hyperlink" Target="https://doi.org/10.1016/j.im.2016.03.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7421222.2015.1099180" TargetMode="External"/><Relationship Id="rId11" Type="http://schemas.openxmlformats.org/officeDocument/2006/relationships/theme" Target="theme/theme1.xml"/><Relationship Id="rId5" Type="http://schemas.openxmlformats.org/officeDocument/2006/relationships/hyperlink" Target="https://doi.org/10.1111/isj.12215" TargetMode="External"/><Relationship Id="rId10" Type="http://schemas.openxmlformats.org/officeDocument/2006/relationships/fontTable" Target="fontTable.xml"/><Relationship Id="rId4" Type="http://schemas.openxmlformats.org/officeDocument/2006/relationships/hyperlink" Target="https://doi.org/10.1016/j.infoandorg.2017.03.002" TargetMode="External"/><Relationship Id="rId9" Type="http://schemas.openxmlformats.org/officeDocument/2006/relationships/hyperlink" Target="https://doi.org/10.1111/isj.1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4048</TotalTime>
  <Pages>11</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230</cp:revision>
  <dcterms:created xsi:type="dcterms:W3CDTF">2024-05-03T04:01:00Z</dcterms:created>
  <dcterms:modified xsi:type="dcterms:W3CDTF">2024-05-07T21:08:00Z</dcterms:modified>
</cp:coreProperties>
</file>