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>Selection Used Random number generator 8 companies from sp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r w:rsidR="001E7975" w:rsidRPr="001E7975">
        <w:t>Coterra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31424132" w14:textId="397C9A2B" w:rsidR="00577DF4" w:rsidRPr="00172122" w:rsidRDefault="00577DF4" w:rsidP="00172122">
      <w:r>
        <w:t>Compare Intangible Assets and Revenue</w:t>
      </w:r>
    </w:p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Baiyere, A., Ologeanu-Taddei,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Ismagilova,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610D9A"/>
    <w:rsid w:val="006738CA"/>
    <w:rsid w:val="006F00FD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106</cp:revision>
  <dcterms:created xsi:type="dcterms:W3CDTF">2024-05-03T04:01:00Z</dcterms:created>
  <dcterms:modified xsi:type="dcterms:W3CDTF">2024-05-05T19:35:00Z</dcterms:modified>
</cp:coreProperties>
</file>