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9A5699">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w:t>
      </w:r>
      <w:proofErr w:type="gramStart"/>
      <w:r w:rsidR="009B15EB">
        <w:t>a</w:t>
      </w:r>
      <w:proofErr w:type="gramEnd"/>
      <w:r w:rsidR="009B15EB">
        <w:t xml:space="preserve"> organization’s HITA, this in turn determines how an organization pursues innovation, but this is depended on another factor: Affordance Actualization.</w:t>
      </w:r>
    </w:p>
    <w:p w14:paraId="05079C31" w14:textId="77777777" w:rsidR="00D72E25" w:rsidRDefault="00D72E25" w:rsidP="007F78B4">
      <w:pPr>
        <w:spacing w:after="0" w:line="480" w:lineRule="auto"/>
        <w:ind w:firstLine="720"/>
      </w:pPr>
    </w:p>
    <w:p w14:paraId="62127A59" w14:textId="77777777" w:rsidR="00D72E25" w:rsidRDefault="00D72E25" w:rsidP="007F78B4">
      <w:pPr>
        <w:spacing w:after="0" w:line="480" w:lineRule="auto"/>
        <w:ind w:firstLine="720"/>
      </w:pPr>
    </w:p>
    <w:p w14:paraId="04D9DAAA" w14:textId="77777777" w:rsidR="00D72E25" w:rsidRDefault="00D72E25" w:rsidP="007F78B4">
      <w:pPr>
        <w:spacing w:after="0" w:line="480" w:lineRule="auto"/>
        <w:ind w:firstLine="720"/>
      </w:pPr>
    </w:p>
    <w:p w14:paraId="6D44569B" w14:textId="77777777" w:rsidR="00D72E25" w:rsidRPr="0013047B" w:rsidRDefault="00D72E25" w:rsidP="007F78B4">
      <w:pPr>
        <w:spacing w:after="0" w:line="480" w:lineRule="auto"/>
        <w:ind w:firstLine="720"/>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w:t>
      </w:r>
      <w:r w:rsidR="00F84A85">
        <w:lastRenderedPageBreak/>
        <w:t>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lastRenderedPageBreak/>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lastRenderedPageBreak/>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lastRenderedPageBreak/>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9A56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5699"/>
    <w:rsid w:val="009A7E5F"/>
    <w:rsid w:val="009B10E1"/>
    <w:rsid w:val="009B15EB"/>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12</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246</cp:revision>
  <dcterms:created xsi:type="dcterms:W3CDTF">2024-05-03T04:01:00Z</dcterms:created>
  <dcterms:modified xsi:type="dcterms:W3CDTF">2024-05-07T22:37:00Z</dcterms:modified>
</cp:coreProperties>
</file>