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8680" w14:textId="49202E7C" w:rsidR="00BD238D" w:rsidRDefault="00BD238D">
      <w:r>
        <w:t>Startup Week Las Vegas, September 17</w:t>
      </w:r>
      <w:r w:rsidRPr="00BD238D">
        <w:rPr>
          <w:vertAlign w:val="superscript"/>
        </w:rPr>
        <w:t>th</w:t>
      </w:r>
      <w:r w:rsidR="00014CFC">
        <w:rPr>
          <w:vertAlign w:val="superscript"/>
        </w:rPr>
        <w:t xml:space="preserve">  </w:t>
      </w:r>
      <w:r w:rsidR="00014CFC">
        <w:t>2025</w:t>
      </w:r>
    </w:p>
    <w:p w14:paraId="5963503D" w14:textId="7CDD4DCB" w:rsidR="00BD238D" w:rsidRDefault="00BD238D">
      <w:r>
        <w:t>Talks Attended</w:t>
      </w:r>
      <w:r w:rsidR="00704255">
        <w:t>:</w:t>
      </w:r>
    </w:p>
    <w:p w14:paraId="4803CC2A" w14:textId="54BC3422" w:rsidR="00704255" w:rsidRDefault="00704255">
      <w:r w:rsidRPr="002F091F">
        <w:t>Fueling the Future: Deep Tech &amp; the NSF Regional Innovation Engine Opportunity</w:t>
      </w:r>
    </w:p>
    <w:p w14:paraId="29BED603" w14:textId="48FDA782" w:rsidR="00704255" w:rsidRDefault="00704255">
      <w:r w:rsidRPr="00704255">
        <w:t>The Path to Profitability: How Operational Excellence Fuels Funding and Sustainable Growth</w:t>
      </w:r>
    </w:p>
    <w:p w14:paraId="51F29F32" w14:textId="77777777" w:rsidR="00BD238D" w:rsidRDefault="00BD238D"/>
    <w:p w14:paraId="0E85457D" w14:textId="317E3002" w:rsidR="00BD238D" w:rsidRDefault="00BD238D">
      <w:r>
        <w:t>Kenneth Larot Yamat</w:t>
      </w:r>
    </w:p>
    <w:p w14:paraId="34F7AE0B" w14:textId="77777777" w:rsidR="00BD238D" w:rsidRDefault="00BD238D"/>
    <w:p w14:paraId="5821FC78" w14:textId="77777777" w:rsidR="00BD238D" w:rsidRDefault="00BD238D"/>
    <w:p w14:paraId="5E80B36B" w14:textId="77777777" w:rsidR="002F091F" w:rsidRDefault="002F091F"/>
    <w:p w14:paraId="03938F37" w14:textId="248D343F" w:rsidR="002F091F" w:rsidRDefault="002F091F">
      <w:r w:rsidRPr="002F091F">
        <w:t>Fueling the Future: Deep Tech &amp; the NSF Regional Innovation Engine Opportunity</w:t>
      </w:r>
    </w:p>
    <w:p w14:paraId="7A1305B4" w14:textId="77777777" w:rsidR="002F091F" w:rsidRDefault="002F091F"/>
    <w:p w14:paraId="05842373" w14:textId="23DF4A63" w:rsidR="002F091F" w:rsidRDefault="002F091F">
      <w:r w:rsidRPr="002F091F">
        <w:t>Notes: company name waver last year college of engineer. Free tree frogs building 10000 gallon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unique. Technologies utilized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br/>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Doe . Multiple phases disable analysis. Prototype and. National science foundation. High likely hood of usefulness SBIR . Research is commercially viable. Deep tech. 1 stem students commercializing. 2. Over time culture changes. 3. Maybe start some companies.</w:t>
      </w:r>
      <w:r w:rsidRPr="002F091F">
        <w:br/>
      </w:r>
      <w:r w:rsidRPr="002F091F">
        <w:br/>
      </w:r>
      <w:proofErr w:type="spellStart"/>
      <w:r w:rsidRPr="002F091F">
        <w:t>Icore</w:t>
      </w:r>
      <w:proofErr w:type="spellEnd"/>
      <w:r w:rsidRPr="002F091F">
        <w:t xml:space="preserve"> exits. Load balancing</w:t>
      </w:r>
      <w:r w:rsidRPr="002F091F">
        <w:br/>
      </w:r>
      <w:r w:rsidRPr="002F091F">
        <w:br/>
        <w:t>Milestones. Deep tech. Must guild of is echo chamber hype. Reality when customers begin to value. Paid transactions validate. Companies why does the company need to be built here. Ecosystem supporters why project satisfy those to answers.</w:t>
      </w:r>
      <w:r w:rsidRPr="002F091F">
        <w:br/>
      </w:r>
      <w:r w:rsidRPr="002F091F">
        <w:lastRenderedPageBreak/>
        <w:br/>
      </w:r>
      <w:proofErr w:type="spellStart"/>
      <w:r w:rsidRPr="002F091F">
        <w:t>Start up</w:t>
      </w:r>
      <w:proofErr w:type="spellEnd"/>
      <w:r w:rsidRPr="002F091F">
        <w:t xml:space="preserve"> venture. Findable deals in the ecosystem. Good deals always find money. Eco system lots of money. Number of fundable deals.</w:t>
      </w:r>
      <w:r w:rsidRPr="002F091F">
        <w:br/>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Trains angel conference accredited investors into angel investors. Angel conference 1864 is a seed fund. Angel does Nevada deals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very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lastRenderedPageBreak/>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r w:rsidRPr="002F091F">
        <w:t>svb</w:t>
      </w:r>
      <w:proofErr w:type="spellEnd"/>
      <w:r w:rsidRPr="002F091F">
        <w:t xml:space="preserve"> . Dry powder. Dried. Up . Priorities changed afterward. For us shift from growth at all costs to profitability.</w:t>
      </w:r>
      <w:r w:rsidRPr="002F091F">
        <w:br/>
      </w:r>
      <w:r w:rsidRPr="002F091F">
        <w:br/>
        <w:t>Contribution margin. . From comparison of gross margin breakdown. .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br/>
      </w:r>
      <w:r w:rsidRPr="002F091F">
        <w:br/>
      </w:r>
      <w:r w:rsidRPr="002F091F">
        <w:br/>
      </w:r>
      <w:r w:rsidRPr="002F091F">
        <w:br/>
      </w:r>
      <w:r w:rsidRPr="002F091F">
        <w:br/>
      </w:r>
      <w:r w:rsidRPr="002F091F">
        <w:br/>
      </w:r>
      <w:r w:rsidRPr="002F091F">
        <w:br/>
        <w:t xml:space="preserve">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w:t>
      </w:r>
      <w:r w:rsidRPr="002F091F">
        <w:lastRenderedPageBreak/>
        <w:t>Investors are prioritizing business fundamentals, with a clear path to profitability being a top criterion.</w:t>
      </w:r>
    </w:p>
    <w:sectPr w:rsidR="002F0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2F091F"/>
    <w:rsid w:val="004A6D13"/>
    <w:rsid w:val="00547B61"/>
    <w:rsid w:val="00704255"/>
    <w:rsid w:val="0091361C"/>
    <w:rsid w:val="00A0693F"/>
    <w:rsid w:val="00AA40E6"/>
    <w:rsid w:val="00BD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3</cp:revision>
  <dcterms:created xsi:type="dcterms:W3CDTF">2025-09-21T05:08:00Z</dcterms:created>
  <dcterms:modified xsi:type="dcterms:W3CDTF">2025-09-21T05:43:00Z</dcterms:modified>
</cp:coreProperties>
</file>