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BBB8A" w14:textId="77777777" w:rsidR="00E515E3" w:rsidRDefault="00E515E3" w:rsidP="00E515E3">
      <w:pPr>
        <w:jc w:val="center"/>
        <w:rPr>
          <w:rFonts w:ascii="Times New Roman" w:hAnsi="Times New Roman" w:cs="Times New Roman"/>
          <w:b/>
          <w:bCs/>
          <w:sz w:val="44"/>
          <w:szCs w:val="44"/>
        </w:rPr>
      </w:pPr>
    </w:p>
    <w:p w14:paraId="6987F6C2" w14:textId="77777777" w:rsidR="00E515E3" w:rsidRDefault="00E515E3" w:rsidP="00E515E3">
      <w:pPr>
        <w:jc w:val="center"/>
        <w:rPr>
          <w:rFonts w:ascii="Times New Roman" w:hAnsi="Times New Roman" w:cs="Times New Roman"/>
          <w:b/>
          <w:bCs/>
          <w:sz w:val="44"/>
          <w:szCs w:val="44"/>
        </w:rPr>
      </w:pPr>
    </w:p>
    <w:p w14:paraId="7D4042FA" w14:textId="77777777" w:rsidR="00E515E3" w:rsidRDefault="00E515E3" w:rsidP="00E515E3">
      <w:pPr>
        <w:jc w:val="center"/>
        <w:rPr>
          <w:rFonts w:ascii="Times New Roman" w:hAnsi="Times New Roman" w:cs="Times New Roman"/>
          <w:b/>
          <w:bCs/>
          <w:sz w:val="44"/>
          <w:szCs w:val="44"/>
        </w:rPr>
      </w:pPr>
    </w:p>
    <w:p w14:paraId="7E7D38E5" w14:textId="77777777" w:rsidR="00E515E3" w:rsidRDefault="00E515E3" w:rsidP="00E515E3">
      <w:pPr>
        <w:jc w:val="center"/>
        <w:rPr>
          <w:rFonts w:ascii="Times New Roman" w:hAnsi="Times New Roman" w:cs="Times New Roman"/>
          <w:b/>
          <w:bCs/>
          <w:sz w:val="44"/>
          <w:szCs w:val="44"/>
        </w:rPr>
      </w:pPr>
    </w:p>
    <w:p w14:paraId="440A2DF0" w14:textId="77777777" w:rsidR="00164C90" w:rsidRDefault="00164C90" w:rsidP="00E515E3">
      <w:pPr>
        <w:jc w:val="center"/>
        <w:rPr>
          <w:rFonts w:ascii="Times New Roman" w:hAnsi="Times New Roman" w:cs="Times New Roman"/>
          <w:b/>
          <w:bCs/>
          <w:sz w:val="44"/>
          <w:szCs w:val="44"/>
        </w:rPr>
      </w:pPr>
    </w:p>
    <w:p w14:paraId="1A9B76E6" w14:textId="6D3861DA" w:rsidR="00E515E3" w:rsidRPr="00164C90" w:rsidRDefault="00E515E3" w:rsidP="00AB2E00">
      <w:pPr>
        <w:jc w:val="center"/>
        <w:rPr>
          <w:rFonts w:ascii="Times New Roman" w:hAnsi="Times New Roman" w:cs="Times New Roman"/>
          <w:b/>
          <w:bCs/>
          <w:sz w:val="40"/>
          <w:szCs w:val="40"/>
        </w:rPr>
      </w:pPr>
      <w:r w:rsidRPr="00164C90">
        <w:rPr>
          <w:rFonts w:ascii="Times New Roman" w:hAnsi="Times New Roman" w:cs="Times New Roman"/>
          <w:b/>
          <w:bCs/>
          <w:sz w:val="40"/>
          <w:szCs w:val="40"/>
        </w:rPr>
        <w:t>Property</w:t>
      </w:r>
      <w:r w:rsidR="00AB2E00" w:rsidRPr="00164C90">
        <w:rPr>
          <w:rFonts w:ascii="Times New Roman" w:hAnsi="Times New Roman" w:cs="Times New Roman"/>
          <w:b/>
          <w:bCs/>
          <w:sz w:val="40"/>
          <w:szCs w:val="40"/>
        </w:rPr>
        <w:t xml:space="preserve">, </w:t>
      </w:r>
      <w:r w:rsidR="00AB2E00" w:rsidRPr="00164C90">
        <w:rPr>
          <w:rFonts w:ascii="Times New Roman" w:hAnsi="Times New Roman" w:cs="Times New Roman"/>
          <w:b/>
          <w:bCs/>
          <w:sz w:val="40"/>
          <w:szCs w:val="40"/>
        </w:rPr>
        <w:t>Plant,</w:t>
      </w:r>
      <w:r w:rsidR="00AB2E00" w:rsidRPr="00164C90">
        <w:rPr>
          <w:rFonts w:ascii="Times New Roman" w:hAnsi="Times New Roman" w:cs="Times New Roman"/>
          <w:b/>
          <w:bCs/>
          <w:sz w:val="40"/>
          <w:szCs w:val="40"/>
        </w:rPr>
        <w:t xml:space="preserve"> and </w:t>
      </w:r>
      <w:r w:rsidRPr="00164C90">
        <w:rPr>
          <w:rFonts w:ascii="Times New Roman" w:hAnsi="Times New Roman" w:cs="Times New Roman"/>
          <w:b/>
          <w:bCs/>
          <w:sz w:val="40"/>
          <w:szCs w:val="40"/>
        </w:rPr>
        <w:t>Equipment &amp; Intangible Assets</w:t>
      </w:r>
    </w:p>
    <w:p w14:paraId="3235CD42" w14:textId="5BE266B6" w:rsidR="00E515E3" w:rsidRDefault="00164C90" w:rsidP="00E515E3">
      <w:pPr>
        <w:jc w:val="center"/>
        <w:rPr>
          <w:rFonts w:ascii="Times New Roman" w:hAnsi="Times New Roman" w:cs="Times New Roman"/>
          <w:b/>
          <w:bCs/>
          <w:sz w:val="32"/>
          <w:szCs w:val="32"/>
        </w:rPr>
      </w:pPr>
      <w:r w:rsidRPr="00164C90">
        <w:rPr>
          <w:rFonts w:ascii="Times New Roman" w:hAnsi="Times New Roman" w:cs="Times New Roman"/>
          <w:b/>
          <w:bCs/>
          <w:sz w:val="32"/>
          <w:szCs w:val="32"/>
        </w:rPr>
        <w:t>Real-World Company Examples of Financial Accounting Concepts</w:t>
      </w:r>
    </w:p>
    <w:p w14:paraId="561D8BBF" w14:textId="77777777" w:rsidR="00164C90" w:rsidRPr="00164C90" w:rsidRDefault="00164C90" w:rsidP="00E515E3">
      <w:pPr>
        <w:jc w:val="center"/>
        <w:rPr>
          <w:rFonts w:ascii="Times New Roman" w:hAnsi="Times New Roman" w:cs="Times New Roman"/>
          <w:b/>
          <w:bCs/>
          <w:sz w:val="32"/>
          <w:szCs w:val="32"/>
        </w:rPr>
      </w:pPr>
    </w:p>
    <w:p w14:paraId="55102236" w14:textId="77777777" w:rsidR="00E515E3" w:rsidRPr="002544EA" w:rsidRDefault="00E515E3" w:rsidP="00E515E3">
      <w:pPr>
        <w:jc w:val="center"/>
        <w:rPr>
          <w:rFonts w:ascii="Times New Roman" w:hAnsi="Times New Roman" w:cs="Times New Roman"/>
          <w:sz w:val="36"/>
          <w:szCs w:val="36"/>
        </w:rPr>
      </w:pPr>
      <w:r w:rsidRPr="002544EA">
        <w:rPr>
          <w:rFonts w:ascii="Times New Roman" w:hAnsi="Times New Roman" w:cs="Times New Roman"/>
          <w:sz w:val="36"/>
          <w:szCs w:val="36"/>
        </w:rPr>
        <w:t>Kenneth Larot Yamat</w:t>
      </w:r>
    </w:p>
    <w:p w14:paraId="66FD4529" w14:textId="77777777" w:rsidR="00E515E3" w:rsidRPr="002544EA" w:rsidRDefault="00E515E3" w:rsidP="00E515E3">
      <w:pPr>
        <w:jc w:val="center"/>
        <w:rPr>
          <w:rFonts w:ascii="Times New Roman" w:hAnsi="Times New Roman" w:cs="Times New Roman"/>
          <w:sz w:val="36"/>
          <w:szCs w:val="36"/>
        </w:rPr>
      </w:pPr>
      <w:r w:rsidRPr="002544EA">
        <w:rPr>
          <w:rFonts w:ascii="Times New Roman" w:hAnsi="Times New Roman" w:cs="Times New Roman"/>
          <w:sz w:val="36"/>
          <w:szCs w:val="36"/>
        </w:rPr>
        <w:t>College of Business, The University of Nevada, Las Vegas</w:t>
      </w:r>
    </w:p>
    <w:p w14:paraId="1D53240B" w14:textId="13B021D6" w:rsidR="00E515E3" w:rsidRPr="002544EA" w:rsidRDefault="00E515E3" w:rsidP="00E515E3">
      <w:pPr>
        <w:jc w:val="center"/>
        <w:rPr>
          <w:rFonts w:ascii="Times New Roman" w:hAnsi="Times New Roman" w:cs="Times New Roman"/>
          <w:sz w:val="36"/>
          <w:szCs w:val="36"/>
        </w:rPr>
      </w:pPr>
      <w:r w:rsidRPr="002544EA">
        <w:rPr>
          <w:rFonts w:ascii="Times New Roman" w:hAnsi="Times New Roman" w:cs="Times New Roman"/>
          <w:sz w:val="36"/>
          <w:szCs w:val="36"/>
        </w:rPr>
        <w:t>ACC 60</w:t>
      </w:r>
      <w:r>
        <w:rPr>
          <w:rFonts w:ascii="Times New Roman" w:hAnsi="Times New Roman" w:cs="Times New Roman"/>
          <w:sz w:val="36"/>
          <w:szCs w:val="36"/>
        </w:rPr>
        <w:t>1</w:t>
      </w:r>
      <w:r w:rsidRPr="002544EA">
        <w:rPr>
          <w:rFonts w:ascii="Times New Roman" w:hAnsi="Times New Roman" w:cs="Times New Roman"/>
          <w:sz w:val="36"/>
          <w:szCs w:val="36"/>
        </w:rPr>
        <w:t xml:space="preserve">: </w:t>
      </w:r>
      <w:r>
        <w:rPr>
          <w:rFonts w:ascii="Times New Roman" w:hAnsi="Times New Roman" w:cs="Times New Roman"/>
          <w:sz w:val="36"/>
          <w:szCs w:val="36"/>
        </w:rPr>
        <w:t>Financial Reporting I</w:t>
      </w:r>
    </w:p>
    <w:p w14:paraId="199A6DED" w14:textId="40F90AC3" w:rsidR="00E515E3" w:rsidRPr="002544EA" w:rsidRDefault="00E515E3" w:rsidP="00E515E3">
      <w:pPr>
        <w:jc w:val="center"/>
        <w:rPr>
          <w:rFonts w:ascii="Times New Roman" w:hAnsi="Times New Roman" w:cs="Times New Roman"/>
          <w:sz w:val="36"/>
          <w:szCs w:val="36"/>
        </w:rPr>
      </w:pPr>
      <w:r>
        <w:rPr>
          <w:rFonts w:ascii="Times New Roman" w:hAnsi="Times New Roman" w:cs="Times New Roman"/>
          <w:sz w:val="36"/>
          <w:szCs w:val="36"/>
        </w:rPr>
        <w:t>Scott C. Jackson</w:t>
      </w:r>
      <w:r w:rsidRPr="002544EA">
        <w:rPr>
          <w:rFonts w:ascii="Times New Roman" w:hAnsi="Times New Roman" w:cs="Times New Roman"/>
          <w:sz w:val="36"/>
          <w:szCs w:val="36"/>
        </w:rPr>
        <w:t>, Ph.D.</w:t>
      </w:r>
    </w:p>
    <w:p w14:paraId="5477CBDA" w14:textId="1345B700" w:rsidR="00E515E3" w:rsidRDefault="00E515E3" w:rsidP="00E515E3">
      <w:pPr>
        <w:jc w:val="center"/>
        <w:rPr>
          <w:rFonts w:ascii="Times New Roman" w:hAnsi="Times New Roman" w:cs="Times New Roman"/>
          <w:sz w:val="36"/>
          <w:szCs w:val="36"/>
        </w:rPr>
      </w:pPr>
      <w:r>
        <w:rPr>
          <w:rFonts w:ascii="Times New Roman" w:hAnsi="Times New Roman" w:cs="Times New Roman"/>
          <w:sz w:val="36"/>
          <w:szCs w:val="36"/>
        </w:rPr>
        <w:t>November</w:t>
      </w:r>
      <w:r w:rsidRPr="002544EA">
        <w:rPr>
          <w:rFonts w:ascii="Times New Roman" w:hAnsi="Times New Roman" w:cs="Times New Roman"/>
          <w:sz w:val="36"/>
          <w:szCs w:val="36"/>
        </w:rPr>
        <w:t xml:space="preserve"> </w:t>
      </w:r>
      <w:r>
        <w:rPr>
          <w:rFonts w:ascii="Times New Roman" w:hAnsi="Times New Roman" w:cs="Times New Roman"/>
          <w:sz w:val="36"/>
          <w:szCs w:val="36"/>
        </w:rPr>
        <w:t>25</w:t>
      </w:r>
      <w:r w:rsidRPr="002544EA">
        <w:rPr>
          <w:rFonts w:ascii="Times New Roman" w:hAnsi="Times New Roman" w:cs="Times New Roman"/>
          <w:sz w:val="36"/>
          <w:szCs w:val="36"/>
          <w:vertAlign w:val="superscript"/>
        </w:rPr>
        <w:t>th</w:t>
      </w:r>
      <w:r w:rsidRPr="002544EA">
        <w:rPr>
          <w:rFonts w:ascii="Times New Roman" w:hAnsi="Times New Roman" w:cs="Times New Roman"/>
          <w:sz w:val="36"/>
          <w:szCs w:val="36"/>
        </w:rPr>
        <w:t>, 2024</w:t>
      </w:r>
    </w:p>
    <w:p w14:paraId="6874AEF5" w14:textId="77777777" w:rsidR="00917FD7" w:rsidRDefault="00917FD7" w:rsidP="00E515E3">
      <w:pPr>
        <w:jc w:val="center"/>
        <w:rPr>
          <w:rFonts w:ascii="Times New Roman" w:hAnsi="Times New Roman" w:cs="Times New Roman"/>
          <w:sz w:val="36"/>
          <w:szCs w:val="36"/>
        </w:rPr>
      </w:pPr>
    </w:p>
    <w:p w14:paraId="572FFE20" w14:textId="77777777" w:rsidR="00917FD7" w:rsidRDefault="00917FD7" w:rsidP="00E515E3">
      <w:pPr>
        <w:jc w:val="center"/>
        <w:rPr>
          <w:rFonts w:ascii="Times New Roman" w:hAnsi="Times New Roman" w:cs="Times New Roman"/>
          <w:sz w:val="36"/>
          <w:szCs w:val="36"/>
        </w:rPr>
      </w:pPr>
    </w:p>
    <w:p w14:paraId="7328F22F" w14:textId="77777777" w:rsidR="00917FD7" w:rsidRDefault="00917FD7" w:rsidP="00E515E3">
      <w:pPr>
        <w:jc w:val="center"/>
        <w:rPr>
          <w:rFonts w:ascii="Times New Roman" w:hAnsi="Times New Roman" w:cs="Times New Roman"/>
          <w:sz w:val="36"/>
          <w:szCs w:val="36"/>
        </w:rPr>
      </w:pPr>
    </w:p>
    <w:p w14:paraId="1FEE09D0" w14:textId="77777777" w:rsidR="00917FD7" w:rsidRDefault="00917FD7" w:rsidP="00E515E3">
      <w:pPr>
        <w:jc w:val="center"/>
        <w:rPr>
          <w:rFonts w:ascii="Times New Roman" w:hAnsi="Times New Roman" w:cs="Times New Roman"/>
          <w:sz w:val="36"/>
          <w:szCs w:val="36"/>
        </w:rPr>
      </w:pPr>
    </w:p>
    <w:p w14:paraId="06C155D9" w14:textId="77777777" w:rsidR="00917FD7" w:rsidRDefault="00917FD7" w:rsidP="00E515E3">
      <w:pPr>
        <w:jc w:val="center"/>
        <w:rPr>
          <w:rFonts w:ascii="Times New Roman" w:hAnsi="Times New Roman" w:cs="Times New Roman"/>
          <w:sz w:val="36"/>
          <w:szCs w:val="36"/>
        </w:rPr>
      </w:pPr>
    </w:p>
    <w:p w14:paraId="22E1BA36" w14:textId="77777777" w:rsidR="00917FD7" w:rsidRDefault="00917FD7" w:rsidP="00E515E3">
      <w:pPr>
        <w:jc w:val="center"/>
        <w:rPr>
          <w:rFonts w:ascii="Times New Roman" w:hAnsi="Times New Roman" w:cs="Times New Roman"/>
          <w:sz w:val="36"/>
          <w:szCs w:val="36"/>
        </w:rPr>
      </w:pPr>
    </w:p>
    <w:p w14:paraId="66221F01" w14:textId="77777777" w:rsidR="00917FD7" w:rsidRDefault="00917FD7" w:rsidP="00917FD7">
      <w:pPr>
        <w:rPr>
          <w:rFonts w:ascii="Times New Roman" w:hAnsi="Times New Roman" w:cs="Times New Roman"/>
          <w:sz w:val="36"/>
          <w:szCs w:val="36"/>
        </w:rPr>
      </w:pPr>
    </w:p>
    <w:p w14:paraId="6CE12FA5" w14:textId="77777777" w:rsidR="00CA08C0" w:rsidRPr="00CA08C0" w:rsidRDefault="00CA08C0" w:rsidP="00917FD7">
      <w:pPr>
        <w:rPr>
          <w:rFonts w:ascii="Times New Roman" w:hAnsi="Times New Roman" w:cs="Times New Roman"/>
        </w:rPr>
      </w:pPr>
    </w:p>
    <w:p w14:paraId="0E110D25" w14:textId="55C35ADC" w:rsidR="00CA08C0" w:rsidRPr="0058334A" w:rsidRDefault="00CA08C0" w:rsidP="005E3610">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lastRenderedPageBreak/>
        <w:tab/>
        <w:t xml:space="preserve">The purpose of this paper is to highlight differences in </w:t>
      </w:r>
      <w:r w:rsidR="008E0EC6" w:rsidRPr="0058334A">
        <w:rPr>
          <w:rFonts w:ascii="Times New Roman" w:hAnsi="Times New Roman" w:cs="Times New Roman"/>
          <w:sz w:val="24"/>
          <w:szCs w:val="24"/>
        </w:rPr>
        <w:t xml:space="preserve">the </w:t>
      </w:r>
      <w:r w:rsidRPr="0058334A">
        <w:rPr>
          <w:rFonts w:ascii="Times New Roman" w:hAnsi="Times New Roman" w:cs="Times New Roman"/>
          <w:sz w:val="24"/>
          <w:szCs w:val="24"/>
        </w:rPr>
        <w:t>accounting treatment of Property, Plant, and Equipment &amp; Intangible assets</w:t>
      </w:r>
      <w:r w:rsidR="008E0EC6" w:rsidRPr="0058334A">
        <w:rPr>
          <w:rFonts w:ascii="Times New Roman" w:hAnsi="Times New Roman" w:cs="Times New Roman"/>
          <w:sz w:val="24"/>
          <w:szCs w:val="24"/>
        </w:rPr>
        <w:t xml:space="preserve"> among different companies in a particular sector</w:t>
      </w:r>
      <w:r w:rsidRPr="0058334A">
        <w:rPr>
          <w:rFonts w:ascii="Times New Roman" w:hAnsi="Times New Roman" w:cs="Times New Roman"/>
          <w:sz w:val="24"/>
          <w:szCs w:val="24"/>
        </w:rPr>
        <w:t>.</w:t>
      </w:r>
      <w:r w:rsidR="005E3610" w:rsidRPr="0058334A">
        <w:rPr>
          <w:rFonts w:ascii="Times New Roman" w:hAnsi="Times New Roman" w:cs="Times New Roman"/>
          <w:sz w:val="24"/>
          <w:szCs w:val="24"/>
        </w:rPr>
        <w:t xml:space="preserve"> Each section of this paper will be broken up by sector and will continue until all sectors are represented, or the paper is cut short due to limitations of space or time.</w:t>
      </w:r>
    </w:p>
    <w:p w14:paraId="17FE06B7" w14:textId="1A47392E" w:rsidR="005E3610" w:rsidRPr="0058334A" w:rsidRDefault="005E3610" w:rsidP="00D46B15">
      <w:pPr>
        <w:spacing w:after="0" w:line="480" w:lineRule="auto"/>
        <w:ind w:firstLine="720"/>
        <w:rPr>
          <w:rFonts w:ascii="Times New Roman" w:hAnsi="Times New Roman" w:cs="Times New Roman"/>
          <w:sz w:val="24"/>
          <w:szCs w:val="24"/>
        </w:rPr>
      </w:pPr>
      <w:r w:rsidRPr="0058334A">
        <w:rPr>
          <w:rFonts w:ascii="Times New Roman" w:hAnsi="Times New Roman" w:cs="Times New Roman"/>
          <w:b/>
          <w:bCs/>
          <w:sz w:val="24"/>
          <w:szCs w:val="24"/>
        </w:rPr>
        <w:t>Energy</w:t>
      </w:r>
      <w:r w:rsidRPr="0058334A">
        <w:rPr>
          <w:rFonts w:ascii="Times New Roman" w:hAnsi="Times New Roman" w:cs="Times New Roman"/>
          <w:sz w:val="24"/>
          <w:szCs w:val="24"/>
        </w:rPr>
        <w:t xml:space="preserve">: </w:t>
      </w:r>
      <w:r w:rsidRPr="0058334A">
        <w:rPr>
          <w:rFonts w:ascii="Times New Roman" w:hAnsi="Times New Roman" w:cs="Times New Roman"/>
          <w:sz w:val="24"/>
          <w:szCs w:val="24"/>
        </w:rPr>
        <w:t>Schlumberger</w:t>
      </w:r>
      <w:r w:rsidRPr="0058334A">
        <w:rPr>
          <w:rFonts w:ascii="Times New Roman" w:hAnsi="Times New Roman" w:cs="Times New Roman"/>
          <w:sz w:val="24"/>
          <w:szCs w:val="24"/>
        </w:rPr>
        <w:t xml:space="preserve"> (SLB) </w:t>
      </w:r>
      <w:r w:rsidR="00FE0E5E" w:rsidRPr="0058334A">
        <w:rPr>
          <w:rFonts w:ascii="Times New Roman" w:hAnsi="Times New Roman" w:cs="Times New Roman"/>
          <w:sz w:val="24"/>
          <w:szCs w:val="24"/>
        </w:rPr>
        <w:t xml:space="preserve">and </w:t>
      </w:r>
      <w:r w:rsidRPr="0058334A">
        <w:rPr>
          <w:rFonts w:ascii="Times New Roman" w:hAnsi="Times New Roman" w:cs="Times New Roman"/>
          <w:sz w:val="24"/>
          <w:szCs w:val="24"/>
        </w:rPr>
        <w:t>Baker Hughes</w:t>
      </w:r>
      <w:r w:rsidRPr="0058334A">
        <w:rPr>
          <w:rFonts w:ascii="Times New Roman" w:hAnsi="Times New Roman" w:cs="Times New Roman"/>
          <w:sz w:val="24"/>
          <w:szCs w:val="24"/>
        </w:rPr>
        <w:t xml:space="preserve"> (BKR)</w:t>
      </w:r>
      <w:r w:rsidR="00FE0E5E" w:rsidRPr="0058334A">
        <w:rPr>
          <w:rFonts w:ascii="Times New Roman" w:hAnsi="Times New Roman" w:cs="Times New Roman"/>
          <w:sz w:val="24"/>
          <w:szCs w:val="24"/>
        </w:rPr>
        <w:t xml:space="preserve"> will represent the energy sector</w:t>
      </w:r>
      <w:r w:rsidR="00472849" w:rsidRPr="0058334A">
        <w:rPr>
          <w:rFonts w:ascii="Times New Roman" w:hAnsi="Times New Roman" w:cs="Times New Roman"/>
          <w:sz w:val="24"/>
          <w:szCs w:val="24"/>
        </w:rPr>
        <w:t>. These were selected using Fidelity’s Stock Screener Database tool (</w:t>
      </w:r>
      <w:r w:rsidR="00472849" w:rsidRPr="0058334A">
        <w:rPr>
          <w:rFonts w:ascii="Times New Roman" w:hAnsi="Times New Roman" w:cs="Times New Roman"/>
          <w:sz w:val="24"/>
          <w:szCs w:val="24"/>
        </w:rPr>
        <w:t>Fidelity Management &amp; Research Company</w:t>
      </w:r>
      <w:r w:rsidR="00472849" w:rsidRPr="0058334A">
        <w:rPr>
          <w:rFonts w:ascii="Times New Roman" w:hAnsi="Times New Roman" w:cs="Times New Roman"/>
          <w:sz w:val="24"/>
          <w:szCs w:val="24"/>
        </w:rPr>
        <w:t xml:space="preserve"> </w:t>
      </w:r>
      <w:r w:rsidR="00472849" w:rsidRPr="0058334A">
        <w:rPr>
          <w:rFonts w:ascii="Times New Roman" w:hAnsi="Times New Roman" w:cs="Times New Roman"/>
          <w:sz w:val="24"/>
          <w:szCs w:val="24"/>
        </w:rPr>
        <w:t>2024)</w:t>
      </w:r>
      <w:r w:rsidR="00D46B15" w:rsidRPr="0058334A">
        <w:rPr>
          <w:rFonts w:ascii="Times New Roman" w:hAnsi="Times New Roman" w:cs="Times New Roman"/>
          <w:sz w:val="24"/>
          <w:szCs w:val="24"/>
        </w:rPr>
        <w:t xml:space="preserve">. </w:t>
      </w:r>
      <w:r w:rsidR="00D46B15" w:rsidRPr="0058334A">
        <w:rPr>
          <w:rFonts w:ascii="Times New Roman" w:hAnsi="Times New Roman" w:cs="Times New Roman"/>
          <w:sz w:val="24"/>
          <w:szCs w:val="24"/>
        </w:rPr>
        <w:t>P</w:t>
      </w:r>
      <w:r w:rsidR="00D46B15" w:rsidRPr="0058334A">
        <w:rPr>
          <w:rFonts w:ascii="Times New Roman" w:hAnsi="Times New Roman" w:cs="Times New Roman"/>
          <w:sz w:val="24"/>
          <w:szCs w:val="24"/>
        </w:rPr>
        <w:t>W</w:t>
      </w:r>
      <w:r w:rsidR="00D46B15" w:rsidRPr="0058334A">
        <w:rPr>
          <w:rFonts w:ascii="Times New Roman" w:hAnsi="Times New Roman" w:cs="Times New Roman"/>
          <w:sz w:val="24"/>
          <w:szCs w:val="24"/>
        </w:rPr>
        <w:t>C</w:t>
      </w:r>
      <w:r w:rsidR="00D46B15" w:rsidRPr="0058334A">
        <w:rPr>
          <w:rFonts w:ascii="Times New Roman" w:hAnsi="Times New Roman" w:cs="Times New Roman"/>
          <w:sz w:val="24"/>
          <w:szCs w:val="24"/>
        </w:rPr>
        <w:t xml:space="preserve"> </w:t>
      </w:r>
      <w:r w:rsidR="00D46B15" w:rsidRPr="0058334A">
        <w:rPr>
          <w:rFonts w:ascii="Times New Roman" w:hAnsi="Times New Roman" w:cs="Times New Roman"/>
          <w:sz w:val="24"/>
          <w:szCs w:val="24"/>
        </w:rPr>
        <w:t>LLP</w:t>
      </w:r>
      <w:r w:rsidR="00D46B15" w:rsidRPr="0058334A">
        <w:rPr>
          <w:rFonts w:ascii="Times New Roman" w:hAnsi="Times New Roman" w:cs="Times New Roman"/>
          <w:sz w:val="24"/>
          <w:szCs w:val="24"/>
        </w:rPr>
        <w:t xml:space="preserve"> is listed as the auditor for Schlumberger, is listed on the NYSE, and has 5 locations </w:t>
      </w:r>
      <w:r w:rsidR="00995D40" w:rsidRPr="0058334A">
        <w:rPr>
          <w:rFonts w:ascii="Times New Roman" w:hAnsi="Times New Roman" w:cs="Times New Roman"/>
          <w:sz w:val="24"/>
          <w:szCs w:val="24"/>
        </w:rPr>
        <w:t xml:space="preserve">in 4 different countries </w:t>
      </w:r>
      <w:r w:rsidR="00D46B15" w:rsidRPr="0058334A">
        <w:rPr>
          <w:rFonts w:ascii="Times New Roman" w:hAnsi="Times New Roman" w:cs="Times New Roman"/>
          <w:sz w:val="24"/>
          <w:szCs w:val="24"/>
        </w:rPr>
        <w:t xml:space="preserve">listed as principal offices </w:t>
      </w:r>
      <w:r w:rsidR="006E567B" w:rsidRPr="0058334A">
        <w:rPr>
          <w:rFonts w:ascii="Times New Roman" w:hAnsi="Times New Roman" w:cs="Times New Roman"/>
          <w:sz w:val="24"/>
          <w:szCs w:val="24"/>
        </w:rPr>
        <w:t>and documents its assets on the Consolidated Balance Sheet</w:t>
      </w:r>
      <w:r w:rsidR="00472849" w:rsidRPr="0058334A">
        <w:rPr>
          <w:rFonts w:ascii="Times New Roman" w:hAnsi="Times New Roman" w:cs="Times New Roman"/>
          <w:sz w:val="24"/>
          <w:szCs w:val="24"/>
        </w:rPr>
        <w:t xml:space="preserve"> </w:t>
      </w:r>
      <w:r w:rsidR="00D46B15" w:rsidRPr="0058334A">
        <w:rPr>
          <w:rFonts w:ascii="Times New Roman" w:hAnsi="Times New Roman" w:cs="Times New Roman"/>
          <w:sz w:val="24"/>
          <w:szCs w:val="24"/>
        </w:rPr>
        <w:t>(</w:t>
      </w:r>
      <w:r w:rsidR="00D46B15" w:rsidRPr="0058334A">
        <w:rPr>
          <w:rFonts w:ascii="Times New Roman" w:hAnsi="Times New Roman" w:cs="Times New Roman"/>
          <w:sz w:val="24"/>
          <w:szCs w:val="24"/>
        </w:rPr>
        <w:t>Schlumberger</w:t>
      </w:r>
      <w:r w:rsidR="00D46B15" w:rsidRPr="0058334A">
        <w:rPr>
          <w:rFonts w:ascii="Times New Roman" w:hAnsi="Times New Roman" w:cs="Times New Roman"/>
          <w:sz w:val="24"/>
          <w:szCs w:val="24"/>
        </w:rPr>
        <w:t xml:space="preserve">, 10-K. 2024). </w:t>
      </w:r>
      <w:r w:rsidR="00D46B15" w:rsidRPr="0058334A">
        <w:rPr>
          <w:rFonts w:ascii="Times New Roman" w:hAnsi="Times New Roman" w:cs="Times New Roman"/>
          <w:sz w:val="24"/>
          <w:szCs w:val="24"/>
        </w:rPr>
        <w:t>KPMG LLP</w:t>
      </w:r>
      <w:r w:rsidR="00D46B15" w:rsidRPr="0058334A">
        <w:rPr>
          <w:rFonts w:ascii="Times New Roman" w:hAnsi="Times New Roman" w:cs="Times New Roman"/>
          <w:sz w:val="24"/>
          <w:szCs w:val="24"/>
        </w:rPr>
        <w:t xml:space="preserve"> is listed as the auditor for Baker Hughes and is publicly listed on the Nasdaq and has 2 locations, both in the United States, listed as principal offices</w:t>
      </w:r>
      <w:r w:rsidR="00995D40" w:rsidRPr="0058334A">
        <w:rPr>
          <w:rFonts w:ascii="Times New Roman" w:hAnsi="Times New Roman" w:cs="Times New Roman"/>
          <w:sz w:val="24"/>
          <w:szCs w:val="24"/>
        </w:rPr>
        <w:t xml:space="preserve"> </w:t>
      </w:r>
      <w:r w:rsidR="006E567B" w:rsidRPr="0058334A">
        <w:rPr>
          <w:rFonts w:ascii="Times New Roman" w:hAnsi="Times New Roman" w:cs="Times New Roman"/>
          <w:sz w:val="24"/>
          <w:szCs w:val="24"/>
        </w:rPr>
        <w:t xml:space="preserve">and documents it’s assets on the </w:t>
      </w:r>
      <w:r w:rsidR="006E567B" w:rsidRPr="0058334A">
        <w:rPr>
          <w:rFonts w:ascii="Times New Roman" w:hAnsi="Times New Roman" w:cs="Times New Roman"/>
          <w:sz w:val="24"/>
          <w:szCs w:val="24"/>
        </w:rPr>
        <w:t xml:space="preserve">Consolidated Statement of Financial Position </w:t>
      </w:r>
      <w:r w:rsidR="00995D40" w:rsidRPr="0058334A">
        <w:rPr>
          <w:rFonts w:ascii="Times New Roman" w:hAnsi="Times New Roman" w:cs="Times New Roman"/>
          <w:sz w:val="24"/>
          <w:szCs w:val="24"/>
        </w:rPr>
        <w:t>(Baker Hughes, 10-K. 2024)</w:t>
      </w:r>
      <w:r w:rsidR="00D46B15" w:rsidRPr="0058334A">
        <w:rPr>
          <w:rFonts w:ascii="Times New Roman" w:hAnsi="Times New Roman" w:cs="Times New Roman"/>
          <w:sz w:val="24"/>
          <w:szCs w:val="24"/>
        </w:rPr>
        <w:t>.</w:t>
      </w:r>
      <w:r w:rsidR="006E567B" w:rsidRPr="0058334A">
        <w:rPr>
          <w:rFonts w:ascii="Times New Roman" w:hAnsi="Times New Roman" w:cs="Times New Roman"/>
          <w:sz w:val="24"/>
          <w:szCs w:val="24"/>
        </w:rPr>
        <w:t xml:space="preserve"> When looking at how both companies treat intangible assets there aren’t any differences that seem substantially material. They cite different portions of the FASB codification for guidance over how they treat the “Other Intangibles” category, with Schlumberger citing </w:t>
      </w:r>
      <w:r w:rsidR="006E567B" w:rsidRPr="0058334A">
        <w:rPr>
          <w:rFonts w:ascii="Times New Roman" w:hAnsi="Times New Roman" w:cs="Times New Roman"/>
          <w:b/>
          <w:bCs/>
          <w:sz w:val="24"/>
          <w:szCs w:val="24"/>
        </w:rPr>
        <w:t xml:space="preserve">FASB </w:t>
      </w:r>
      <w:r w:rsidR="006E567B" w:rsidRPr="0058334A">
        <w:rPr>
          <w:rFonts w:ascii="Times New Roman" w:hAnsi="Times New Roman" w:cs="Times New Roman"/>
          <w:b/>
          <w:bCs/>
          <w:sz w:val="24"/>
          <w:szCs w:val="24"/>
        </w:rPr>
        <w:t>350-30-50-</w:t>
      </w:r>
      <w:r w:rsidR="006E567B" w:rsidRPr="0058334A">
        <w:rPr>
          <w:rFonts w:ascii="Times New Roman" w:hAnsi="Times New Roman" w:cs="Times New Roman"/>
          <w:sz w:val="24"/>
          <w:szCs w:val="24"/>
        </w:rPr>
        <w:t>1</w:t>
      </w:r>
      <w:r w:rsidR="006E567B" w:rsidRPr="0058334A">
        <w:rPr>
          <w:rFonts w:ascii="Times New Roman" w:hAnsi="Times New Roman" w:cs="Times New Roman"/>
          <w:sz w:val="24"/>
          <w:szCs w:val="24"/>
        </w:rPr>
        <w:t xml:space="preserve">, which deals with the treatment of other intangibles acquired through an acquisition, and Baker Hughes Citing </w:t>
      </w:r>
      <w:r w:rsidR="006E567B" w:rsidRPr="0058334A">
        <w:rPr>
          <w:rFonts w:ascii="Times New Roman" w:hAnsi="Times New Roman" w:cs="Times New Roman"/>
          <w:b/>
          <w:bCs/>
          <w:sz w:val="24"/>
          <w:szCs w:val="24"/>
        </w:rPr>
        <w:t>350-30-45-1</w:t>
      </w:r>
      <w:r w:rsidR="006E567B" w:rsidRPr="0058334A">
        <w:rPr>
          <w:rFonts w:ascii="Times New Roman" w:hAnsi="Times New Roman" w:cs="Times New Roman"/>
          <w:sz w:val="24"/>
          <w:szCs w:val="24"/>
        </w:rPr>
        <w:t xml:space="preserve"> which deals with how other intangibles should be amortized.</w:t>
      </w:r>
    </w:p>
    <w:p w14:paraId="2707E976" w14:textId="572EA90D" w:rsidR="00472849" w:rsidRPr="0058334A" w:rsidRDefault="00472849" w:rsidP="00D46B15">
      <w:pPr>
        <w:spacing w:after="0" w:line="480" w:lineRule="auto"/>
        <w:ind w:firstLine="720"/>
        <w:rPr>
          <w:rFonts w:ascii="Times New Roman" w:hAnsi="Times New Roman" w:cs="Times New Roman"/>
          <w:sz w:val="24"/>
          <w:szCs w:val="24"/>
        </w:rPr>
      </w:pPr>
      <w:r w:rsidRPr="0058334A">
        <w:rPr>
          <w:rFonts w:ascii="Times New Roman" w:hAnsi="Times New Roman" w:cs="Times New Roman"/>
          <w:b/>
          <w:bCs/>
          <w:sz w:val="24"/>
          <w:szCs w:val="24"/>
        </w:rPr>
        <w:t>Materials</w:t>
      </w:r>
      <w:r w:rsidRPr="0058334A">
        <w:rPr>
          <w:rFonts w:ascii="Times New Roman" w:hAnsi="Times New Roman" w:cs="Times New Roman"/>
          <w:sz w:val="24"/>
          <w:szCs w:val="24"/>
        </w:rPr>
        <w:t xml:space="preserve">: </w:t>
      </w:r>
      <w:r w:rsidRPr="0058334A">
        <w:rPr>
          <w:rFonts w:ascii="Times New Roman" w:hAnsi="Times New Roman" w:cs="Times New Roman"/>
          <w:sz w:val="24"/>
          <w:szCs w:val="24"/>
        </w:rPr>
        <w:t>Packaging Corporation of America</w:t>
      </w:r>
      <w:r w:rsidRPr="0058334A">
        <w:rPr>
          <w:rFonts w:ascii="Times New Roman" w:hAnsi="Times New Roman" w:cs="Times New Roman"/>
          <w:sz w:val="24"/>
          <w:szCs w:val="24"/>
        </w:rPr>
        <w:t xml:space="preserve"> (PKG) and </w:t>
      </w:r>
      <w:r w:rsidRPr="0058334A">
        <w:rPr>
          <w:rFonts w:ascii="Times New Roman" w:hAnsi="Times New Roman" w:cs="Times New Roman"/>
          <w:sz w:val="24"/>
          <w:szCs w:val="24"/>
        </w:rPr>
        <w:t>International Paper Company</w:t>
      </w:r>
      <w:r w:rsidRPr="0058334A">
        <w:rPr>
          <w:rFonts w:ascii="Times New Roman" w:hAnsi="Times New Roman" w:cs="Times New Roman"/>
          <w:sz w:val="24"/>
          <w:szCs w:val="24"/>
        </w:rPr>
        <w:t xml:space="preserve"> (IP) will represent the materials sector. These were selected using the same tool listed above (Fidelity 2024). Both companies have 2 offices listed as principal locations with all office locations listed inside the United States, both companies are publicly listed on the NYSE Packaging Corporation of America lists KPMG as their auditor (</w:t>
      </w:r>
      <w:r w:rsidRPr="0058334A">
        <w:rPr>
          <w:rFonts w:ascii="Times New Roman" w:hAnsi="Times New Roman" w:cs="Times New Roman"/>
          <w:sz w:val="24"/>
          <w:szCs w:val="24"/>
        </w:rPr>
        <w:t>Packaging Corporation of America</w:t>
      </w:r>
      <w:r w:rsidRPr="0058334A">
        <w:rPr>
          <w:rFonts w:ascii="Times New Roman" w:hAnsi="Times New Roman" w:cs="Times New Roman"/>
          <w:sz w:val="24"/>
          <w:szCs w:val="24"/>
        </w:rPr>
        <w:t xml:space="preserve">, 10-K, 2024) and International Paper </w:t>
      </w:r>
      <w:r w:rsidR="00690434" w:rsidRPr="0058334A">
        <w:rPr>
          <w:rFonts w:ascii="Times New Roman" w:hAnsi="Times New Roman" w:cs="Times New Roman"/>
          <w:sz w:val="24"/>
          <w:szCs w:val="24"/>
        </w:rPr>
        <w:t>lists Deloitte</w:t>
      </w:r>
      <w:r w:rsidRPr="0058334A">
        <w:rPr>
          <w:rFonts w:ascii="Times New Roman" w:hAnsi="Times New Roman" w:cs="Times New Roman"/>
          <w:sz w:val="24"/>
          <w:szCs w:val="24"/>
        </w:rPr>
        <w:t xml:space="preserve"> as their auditor (</w:t>
      </w:r>
      <w:r w:rsidR="00690434" w:rsidRPr="0058334A">
        <w:rPr>
          <w:rFonts w:ascii="Times New Roman" w:hAnsi="Times New Roman" w:cs="Times New Roman"/>
          <w:sz w:val="24"/>
          <w:szCs w:val="24"/>
        </w:rPr>
        <w:t xml:space="preserve">International Paper </w:t>
      </w:r>
      <w:r w:rsidR="00690434" w:rsidRPr="0058334A">
        <w:rPr>
          <w:rFonts w:ascii="Times New Roman" w:hAnsi="Times New Roman" w:cs="Times New Roman"/>
          <w:sz w:val="24"/>
          <w:szCs w:val="24"/>
        </w:rPr>
        <w:lastRenderedPageBreak/>
        <w:t>Company</w:t>
      </w:r>
      <w:r w:rsidR="00690434" w:rsidRPr="0058334A">
        <w:rPr>
          <w:rFonts w:ascii="Times New Roman" w:hAnsi="Times New Roman" w:cs="Times New Roman"/>
          <w:sz w:val="24"/>
          <w:szCs w:val="24"/>
        </w:rPr>
        <w:t>, 10-K. 2024)</w:t>
      </w:r>
      <w:r w:rsidRPr="0058334A">
        <w:rPr>
          <w:rFonts w:ascii="Times New Roman" w:hAnsi="Times New Roman" w:cs="Times New Roman"/>
          <w:sz w:val="24"/>
          <w:szCs w:val="24"/>
        </w:rPr>
        <w:t xml:space="preserve">. </w:t>
      </w:r>
      <w:r w:rsidR="00ED6EB8" w:rsidRPr="0058334A">
        <w:rPr>
          <w:rFonts w:ascii="Times New Roman" w:hAnsi="Times New Roman" w:cs="Times New Roman"/>
          <w:sz w:val="24"/>
          <w:szCs w:val="24"/>
        </w:rPr>
        <w:t xml:space="preserve">One accounting concept that I was hoping to find on their balance sheets was how they treat timberland resources and the relevant depletion of those timberland resources, however, this wasn’t from either company’s balance sheets, notes to financial statements, notes details, or notes tables. </w:t>
      </w:r>
      <w:r w:rsidR="00ED6EB8" w:rsidRPr="0058334A">
        <w:rPr>
          <w:rFonts w:ascii="Times New Roman" w:hAnsi="Times New Roman" w:cs="Times New Roman"/>
          <w:b/>
          <w:bCs/>
          <w:sz w:val="24"/>
          <w:szCs w:val="24"/>
        </w:rPr>
        <w:t xml:space="preserve">FASB </w:t>
      </w:r>
      <w:r w:rsidR="00ED6EB8" w:rsidRPr="0058334A">
        <w:rPr>
          <w:rFonts w:ascii="Times New Roman" w:hAnsi="Times New Roman" w:cs="Times New Roman"/>
          <w:b/>
          <w:bCs/>
          <w:sz w:val="24"/>
          <w:szCs w:val="24"/>
        </w:rPr>
        <w:t xml:space="preserve">93X Extractive Activities </w:t>
      </w:r>
      <w:r w:rsidR="00ED6EB8" w:rsidRPr="0058334A">
        <w:rPr>
          <w:rFonts w:ascii="Times New Roman" w:hAnsi="Times New Roman" w:cs="Times New Roman"/>
          <w:sz w:val="24"/>
          <w:szCs w:val="24"/>
        </w:rPr>
        <w:t xml:space="preserve">only lists accounting guidance for Mining, Oil, and Gas. </w:t>
      </w:r>
      <w:r w:rsidR="00ED6EB8" w:rsidRPr="0058334A">
        <w:rPr>
          <w:rFonts w:ascii="Times New Roman" w:hAnsi="Times New Roman" w:cs="Times New Roman"/>
          <w:b/>
          <w:bCs/>
          <w:sz w:val="24"/>
          <w:szCs w:val="24"/>
        </w:rPr>
        <w:t xml:space="preserve">FASB 905 </w:t>
      </w:r>
      <w:r w:rsidR="00ED6EB8" w:rsidRPr="0058334A">
        <w:rPr>
          <w:rFonts w:ascii="Times New Roman" w:hAnsi="Times New Roman" w:cs="Times New Roman"/>
          <w:b/>
          <w:bCs/>
          <w:sz w:val="24"/>
          <w:szCs w:val="24"/>
        </w:rPr>
        <w:t>Agriculture</w:t>
      </w:r>
      <w:r w:rsidR="00ED6EB8" w:rsidRPr="0058334A">
        <w:rPr>
          <w:rFonts w:ascii="Times New Roman" w:hAnsi="Times New Roman" w:cs="Times New Roman"/>
          <w:b/>
          <w:bCs/>
          <w:sz w:val="24"/>
          <w:szCs w:val="24"/>
        </w:rPr>
        <w:t xml:space="preserve"> </w:t>
      </w:r>
      <w:r w:rsidR="00ED6EB8" w:rsidRPr="0058334A">
        <w:rPr>
          <w:rFonts w:ascii="Times New Roman" w:hAnsi="Times New Roman" w:cs="Times New Roman"/>
          <w:sz w:val="24"/>
          <w:szCs w:val="24"/>
        </w:rPr>
        <w:t xml:space="preserve">specifically excludes “growers of timber” at </w:t>
      </w:r>
      <w:r w:rsidR="00ED6EB8" w:rsidRPr="0058334A">
        <w:rPr>
          <w:rFonts w:ascii="Times New Roman" w:hAnsi="Times New Roman" w:cs="Times New Roman"/>
          <w:sz w:val="24"/>
          <w:szCs w:val="24"/>
        </w:rPr>
        <w:t>905-10-15-4</w:t>
      </w:r>
      <w:r w:rsidR="00ED6EB8" w:rsidRPr="0058334A">
        <w:rPr>
          <w:rFonts w:ascii="Times New Roman" w:hAnsi="Times New Roman" w:cs="Times New Roman"/>
          <w:sz w:val="24"/>
          <w:szCs w:val="24"/>
        </w:rPr>
        <w:t xml:space="preserve"> for application of this codification.</w:t>
      </w:r>
      <w:r w:rsidR="007E664A" w:rsidRPr="0058334A">
        <w:rPr>
          <w:rFonts w:ascii="Times New Roman" w:hAnsi="Times New Roman" w:cs="Times New Roman"/>
          <w:sz w:val="24"/>
          <w:szCs w:val="24"/>
        </w:rPr>
        <w:t xml:space="preserve"> When looking for guidance regarding depletion of timberland resources from the textbook, </w:t>
      </w:r>
      <w:r w:rsidR="007E664A" w:rsidRPr="0058334A">
        <w:rPr>
          <w:rFonts w:ascii="Times New Roman" w:hAnsi="Times New Roman" w:cs="Times New Roman"/>
          <w:sz w:val="24"/>
          <w:szCs w:val="24"/>
        </w:rPr>
        <w:t>Weyerhaeuser Company</w:t>
      </w:r>
      <w:r w:rsidR="007E664A" w:rsidRPr="0058334A">
        <w:rPr>
          <w:rFonts w:ascii="Times New Roman" w:hAnsi="Times New Roman" w:cs="Times New Roman"/>
          <w:sz w:val="24"/>
          <w:szCs w:val="24"/>
        </w:rPr>
        <w:t xml:space="preserve"> is listed as an example of a forest products company (</w:t>
      </w:r>
      <w:r w:rsidR="007E664A" w:rsidRPr="0058334A">
        <w:rPr>
          <w:rFonts w:ascii="Times New Roman" w:hAnsi="Times New Roman" w:cs="Times New Roman"/>
          <w:sz w:val="24"/>
          <w:szCs w:val="24"/>
        </w:rPr>
        <w:t>Spiceland</w:t>
      </w:r>
      <w:r w:rsidR="007E664A" w:rsidRPr="0058334A">
        <w:rPr>
          <w:rFonts w:ascii="Times New Roman" w:hAnsi="Times New Roman" w:cs="Times New Roman"/>
          <w:sz w:val="24"/>
          <w:szCs w:val="24"/>
        </w:rPr>
        <w:t xml:space="preserve"> 2023 </w:t>
      </w:r>
      <w:r w:rsidR="007E664A" w:rsidRPr="0058334A">
        <w:rPr>
          <w:rFonts w:ascii="Times New Roman" w:hAnsi="Times New Roman" w:cs="Times New Roman"/>
          <w:sz w:val="24"/>
          <w:szCs w:val="24"/>
        </w:rPr>
        <w:t xml:space="preserve">p. </w:t>
      </w:r>
      <w:r w:rsidR="007E664A" w:rsidRPr="0058334A">
        <w:rPr>
          <w:rFonts w:ascii="Times New Roman" w:hAnsi="Times New Roman" w:cs="Times New Roman"/>
          <w:sz w:val="24"/>
          <w:szCs w:val="24"/>
        </w:rPr>
        <w:t>567). So, it’s possible that International Paper Company, and Packaging Corporation of America do not actually deal with their own timberland resources themselves, and instead buy these products from a company like Weyerhaeuser Company.</w:t>
      </w:r>
    </w:p>
    <w:p w14:paraId="759B4908" w14:textId="2B8002D2" w:rsidR="00371747" w:rsidRPr="0058334A" w:rsidRDefault="00371747" w:rsidP="00D46B15">
      <w:pPr>
        <w:spacing w:after="0" w:line="480" w:lineRule="auto"/>
        <w:ind w:firstLine="720"/>
        <w:rPr>
          <w:rFonts w:ascii="Times New Roman" w:hAnsi="Times New Roman" w:cs="Times New Roman"/>
          <w:sz w:val="24"/>
          <w:szCs w:val="24"/>
        </w:rPr>
      </w:pPr>
      <w:r w:rsidRPr="0058334A">
        <w:rPr>
          <w:rFonts w:ascii="Times New Roman" w:hAnsi="Times New Roman" w:cs="Times New Roman"/>
          <w:b/>
          <w:bCs/>
          <w:sz w:val="24"/>
          <w:szCs w:val="24"/>
        </w:rPr>
        <w:t>Industrials</w:t>
      </w:r>
      <w:r w:rsidRPr="0058334A">
        <w:rPr>
          <w:rFonts w:ascii="Times New Roman" w:hAnsi="Times New Roman" w:cs="Times New Roman"/>
          <w:sz w:val="24"/>
          <w:szCs w:val="24"/>
        </w:rPr>
        <w:t xml:space="preserve">: Transunion (TRU) and </w:t>
      </w:r>
      <w:r w:rsidRPr="0058334A">
        <w:rPr>
          <w:rFonts w:ascii="Times New Roman" w:hAnsi="Times New Roman" w:cs="Times New Roman"/>
          <w:sz w:val="24"/>
          <w:szCs w:val="24"/>
        </w:rPr>
        <w:t>Equifax</w:t>
      </w:r>
      <w:r w:rsidRPr="0058334A">
        <w:rPr>
          <w:rFonts w:ascii="Times New Roman" w:hAnsi="Times New Roman" w:cs="Times New Roman"/>
          <w:sz w:val="24"/>
          <w:szCs w:val="24"/>
        </w:rPr>
        <w:t xml:space="preserve"> (EFX) were selected to represent the Industrial categories from the companies listed under the Research &amp; Consulting Services sub-industry (Fidelity 2024).</w:t>
      </w:r>
      <w:r w:rsidR="0085002C" w:rsidRPr="0058334A">
        <w:rPr>
          <w:rFonts w:ascii="Times New Roman" w:hAnsi="Times New Roman" w:cs="Times New Roman"/>
          <w:sz w:val="24"/>
          <w:szCs w:val="24"/>
        </w:rPr>
        <w:t xml:space="preserve"> Both companies are based in the United States and Listed on the NYSE. Experian was the original pick, along with Equifax, however, Experian’s 5 letter ticker symbol (EXPGY) followed by the letters ADR gave it away as being a security that would potentially be difficult to analyze; and in spite of being a well known company, it’s ADR’s are not listed on either the NYSE, or Nasdaq, meaning it’s a pink-sheet security, and there are no 10-K filings listed (Fidelity 2024).</w:t>
      </w:r>
      <w:r w:rsidR="000A794D" w:rsidRPr="0058334A">
        <w:rPr>
          <w:rFonts w:ascii="Times New Roman" w:hAnsi="Times New Roman" w:cs="Times New Roman"/>
          <w:sz w:val="24"/>
          <w:szCs w:val="24"/>
        </w:rPr>
        <w:t xml:space="preserve"> This is potentially the most interesting accounting deviation between the 3 different firms: most consumers would think of Experian, Transunion, and Equifax as being substantially similar institutions, however</w:t>
      </w:r>
      <w:r w:rsidR="00836C01" w:rsidRPr="0058334A">
        <w:rPr>
          <w:rFonts w:ascii="Times New Roman" w:hAnsi="Times New Roman" w:cs="Times New Roman"/>
          <w:sz w:val="24"/>
          <w:szCs w:val="24"/>
        </w:rPr>
        <w:t xml:space="preserve"> Experian seems to </w:t>
      </w:r>
      <w:r w:rsidR="000C5003" w:rsidRPr="0058334A">
        <w:rPr>
          <w:rFonts w:ascii="Times New Roman" w:hAnsi="Times New Roman" w:cs="Times New Roman"/>
          <w:sz w:val="24"/>
          <w:szCs w:val="24"/>
        </w:rPr>
        <w:t>avoid</w:t>
      </w:r>
      <w:r w:rsidR="00836C01" w:rsidRPr="0058334A">
        <w:rPr>
          <w:rFonts w:ascii="Times New Roman" w:hAnsi="Times New Roman" w:cs="Times New Roman"/>
          <w:sz w:val="24"/>
          <w:szCs w:val="24"/>
        </w:rPr>
        <w:t xml:space="preserve"> many of the reporting requirements</w:t>
      </w:r>
      <w:r w:rsidR="000C5003" w:rsidRPr="0058334A">
        <w:rPr>
          <w:rFonts w:ascii="Times New Roman" w:hAnsi="Times New Roman" w:cs="Times New Roman"/>
          <w:sz w:val="24"/>
          <w:szCs w:val="24"/>
        </w:rPr>
        <w:t xml:space="preserve"> that Equifax and Transunion are subject to. This doesn’t necessarily result in a good thing: Experian’s top 10 owners appear to be private equity firms (</w:t>
      </w:r>
      <w:r w:rsidR="000C5003" w:rsidRPr="0058334A">
        <w:rPr>
          <w:rFonts w:ascii="Times New Roman" w:hAnsi="Times New Roman" w:cs="Times New Roman"/>
          <w:sz w:val="24"/>
          <w:szCs w:val="24"/>
        </w:rPr>
        <w:t xml:space="preserve">“Experian ADR: </w:t>
      </w:r>
      <w:r w:rsidR="000C5003" w:rsidRPr="0058334A">
        <w:rPr>
          <w:rFonts w:ascii="Times New Roman" w:hAnsi="Times New Roman" w:cs="Times New Roman"/>
          <w:sz w:val="24"/>
          <w:szCs w:val="24"/>
        </w:rPr>
        <w:lastRenderedPageBreak/>
        <w:t>Ownership Summary</w:t>
      </w:r>
      <w:r w:rsidR="000C5003" w:rsidRPr="0058334A">
        <w:rPr>
          <w:rFonts w:ascii="Times New Roman" w:hAnsi="Times New Roman" w:cs="Times New Roman"/>
          <w:sz w:val="24"/>
          <w:szCs w:val="24"/>
        </w:rPr>
        <w:t>,</w:t>
      </w:r>
      <w:r w:rsidR="000C5003" w:rsidRPr="0058334A">
        <w:rPr>
          <w:rFonts w:ascii="Times New Roman" w:hAnsi="Times New Roman" w:cs="Times New Roman"/>
          <w:sz w:val="24"/>
          <w:szCs w:val="24"/>
        </w:rPr>
        <w:t>”</w:t>
      </w:r>
      <w:r w:rsidR="000C5003" w:rsidRPr="0058334A">
        <w:rPr>
          <w:rFonts w:ascii="Times New Roman" w:hAnsi="Times New Roman" w:cs="Times New Roman"/>
          <w:sz w:val="24"/>
          <w:szCs w:val="24"/>
        </w:rPr>
        <w:t xml:space="preserve"> Fidelity 2024), which are thought of as being very active, aggressive, and extractive owners, Equifax (</w:t>
      </w:r>
      <w:r w:rsidR="000C5003" w:rsidRPr="0058334A">
        <w:rPr>
          <w:rFonts w:ascii="Times New Roman" w:hAnsi="Times New Roman" w:cs="Times New Roman"/>
          <w:sz w:val="24"/>
          <w:szCs w:val="24"/>
        </w:rPr>
        <w:t>“Equifax: Ownership Summary</w:t>
      </w:r>
      <w:r w:rsidR="000C5003" w:rsidRPr="0058334A">
        <w:rPr>
          <w:rFonts w:ascii="Times New Roman" w:hAnsi="Times New Roman" w:cs="Times New Roman"/>
          <w:sz w:val="24"/>
          <w:szCs w:val="24"/>
        </w:rPr>
        <w:t>,</w:t>
      </w:r>
      <w:r w:rsidR="000C5003" w:rsidRPr="0058334A">
        <w:rPr>
          <w:rFonts w:ascii="Times New Roman" w:hAnsi="Times New Roman" w:cs="Times New Roman"/>
          <w:sz w:val="24"/>
          <w:szCs w:val="24"/>
        </w:rPr>
        <w:t>”</w:t>
      </w:r>
      <w:r w:rsidR="000C5003" w:rsidRPr="0058334A">
        <w:rPr>
          <w:rFonts w:ascii="Times New Roman" w:hAnsi="Times New Roman" w:cs="Times New Roman"/>
          <w:sz w:val="24"/>
          <w:szCs w:val="24"/>
        </w:rPr>
        <w:t xml:space="preserve"> Fidelity 2024) and TransUnion (</w:t>
      </w:r>
      <w:r w:rsidR="000C5003" w:rsidRPr="0058334A">
        <w:rPr>
          <w:rFonts w:ascii="Times New Roman" w:hAnsi="Times New Roman" w:cs="Times New Roman"/>
          <w:sz w:val="24"/>
          <w:szCs w:val="24"/>
        </w:rPr>
        <w:t>“Transunion: Ownership Summary</w:t>
      </w:r>
      <w:r w:rsidR="000C5003" w:rsidRPr="0058334A">
        <w:rPr>
          <w:rFonts w:ascii="Times New Roman" w:hAnsi="Times New Roman" w:cs="Times New Roman"/>
          <w:sz w:val="24"/>
          <w:szCs w:val="24"/>
        </w:rPr>
        <w:t>,</w:t>
      </w:r>
      <w:r w:rsidR="000C5003" w:rsidRPr="0058334A">
        <w:rPr>
          <w:rFonts w:ascii="Times New Roman" w:hAnsi="Times New Roman" w:cs="Times New Roman"/>
          <w:sz w:val="24"/>
          <w:szCs w:val="24"/>
        </w:rPr>
        <w:t>”</w:t>
      </w:r>
      <w:r w:rsidR="000C5003" w:rsidRPr="0058334A">
        <w:rPr>
          <w:rFonts w:ascii="Times New Roman" w:hAnsi="Times New Roman" w:cs="Times New Roman"/>
          <w:sz w:val="24"/>
          <w:szCs w:val="24"/>
        </w:rPr>
        <w:t xml:space="preserve"> Fidelity 2024) top 10 owners appear to be companies like BlackRock, Vanguard, State Street, Fidelity, ETF issuers that take a mostly passive interest in companies they hold shares in.</w:t>
      </w:r>
    </w:p>
    <w:p w14:paraId="09E90DDC" w14:textId="5D63FB98" w:rsidR="00860BCE" w:rsidRPr="0058334A" w:rsidRDefault="00860BCE" w:rsidP="00D46B15">
      <w:pPr>
        <w:spacing w:after="0" w:line="480" w:lineRule="auto"/>
        <w:ind w:firstLine="720"/>
        <w:rPr>
          <w:rFonts w:ascii="Times New Roman" w:hAnsi="Times New Roman" w:cs="Times New Roman"/>
          <w:sz w:val="24"/>
          <w:szCs w:val="24"/>
        </w:rPr>
      </w:pPr>
      <w:r w:rsidRPr="0058334A">
        <w:rPr>
          <w:rFonts w:ascii="Times New Roman" w:hAnsi="Times New Roman" w:cs="Times New Roman"/>
          <w:b/>
          <w:bCs/>
          <w:sz w:val="24"/>
          <w:szCs w:val="24"/>
        </w:rPr>
        <w:t>Consumer Discretionary</w:t>
      </w:r>
      <w:r w:rsidRPr="0058334A">
        <w:rPr>
          <w:rFonts w:ascii="Times New Roman" w:hAnsi="Times New Roman" w:cs="Times New Roman"/>
          <w:sz w:val="24"/>
          <w:szCs w:val="24"/>
        </w:rPr>
        <w:t xml:space="preserve">: </w:t>
      </w:r>
      <w:r w:rsidRPr="0058334A">
        <w:rPr>
          <w:rFonts w:ascii="Times New Roman" w:hAnsi="Times New Roman" w:cs="Times New Roman"/>
          <w:sz w:val="24"/>
          <w:szCs w:val="24"/>
        </w:rPr>
        <w:t>Tapestry, Inc. </w:t>
      </w:r>
      <w:r w:rsidRPr="0058334A">
        <w:rPr>
          <w:rFonts w:ascii="Times New Roman" w:hAnsi="Times New Roman" w:cs="Times New Roman"/>
          <w:sz w:val="24"/>
          <w:szCs w:val="24"/>
        </w:rPr>
        <w:t xml:space="preserve">(TPR) and </w:t>
      </w:r>
      <w:r w:rsidRPr="0058334A">
        <w:rPr>
          <w:rFonts w:ascii="Times New Roman" w:hAnsi="Times New Roman" w:cs="Times New Roman"/>
          <w:sz w:val="24"/>
          <w:szCs w:val="24"/>
        </w:rPr>
        <w:t>V.F. Corporation</w:t>
      </w:r>
      <w:r w:rsidRPr="0058334A">
        <w:rPr>
          <w:rFonts w:ascii="Times New Roman" w:hAnsi="Times New Roman" w:cs="Times New Roman"/>
          <w:sz w:val="24"/>
          <w:szCs w:val="24"/>
        </w:rPr>
        <w:t xml:space="preserve"> (VFC) were selected to represent the consumer discretionary sector, and both belong to the </w:t>
      </w:r>
      <w:r w:rsidRPr="0058334A">
        <w:rPr>
          <w:rFonts w:ascii="Times New Roman" w:hAnsi="Times New Roman" w:cs="Times New Roman"/>
          <w:sz w:val="24"/>
          <w:szCs w:val="24"/>
        </w:rPr>
        <w:t>Apparel, Accessories &amp; Luxury Goods</w:t>
      </w:r>
      <w:r w:rsidRPr="0058334A">
        <w:rPr>
          <w:rFonts w:ascii="Times New Roman" w:hAnsi="Times New Roman" w:cs="Times New Roman"/>
          <w:sz w:val="24"/>
          <w:szCs w:val="24"/>
        </w:rPr>
        <w:t xml:space="preserve"> sub-industry</w:t>
      </w:r>
      <w:r w:rsidR="00F555BB" w:rsidRPr="0058334A">
        <w:rPr>
          <w:rFonts w:ascii="Times New Roman" w:hAnsi="Times New Roman" w:cs="Times New Roman"/>
          <w:sz w:val="24"/>
          <w:szCs w:val="24"/>
        </w:rPr>
        <w:t xml:space="preserve"> (Fidelity 2024)</w:t>
      </w:r>
      <w:r w:rsidRPr="0058334A">
        <w:rPr>
          <w:rFonts w:ascii="Times New Roman" w:hAnsi="Times New Roman" w:cs="Times New Roman"/>
          <w:sz w:val="24"/>
          <w:szCs w:val="24"/>
        </w:rPr>
        <w:t>. Both of these companies are being selected because they have a huge portfolio of different trademarked products and they are known for being somewhat active with acquiring and divesting from their portfolio of brands</w:t>
      </w:r>
      <w:r w:rsidR="00F555BB" w:rsidRPr="0058334A">
        <w:rPr>
          <w:rFonts w:ascii="Times New Roman" w:hAnsi="Times New Roman" w:cs="Times New Roman"/>
          <w:sz w:val="24"/>
          <w:szCs w:val="24"/>
        </w:rPr>
        <w:t>: Tapestry as it expands, and VF Corporation as it restructures</w:t>
      </w:r>
      <w:r w:rsidRPr="0058334A">
        <w:rPr>
          <w:rFonts w:ascii="Times New Roman" w:hAnsi="Times New Roman" w:cs="Times New Roman"/>
          <w:sz w:val="24"/>
          <w:szCs w:val="24"/>
        </w:rPr>
        <w:t>.</w:t>
      </w:r>
      <w:r w:rsidR="00F555BB" w:rsidRPr="0058334A">
        <w:rPr>
          <w:rFonts w:ascii="Times New Roman" w:hAnsi="Times New Roman" w:cs="Times New Roman"/>
          <w:sz w:val="24"/>
          <w:szCs w:val="24"/>
        </w:rPr>
        <w:t xml:space="preserve"> The Consumer Discretionary sector seems perfect for covering all categories of intangible assets, but it will be used for understanding how different companies treat the trademark and tradename and branding category of intangible assets.</w:t>
      </w:r>
      <w:r w:rsidR="007B17EB" w:rsidRPr="0058334A">
        <w:rPr>
          <w:rFonts w:ascii="Times New Roman" w:hAnsi="Times New Roman" w:cs="Times New Roman"/>
          <w:sz w:val="24"/>
          <w:szCs w:val="24"/>
        </w:rPr>
        <w:t xml:space="preserve"> The Automobiles sub-industry would be perfect for a study multiple different asset types</w:t>
      </w:r>
      <w:r w:rsidR="006A0114" w:rsidRPr="0058334A">
        <w:rPr>
          <w:rFonts w:ascii="Times New Roman" w:hAnsi="Times New Roman" w:cs="Times New Roman"/>
          <w:sz w:val="24"/>
          <w:szCs w:val="24"/>
        </w:rPr>
        <w:t>,</w:t>
      </w:r>
      <w:r w:rsidR="007B17EB" w:rsidRPr="0058334A">
        <w:rPr>
          <w:rFonts w:ascii="Times New Roman" w:hAnsi="Times New Roman" w:cs="Times New Roman"/>
          <w:sz w:val="24"/>
          <w:szCs w:val="24"/>
        </w:rPr>
        <w:t xml:space="preserve"> especially Property Plant &amp; Equipment, but nearly anything else as well patents and so on, and restaurants would be interesting for a dive into how the franchise asset types work.</w:t>
      </w:r>
      <w:r w:rsidR="00841941" w:rsidRPr="0058334A">
        <w:rPr>
          <w:rFonts w:ascii="Times New Roman" w:hAnsi="Times New Roman" w:cs="Times New Roman"/>
          <w:sz w:val="24"/>
          <w:szCs w:val="24"/>
        </w:rPr>
        <w:t xml:space="preserve"> After looking at the Notes to Financial Statements for both </w:t>
      </w:r>
      <w:r w:rsidR="00841941" w:rsidRPr="0058334A">
        <w:rPr>
          <w:rFonts w:ascii="Times New Roman" w:hAnsi="Times New Roman" w:cs="Times New Roman"/>
          <w:sz w:val="24"/>
          <w:szCs w:val="24"/>
        </w:rPr>
        <w:t>Tapestry, Inc</w:t>
      </w:r>
      <w:r w:rsidR="00841941" w:rsidRPr="0058334A">
        <w:rPr>
          <w:rFonts w:ascii="Times New Roman" w:hAnsi="Times New Roman" w:cs="Times New Roman"/>
          <w:sz w:val="24"/>
          <w:szCs w:val="24"/>
        </w:rPr>
        <w:t xml:space="preserve">. (Tapestry, Inc. 10-K 2024) and </w:t>
      </w:r>
      <w:r w:rsidR="00841941" w:rsidRPr="0058334A">
        <w:rPr>
          <w:rFonts w:ascii="Times New Roman" w:hAnsi="Times New Roman" w:cs="Times New Roman"/>
          <w:sz w:val="24"/>
          <w:szCs w:val="24"/>
        </w:rPr>
        <w:t>V.F. Corporation</w:t>
      </w:r>
      <w:r w:rsidR="00841941" w:rsidRPr="0058334A">
        <w:rPr>
          <w:rFonts w:ascii="Times New Roman" w:hAnsi="Times New Roman" w:cs="Times New Roman"/>
          <w:sz w:val="24"/>
          <w:szCs w:val="24"/>
        </w:rPr>
        <w:t xml:space="preserve"> (</w:t>
      </w:r>
      <w:r w:rsidR="00841941" w:rsidRPr="0058334A">
        <w:rPr>
          <w:rFonts w:ascii="Times New Roman" w:hAnsi="Times New Roman" w:cs="Times New Roman"/>
          <w:sz w:val="24"/>
          <w:szCs w:val="24"/>
        </w:rPr>
        <w:t>V.F. Corporation</w:t>
      </w:r>
      <w:r w:rsidR="00841941" w:rsidRPr="0058334A">
        <w:rPr>
          <w:rFonts w:ascii="Times New Roman" w:hAnsi="Times New Roman" w:cs="Times New Roman"/>
          <w:sz w:val="24"/>
          <w:szCs w:val="24"/>
        </w:rPr>
        <w:t xml:space="preserve">, 10-K 2024), it would appear that both companies consider their trademarks to be indefinite lived assets, and therefore not subject to amortization. </w:t>
      </w:r>
      <w:r w:rsidR="00841941" w:rsidRPr="0058334A">
        <w:rPr>
          <w:rFonts w:ascii="Times New Roman" w:hAnsi="Times New Roman" w:cs="Times New Roman"/>
          <w:b/>
          <w:bCs/>
          <w:sz w:val="24"/>
          <w:szCs w:val="24"/>
        </w:rPr>
        <w:t xml:space="preserve">FASB </w:t>
      </w:r>
      <w:r w:rsidR="00841941" w:rsidRPr="0058334A">
        <w:rPr>
          <w:rFonts w:ascii="Times New Roman" w:hAnsi="Times New Roman" w:cs="Times New Roman"/>
          <w:b/>
          <w:bCs/>
          <w:sz w:val="24"/>
          <w:szCs w:val="24"/>
        </w:rPr>
        <w:t>350-30-55-20</w:t>
      </w:r>
      <w:r w:rsidR="00841941" w:rsidRPr="0058334A">
        <w:rPr>
          <w:rFonts w:ascii="Times New Roman" w:hAnsi="Times New Roman" w:cs="Times New Roman"/>
          <w:b/>
          <w:bCs/>
          <w:sz w:val="24"/>
          <w:szCs w:val="24"/>
        </w:rPr>
        <w:t xml:space="preserve"> </w:t>
      </w:r>
      <w:r w:rsidR="00841941" w:rsidRPr="0058334A">
        <w:rPr>
          <w:rFonts w:ascii="Times New Roman" w:hAnsi="Times New Roman" w:cs="Times New Roman"/>
          <w:sz w:val="24"/>
          <w:szCs w:val="24"/>
        </w:rPr>
        <w:t xml:space="preserve">outlines that it may in fact be appropriate that trademarks have an indefinite useful life and would only decrease in book value when a trademark is tested for impairment </w:t>
      </w:r>
      <w:r w:rsidR="00841941" w:rsidRPr="0058334A">
        <w:rPr>
          <w:rFonts w:ascii="Times New Roman" w:hAnsi="Times New Roman" w:cs="Times New Roman"/>
          <w:b/>
          <w:bCs/>
          <w:sz w:val="24"/>
          <w:szCs w:val="24"/>
        </w:rPr>
        <w:t xml:space="preserve">FASB </w:t>
      </w:r>
      <w:r w:rsidR="00841941" w:rsidRPr="0058334A">
        <w:rPr>
          <w:rFonts w:ascii="Times New Roman" w:hAnsi="Times New Roman" w:cs="Times New Roman"/>
          <w:b/>
          <w:bCs/>
          <w:sz w:val="24"/>
          <w:szCs w:val="24"/>
        </w:rPr>
        <w:t>350-30-55-22</w:t>
      </w:r>
      <w:r w:rsidR="00841941" w:rsidRPr="0058334A">
        <w:rPr>
          <w:rFonts w:ascii="Times New Roman" w:hAnsi="Times New Roman" w:cs="Times New Roman"/>
          <w:b/>
          <w:bCs/>
          <w:sz w:val="24"/>
          <w:szCs w:val="24"/>
        </w:rPr>
        <w:t>. FASB</w:t>
      </w:r>
      <w:r w:rsidR="00841941" w:rsidRPr="0058334A">
        <w:rPr>
          <w:rFonts w:ascii="Times New Roman" w:hAnsi="Times New Roman" w:cs="Times New Roman"/>
          <w:sz w:val="24"/>
          <w:szCs w:val="24"/>
        </w:rPr>
        <w:t xml:space="preserve"> also later states in</w:t>
      </w:r>
      <w:r w:rsidR="00841941" w:rsidRPr="0058334A">
        <w:rPr>
          <w:rFonts w:ascii="Times New Roman" w:hAnsi="Times New Roman" w:cs="Times New Roman"/>
          <w:b/>
          <w:bCs/>
          <w:sz w:val="24"/>
          <w:szCs w:val="24"/>
        </w:rPr>
        <w:t xml:space="preserve"> FASB </w:t>
      </w:r>
      <w:r w:rsidR="00841941" w:rsidRPr="0058334A">
        <w:rPr>
          <w:rFonts w:ascii="Times New Roman" w:hAnsi="Times New Roman" w:cs="Times New Roman"/>
          <w:b/>
          <w:bCs/>
          <w:sz w:val="24"/>
          <w:szCs w:val="24"/>
        </w:rPr>
        <w:t>350-30-55-25</w:t>
      </w:r>
      <w:r w:rsidR="00841941" w:rsidRPr="0058334A">
        <w:rPr>
          <w:rFonts w:ascii="Times New Roman" w:hAnsi="Times New Roman" w:cs="Times New Roman"/>
          <w:b/>
          <w:bCs/>
          <w:sz w:val="24"/>
          <w:szCs w:val="24"/>
        </w:rPr>
        <w:t xml:space="preserve"> </w:t>
      </w:r>
      <w:r w:rsidR="00841941" w:rsidRPr="0058334A">
        <w:rPr>
          <w:rFonts w:ascii="Times New Roman" w:hAnsi="Times New Roman" w:cs="Times New Roman"/>
          <w:sz w:val="24"/>
          <w:szCs w:val="24"/>
        </w:rPr>
        <w:t xml:space="preserve">that even if a trademark is expected to have lower future cash flows in the future, it is still tested for </w:t>
      </w:r>
      <w:r w:rsidR="00841941" w:rsidRPr="0058334A">
        <w:rPr>
          <w:rFonts w:ascii="Times New Roman" w:hAnsi="Times New Roman" w:cs="Times New Roman"/>
          <w:sz w:val="24"/>
          <w:szCs w:val="24"/>
        </w:rPr>
        <w:lastRenderedPageBreak/>
        <w:t xml:space="preserve">impairment, rather than subject to amortization. It is only until </w:t>
      </w:r>
      <w:r w:rsidR="00841941" w:rsidRPr="0058334A">
        <w:rPr>
          <w:rFonts w:ascii="Times New Roman" w:hAnsi="Times New Roman" w:cs="Times New Roman"/>
          <w:b/>
          <w:bCs/>
          <w:sz w:val="24"/>
          <w:szCs w:val="24"/>
        </w:rPr>
        <w:t xml:space="preserve">FASB </w:t>
      </w:r>
      <w:r w:rsidR="00841941" w:rsidRPr="0058334A">
        <w:rPr>
          <w:rFonts w:ascii="Times New Roman" w:hAnsi="Times New Roman" w:cs="Times New Roman"/>
          <w:b/>
          <w:bCs/>
          <w:sz w:val="24"/>
          <w:szCs w:val="24"/>
        </w:rPr>
        <w:t>350-30-55-28</w:t>
      </w:r>
      <w:r w:rsidR="00841941" w:rsidRPr="0058334A">
        <w:rPr>
          <w:rFonts w:ascii="Times New Roman" w:hAnsi="Times New Roman" w:cs="Times New Roman"/>
          <w:b/>
          <w:bCs/>
          <w:sz w:val="24"/>
          <w:szCs w:val="24"/>
        </w:rPr>
        <w:t xml:space="preserve"> </w:t>
      </w:r>
      <w:r w:rsidR="00841941" w:rsidRPr="0058334A">
        <w:rPr>
          <w:rFonts w:ascii="Times New Roman" w:hAnsi="Times New Roman" w:cs="Times New Roman"/>
          <w:sz w:val="24"/>
          <w:szCs w:val="24"/>
        </w:rPr>
        <w:t>that the amortization of trademarks comes into play, and it’s only when a trademark is determined to have a limited useful life.</w:t>
      </w:r>
      <w:r w:rsidR="000339C5" w:rsidRPr="0058334A">
        <w:rPr>
          <w:rFonts w:ascii="Times New Roman" w:hAnsi="Times New Roman" w:cs="Times New Roman"/>
          <w:sz w:val="24"/>
          <w:szCs w:val="24"/>
        </w:rPr>
        <w:t xml:space="preserve"> </w:t>
      </w:r>
      <w:r w:rsidR="000851A0" w:rsidRPr="0058334A">
        <w:rPr>
          <w:rFonts w:ascii="Times New Roman" w:hAnsi="Times New Roman" w:cs="Times New Roman"/>
          <w:sz w:val="24"/>
          <w:szCs w:val="24"/>
        </w:rPr>
        <w:t xml:space="preserve">The textbook also notes that a trademark “can be indefinite” (Spiceland 2023 p. 520) but based on FASB, it almost seems that trademarks never die. </w:t>
      </w:r>
      <w:r w:rsidR="000339C5" w:rsidRPr="0058334A">
        <w:rPr>
          <w:rFonts w:ascii="Times New Roman" w:hAnsi="Times New Roman" w:cs="Times New Roman"/>
          <w:sz w:val="24"/>
          <w:szCs w:val="24"/>
        </w:rPr>
        <w:t xml:space="preserve">This issue with the subjective life of trademarks can prove to be an interesting tool within the context of an acquisitions: how much of a price paid over book value can be considered Goodwill? and how much of that price </w:t>
      </w:r>
      <w:r w:rsidR="009A3C68" w:rsidRPr="0058334A">
        <w:rPr>
          <w:rFonts w:ascii="Times New Roman" w:hAnsi="Times New Roman" w:cs="Times New Roman"/>
          <w:sz w:val="24"/>
          <w:szCs w:val="24"/>
        </w:rPr>
        <w:t>is related</w:t>
      </w:r>
      <w:r w:rsidR="000339C5" w:rsidRPr="0058334A">
        <w:rPr>
          <w:rFonts w:ascii="Times New Roman" w:hAnsi="Times New Roman" w:cs="Times New Roman"/>
          <w:sz w:val="24"/>
          <w:szCs w:val="24"/>
        </w:rPr>
        <w:t xml:space="preserve"> to the brand value of the asset purchased? There might be advantages to allocating more of that purchase price to trademark value over Goodwill, since trademark values can be reduced through impairment, </w:t>
      </w:r>
      <w:r w:rsidR="009A3C68" w:rsidRPr="0058334A">
        <w:rPr>
          <w:rFonts w:ascii="Times New Roman" w:hAnsi="Times New Roman" w:cs="Times New Roman"/>
          <w:sz w:val="24"/>
          <w:szCs w:val="24"/>
        </w:rPr>
        <w:t>seemingly</w:t>
      </w:r>
      <w:r w:rsidR="000339C5" w:rsidRPr="0058334A">
        <w:rPr>
          <w:rFonts w:ascii="Times New Roman" w:hAnsi="Times New Roman" w:cs="Times New Roman"/>
          <w:sz w:val="24"/>
          <w:szCs w:val="24"/>
        </w:rPr>
        <w:t xml:space="preserve"> on an as needed or on an as appropriate basis,</w:t>
      </w:r>
      <w:r w:rsidR="009A3C68" w:rsidRPr="0058334A">
        <w:rPr>
          <w:rFonts w:ascii="Times New Roman" w:hAnsi="Times New Roman" w:cs="Times New Roman"/>
          <w:sz w:val="24"/>
          <w:szCs w:val="24"/>
        </w:rPr>
        <w:t xml:space="preserve"> Goodwill is amortized on a pre-determined schedule.</w:t>
      </w:r>
      <w:r w:rsidR="00883534" w:rsidRPr="0058334A">
        <w:rPr>
          <w:rFonts w:ascii="Times New Roman" w:hAnsi="Times New Roman" w:cs="Times New Roman"/>
          <w:sz w:val="24"/>
          <w:szCs w:val="24"/>
        </w:rPr>
        <w:t xml:space="preserve"> For the other factoids frequently listed in companies compared: Tapestry lists Deloitte as it’s auditor (</w:t>
      </w:r>
      <w:r w:rsidR="00883534" w:rsidRPr="0058334A">
        <w:rPr>
          <w:rFonts w:ascii="Times New Roman" w:hAnsi="Times New Roman" w:cs="Times New Roman"/>
          <w:sz w:val="24"/>
          <w:szCs w:val="24"/>
        </w:rPr>
        <w:t>Tapestry</w:t>
      </w:r>
      <w:r w:rsidR="00883534" w:rsidRPr="0058334A">
        <w:rPr>
          <w:rFonts w:ascii="Times New Roman" w:hAnsi="Times New Roman" w:cs="Times New Roman"/>
          <w:sz w:val="24"/>
          <w:szCs w:val="24"/>
        </w:rPr>
        <w:t xml:space="preserve"> 10-K 2024) and </w:t>
      </w:r>
      <w:r w:rsidR="00883534" w:rsidRPr="0058334A">
        <w:rPr>
          <w:rFonts w:ascii="Times New Roman" w:hAnsi="Times New Roman" w:cs="Times New Roman"/>
          <w:sz w:val="24"/>
          <w:szCs w:val="24"/>
        </w:rPr>
        <w:t>V.F. Corporation</w:t>
      </w:r>
      <w:r w:rsidR="00883534" w:rsidRPr="0058334A">
        <w:rPr>
          <w:rFonts w:ascii="Times New Roman" w:hAnsi="Times New Roman" w:cs="Times New Roman"/>
          <w:sz w:val="24"/>
          <w:szCs w:val="24"/>
        </w:rPr>
        <w:t xml:space="preserve"> lists PWC as its auditor (</w:t>
      </w:r>
      <w:r w:rsidR="00883534" w:rsidRPr="0058334A">
        <w:rPr>
          <w:rFonts w:ascii="Times New Roman" w:hAnsi="Times New Roman" w:cs="Times New Roman"/>
          <w:sz w:val="24"/>
          <w:szCs w:val="24"/>
        </w:rPr>
        <w:t>V.F. Corporation</w:t>
      </w:r>
      <w:r w:rsidR="00883534" w:rsidRPr="0058334A">
        <w:rPr>
          <w:rFonts w:ascii="Times New Roman" w:hAnsi="Times New Roman" w:cs="Times New Roman"/>
          <w:sz w:val="24"/>
          <w:szCs w:val="24"/>
        </w:rPr>
        <w:t xml:space="preserve"> 10-K 2024) both companies have principal offices in the United States and both companies have their shares registered on the NYSE.</w:t>
      </w:r>
    </w:p>
    <w:p w14:paraId="7569E4B5" w14:textId="05F5FA95" w:rsidR="00F37707" w:rsidRDefault="00F37707" w:rsidP="00D46B15">
      <w:pPr>
        <w:spacing w:after="0" w:line="480" w:lineRule="auto"/>
        <w:ind w:firstLine="720"/>
        <w:rPr>
          <w:rFonts w:ascii="Times New Roman" w:hAnsi="Times New Roman" w:cs="Times New Roman"/>
          <w:sz w:val="24"/>
          <w:szCs w:val="24"/>
        </w:rPr>
      </w:pPr>
      <w:r w:rsidRPr="0058334A">
        <w:rPr>
          <w:rFonts w:ascii="Times New Roman" w:hAnsi="Times New Roman" w:cs="Times New Roman"/>
          <w:b/>
          <w:bCs/>
          <w:sz w:val="24"/>
          <w:szCs w:val="24"/>
        </w:rPr>
        <w:t xml:space="preserve">Consumer </w:t>
      </w:r>
      <w:r w:rsidRPr="0058334A">
        <w:rPr>
          <w:rFonts w:ascii="Times New Roman" w:hAnsi="Times New Roman" w:cs="Times New Roman"/>
          <w:b/>
          <w:bCs/>
          <w:sz w:val="24"/>
          <w:szCs w:val="24"/>
        </w:rPr>
        <w:t>Staples</w:t>
      </w:r>
      <w:r w:rsidRPr="0058334A">
        <w:rPr>
          <w:rFonts w:ascii="Times New Roman" w:hAnsi="Times New Roman" w:cs="Times New Roman"/>
          <w:sz w:val="24"/>
          <w:szCs w:val="24"/>
        </w:rPr>
        <w:t>:</w:t>
      </w:r>
      <w:r w:rsidR="00FA225F" w:rsidRPr="0058334A">
        <w:rPr>
          <w:rFonts w:ascii="Times New Roman" w:hAnsi="Times New Roman" w:cs="Times New Roman"/>
          <w:sz w:val="24"/>
          <w:szCs w:val="24"/>
        </w:rPr>
        <w:t xml:space="preserve"> </w:t>
      </w:r>
      <w:r w:rsidR="00FA225F" w:rsidRPr="0058334A">
        <w:rPr>
          <w:rFonts w:ascii="Times New Roman" w:hAnsi="Times New Roman" w:cs="Times New Roman"/>
          <w:sz w:val="24"/>
          <w:szCs w:val="24"/>
        </w:rPr>
        <w:t>The Procter &amp; Gamble Company</w:t>
      </w:r>
      <w:r w:rsidR="00FA225F" w:rsidRPr="0058334A">
        <w:rPr>
          <w:rFonts w:ascii="Times New Roman" w:hAnsi="Times New Roman" w:cs="Times New Roman"/>
          <w:sz w:val="24"/>
          <w:szCs w:val="24"/>
        </w:rPr>
        <w:t xml:space="preserve"> (PG) and </w:t>
      </w:r>
      <w:r w:rsidR="00FA225F" w:rsidRPr="0058334A">
        <w:rPr>
          <w:rFonts w:ascii="Times New Roman" w:hAnsi="Times New Roman" w:cs="Times New Roman"/>
          <w:sz w:val="24"/>
          <w:szCs w:val="24"/>
        </w:rPr>
        <w:t>Colgate-Palmolive</w:t>
      </w:r>
      <w:r w:rsidR="00FA225F" w:rsidRPr="0058334A">
        <w:rPr>
          <w:rFonts w:ascii="Times New Roman" w:hAnsi="Times New Roman" w:cs="Times New Roman"/>
          <w:sz w:val="24"/>
          <w:szCs w:val="24"/>
        </w:rPr>
        <w:t xml:space="preserve"> (CL) as well as </w:t>
      </w:r>
      <w:r w:rsidR="00FA225F" w:rsidRPr="0058334A">
        <w:rPr>
          <w:rFonts w:ascii="Times New Roman" w:hAnsi="Times New Roman" w:cs="Times New Roman"/>
          <w:sz w:val="24"/>
          <w:szCs w:val="24"/>
        </w:rPr>
        <w:t>Unilever </w:t>
      </w:r>
      <w:r w:rsidR="00FA225F" w:rsidRPr="0058334A">
        <w:rPr>
          <w:rFonts w:ascii="Times New Roman" w:hAnsi="Times New Roman" w:cs="Times New Roman"/>
          <w:sz w:val="24"/>
          <w:szCs w:val="24"/>
        </w:rPr>
        <w:t xml:space="preserve">(UL) for good measure. </w:t>
      </w:r>
      <w:r w:rsidR="00FA225F" w:rsidRPr="0058334A">
        <w:rPr>
          <w:rFonts w:ascii="Times New Roman" w:hAnsi="Times New Roman" w:cs="Times New Roman"/>
          <w:sz w:val="24"/>
          <w:szCs w:val="24"/>
        </w:rPr>
        <w:t>Unilever </w:t>
      </w:r>
      <w:r w:rsidR="00FA225F" w:rsidRPr="0058334A">
        <w:rPr>
          <w:rFonts w:ascii="Times New Roman" w:hAnsi="Times New Roman" w:cs="Times New Roman"/>
          <w:sz w:val="24"/>
          <w:szCs w:val="24"/>
        </w:rPr>
        <w:t xml:space="preserve">is an ADR like the previously discussed </w:t>
      </w:r>
      <w:r w:rsidR="00E70D7B" w:rsidRPr="0058334A">
        <w:rPr>
          <w:rFonts w:ascii="Times New Roman" w:hAnsi="Times New Roman" w:cs="Times New Roman"/>
          <w:sz w:val="24"/>
          <w:szCs w:val="24"/>
        </w:rPr>
        <w:t>Experian;</w:t>
      </w:r>
      <w:r w:rsidR="00FA225F" w:rsidRPr="0058334A">
        <w:rPr>
          <w:rFonts w:ascii="Times New Roman" w:hAnsi="Times New Roman" w:cs="Times New Roman"/>
          <w:sz w:val="24"/>
          <w:szCs w:val="24"/>
        </w:rPr>
        <w:t xml:space="preserve"> however, Unilever is registered with the NYSE unlike Experian, which is a pink-sheet security.</w:t>
      </w:r>
      <w:r w:rsidR="00946BD3" w:rsidRPr="0058334A">
        <w:rPr>
          <w:rFonts w:ascii="Times New Roman" w:hAnsi="Times New Roman" w:cs="Times New Roman"/>
          <w:sz w:val="24"/>
          <w:szCs w:val="24"/>
        </w:rPr>
        <w:t xml:space="preserve"> It appears would not file a 10-K report with the Securities and Exchange Commission like Proctor and Gamble and Colgate-Palmolive, but Unilever does file a 20-F </w:t>
      </w:r>
      <w:r w:rsidR="00A9311D" w:rsidRPr="0058334A">
        <w:rPr>
          <w:rFonts w:ascii="Times New Roman" w:hAnsi="Times New Roman" w:cs="Times New Roman"/>
          <w:sz w:val="24"/>
          <w:szCs w:val="24"/>
        </w:rPr>
        <w:t>report and</w:t>
      </w:r>
      <w:r w:rsidR="00946BD3" w:rsidRPr="0058334A">
        <w:rPr>
          <w:rFonts w:ascii="Times New Roman" w:hAnsi="Times New Roman" w:cs="Times New Roman"/>
          <w:sz w:val="24"/>
          <w:szCs w:val="24"/>
        </w:rPr>
        <w:t xml:space="preserve"> would not file a 10-K report until the percentage ownership of Unilever reaches a threshold of 50% of outstanding voting shares of a company (Investopedia 2020)</w:t>
      </w:r>
      <w:r w:rsidR="00A9311D" w:rsidRPr="0058334A">
        <w:rPr>
          <w:rFonts w:ascii="Times New Roman" w:hAnsi="Times New Roman" w:cs="Times New Roman"/>
          <w:sz w:val="24"/>
          <w:szCs w:val="24"/>
        </w:rPr>
        <w:t>. The listed auditor for Unilever PLC is KPMG (Unilever, 20-F 2024)</w:t>
      </w:r>
      <w:r w:rsidR="00BC2311" w:rsidRPr="0058334A">
        <w:rPr>
          <w:rFonts w:ascii="Times New Roman" w:hAnsi="Times New Roman" w:cs="Times New Roman"/>
          <w:sz w:val="24"/>
          <w:szCs w:val="24"/>
        </w:rPr>
        <w:t xml:space="preserve"> </w:t>
      </w:r>
      <w:r w:rsidR="00BC2311" w:rsidRPr="0058334A">
        <w:rPr>
          <w:rFonts w:ascii="Times New Roman" w:hAnsi="Times New Roman" w:cs="Times New Roman"/>
          <w:sz w:val="24"/>
          <w:szCs w:val="24"/>
        </w:rPr>
        <w:t>Deloitte</w:t>
      </w:r>
      <w:r w:rsidR="00BC2311" w:rsidRPr="0058334A">
        <w:rPr>
          <w:rFonts w:ascii="Times New Roman" w:hAnsi="Times New Roman" w:cs="Times New Roman"/>
          <w:sz w:val="24"/>
          <w:szCs w:val="24"/>
        </w:rPr>
        <w:t xml:space="preserve"> is the listed auditor for Proctor and Gamble (</w:t>
      </w:r>
      <w:r w:rsidR="00BC2311" w:rsidRPr="0058334A">
        <w:rPr>
          <w:rFonts w:ascii="Times New Roman" w:hAnsi="Times New Roman" w:cs="Times New Roman"/>
          <w:sz w:val="24"/>
          <w:szCs w:val="24"/>
        </w:rPr>
        <w:t>The Procter &amp; Gamble Company</w:t>
      </w:r>
      <w:r w:rsidR="00BC2311" w:rsidRPr="0058334A">
        <w:rPr>
          <w:rFonts w:ascii="Times New Roman" w:hAnsi="Times New Roman" w:cs="Times New Roman"/>
          <w:sz w:val="24"/>
          <w:szCs w:val="24"/>
        </w:rPr>
        <w:t>, 10-K 2024)</w:t>
      </w:r>
      <w:r w:rsidR="000759D2" w:rsidRPr="0058334A">
        <w:rPr>
          <w:rFonts w:ascii="Times New Roman" w:hAnsi="Times New Roman" w:cs="Times New Roman"/>
          <w:sz w:val="24"/>
          <w:szCs w:val="24"/>
        </w:rPr>
        <w:t xml:space="preserve"> and PWC is listed as the auditor for the </w:t>
      </w:r>
      <w:r w:rsidR="000759D2" w:rsidRPr="0058334A">
        <w:rPr>
          <w:rFonts w:ascii="Times New Roman" w:hAnsi="Times New Roman" w:cs="Times New Roman"/>
          <w:sz w:val="24"/>
          <w:szCs w:val="24"/>
        </w:rPr>
        <w:t>Colgate-</w:t>
      </w:r>
      <w:r w:rsidR="000759D2" w:rsidRPr="0058334A">
        <w:rPr>
          <w:rFonts w:ascii="Times New Roman" w:hAnsi="Times New Roman" w:cs="Times New Roman"/>
          <w:sz w:val="24"/>
          <w:szCs w:val="24"/>
        </w:rPr>
        <w:lastRenderedPageBreak/>
        <w:t>Palmolive Company</w:t>
      </w:r>
      <w:r w:rsidR="000759D2" w:rsidRPr="0058334A">
        <w:rPr>
          <w:rFonts w:ascii="Times New Roman" w:hAnsi="Times New Roman" w:cs="Times New Roman"/>
          <w:sz w:val="24"/>
          <w:szCs w:val="24"/>
        </w:rPr>
        <w:t xml:space="preserve"> (</w:t>
      </w:r>
      <w:r w:rsidR="009A3B03" w:rsidRPr="0058334A">
        <w:rPr>
          <w:rFonts w:ascii="Times New Roman" w:hAnsi="Times New Roman" w:cs="Times New Roman"/>
          <w:sz w:val="24"/>
          <w:szCs w:val="24"/>
        </w:rPr>
        <w:t>Colgate-Palmolive Company</w:t>
      </w:r>
      <w:r w:rsidR="009A3B03" w:rsidRPr="0058334A">
        <w:rPr>
          <w:rFonts w:ascii="Times New Roman" w:hAnsi="Times New Roman" w:cs="Times New Roman"/>
          <w:sz w:val="24"/>
          <w:szCs w:val="24"/>
        </w:rPr>
        <w:t xml:space="preserve"> 10-K 2024). One commonality among all of these three companies is that they break up intangible assets according to different lines of products belonging to different lines of business within the larger company.</w:t>
      </w:r>
    </w:p>
    <w:p w14:paraId="34EDB737" w14:textId="116E2C0B" w:rsidR="00D35050" w:rsidRPr="0058334A" w:rsidRDefault="00015925" w:rsidP="00D46B15">
      <w:pPr>
        <w:spacing w:after="0" w:line="480" w:lineRule="auto"/>
        <w:ind w:firstLine="720"/>
        <w:rPr>
          <w:rFonts w:ascii="Times New Roman" w:hAnsi="Times New Roman" w:cs="Times New Roman"/>
          <w:sz w:val="24"/>
          <w:szCs w:val="24"/>
        </w:rPr>
      </w:pPr>
      <w:r w:rsidRPr="00015925">
        <w:rPr>
          <w:rFonts w:ascii="Times New Roman" w:hAnsi="Times New Roman" w:cs="Times New Roman"/>
          <w:b/>
          <w:bCs/>
          <w:sz w:val="24"/>
          <w:szCs w:val="24"/>
        </w:rPr>
        <w:t xml:space="preserve">Other </w:t>
      </w:r>
      <w:r>
        <w:rPr>
          <w:rFonts w:ascii="Times New Roman" w:hAnsi="Times New Roman" w:cs="Times New Roman"/>
          <w:b/>
          <w:bCs/>
          <w:sz w:val="24"/>
          <w:szCs w:val="24"/>
        </w:rPr>
        <w:t xml:space="preserve">Points of Interest: </w:t>
      </w:r>
      <w:r>
        <w:rPr>
          <w:rFonts w:ascii="Times New Roman" w:hAnsi="Times New Roman" w:cs="Times New Roman"/>
          <w:sz w:val="24"/>
          <w:szCs w:val="24"/>
        </w:rPr>
        <w:t xml:space="preserve">It may be interesting to see if there are any companies that have auditors other than the </w:t>
      </w:r>
      <w:r w:rsidR="00F73914">
        <w:rPr>
          <w:rFonts w:ascii="Times New Roman" w:hAnsi="Times New Roman" w:cs="Times New Roman"/>
          <w:sz w:val="24"/>
          <w:szCs w:val="24"/>
        </w:rPr>
        <w:t>ones,</w:t>
      </w:r>
      <w:r>
        <w:rPr>
          <w:rFonts w:ascii="Times New Roman" w:hAnsi="Times New Roman" w:cs="Times New Roman"/>
          <w:sz w:val="24"/>
          <w:szCs w:val="24"/>
        </w:rPr>
        <w:t xml:space="preserve"> we’ve become familiar with during the course of this paper.</w:t>
      </w:r>
      <w:r w:rsidR="00F73914">
        <w:rPr>
          <w:rFonts w:ascii="Times New Roman" w:hAnsi="Times New Roman" w:cs="Times New Roman"/>
          <w:sz w:val="24"/>
          <w:szCs w:val="24"/>
        </w:rPr>
        <w:t xml:space="preserve"> Using Fidelity’s stock screener, I’m going to see which companies use unfamiliar auditors, and my guess is that it would be companies with much smaller market caps, or companies that pink-sheet companies, or companies that are thinly traded.</w:t>
      </w:r>
      <w:r w:rsidR="00F2137F">
        <w:rPr>
          <w:rFonts w:ascii="Times New Roman" w:hAnsi="Times New Roman" w:cs="Times New Roman"/>
          <w:sz w:val="24"/>
          <w:szCs w:val="24"/>
        </w:rPr>
        <w:t xml:space="preserve"> </w:t>
      </w:r>
      <w:r w:rsidR="00F2137F" w:rsidRPr="00F2137F">
        <w:rPr>
          <w:rFonts w:ascii="Times New Roman" w:hAnsi="Times New Roman" w:cs="Times New Roman"/>
          <w:sz w:val="24"/>
          <w:szCs w:val="24"/>
        </w:rPr>
        <w:t>Aramark</w:t>
      </w:r>
      <w:r w:rsidR="00F2137F">
        <w:rPr>
          <w:rFonts w:ascii="Times New Roman" w:hAnsi="Times New Roman" w:cs="Times New Roman"/>
          <w:sz w:val="24"/>
          <w:szCs w:val="24"/>
        </w:rPr>
        <w:t xml:space="preserve"> (ARMK) is selected for the small cap data point: Deloitte (Aramark 10-K 2023). </w:t>
      </w:r>
      <w:r w:rsidR="00F2137F" w:rsidRPr="00F2137F">
        <w:rPr>
          <w:rFonts w:ascii="Times New Roman" w:hAnsi="Times New Roman" w:cs="Times New Roman"/>
          <w:sz w:val="24"/>
          <w:szCs w:val="24"/>
        </w:rPr>
        <w:t>Ambev</w:t>
      </w:r>
      <w:r w:rsidR="00F2137F">
        <w:rPr>
          <w:rFonts w:ascii="Times New Roman" w:hAnsi="Times New Roman" w:cs="Times New Roman"/>
          <w:sz w:val="24"/>
          <w:szCs w:val="24"/>
        </w:rPr>
        <w:t xml:space="preserve"> (ABEV): </w:t>
      </w:r>
      <w:r w:rsidR="00F2137F" w:rsidRPr="00F2137F">
        <w:rPr>
          <w:rFonts w:ascii="Times New Roman" w:hAnsi="Times New Roman" w:cs="Times New Roman"/>
          <w:sz w:val="24"/>
          <w:szCs w:val="24"/>
        </w:rPr>
        <w:t>PricewaterhouseCoopers</w:t>
      </w:r>
      <w:r w:rsidR="00F2137F">
        <w:rPr>
          <w:rFonts w:ascii="Times New Roman" w:hAnsi="Times New Roman" w:cs="Times New Roman"/>
          <w:sz w:val="24"/>
          <w:szCs w:val="24"/>
        </w:rPr>
        <w:t xml:space="preserve"> (ABEV 20-F 2024)</w:t>
      </w:r>
      <w:r w:rsidR="00755681">
        <w:rPr>
          <w:rFonts w:ascii="Times New Roman" w:hAnsi="Times New Roman" w:cs="Times New Roman"/>
          <w:sz w:val="24"/>
          <w:szCs w:val="24"/>
        </w:rPr>
        <w:t>. For a thinly traded stock: Lennar (</w:t>
      </w:r>
      <w:r w:rsidR="00755681" w:rsidRPr="00755681">
        <w:rPr>
          <w:rFonts w:ascii="Times New Roman" w:hAnsi="Times New Roman" w:cs="Times New Roman"/>
          <w:sz w:val="24"/>
          <w:szCs w:val="24"/>
        </w:rPr>
        <w:t>LEN/B</w:t>
      </w:r>
      <w:r w:rsidR="00755681">
        <w:rPr>
          <w:rFonts w:ascii="Times New Roman" w:hAnsi="Times New Roman" w:cs="Times New Roman"/>
          <w:sz w:val="24"/>
          <w:szCs w:val="24"/>
        </w:rPr>
        <w:t>): Deloitte</w:t>
      </w:r>
      <w:r w:rsidR="0067441F">
        <w:rPr>
          <w:rFonts w:ascii="Times New Roman" w:hAnsi="Times New Roman" w:cs="Times New Roman"/>
          <w:sz w:val="24"/>
          <w:szCs w:val="24"/>
        </w:rPr>
        <w:t xml:space="preserve"> (Lennar 10-K 2024)</w:t>
      </w:r>
      <w:r w:rsidR="00755681">
        <w:rPr>
          <w:rFonts w:ascii="Times New Roman" w:hAnsi="Times New Roman" w:cs="Times New Roman"/>
          <w:sz w:val="24"/>
          <w:szCs w:val="24"/>
        </w:rPr>
        <w:t>. The Lennar example is potentially not ideal since they have class A and class B shares.</w:t>
      </w:r>
      <w:r w:rsidR="00F2137F">
        <w:rPr>
          <w:rFonts w:ascii="Times New Roman" w:hAnsi="Times New Roman" w:cs="Times New Roman"/>
          <w:sz w:val="24"/>
          <w:szCs w:val="24"/>
        </w:rPr>
        <w:t xml:space="preserve"> </w:t>
      </w:r>
      <w:r w:rsidR="0067441F">
        <w:rPr>
          <w:rFonts w:ascii="Times New Roman" w:hAnsi="Times New Roman" w:cs="Times New Roman"/>
          <w:sz w:val="24"/>
          <w:szCs w:val="24"/>
        </w:rPr>
        <w:t xml:space="preserve">Another thinly traded company would be: </w:t>
      </w:r>
      <w:r w:rsidR="0067441F" w:rsidRPr="0067441F">
        <w:rPr>
          <w:rFonts w:ascii="Times New Roman" w:hAnsi="Times New Roman" w:cs="Times New Roman"/>
          <w:sz w:val="24"/>
          <w:szCs w:val="24"/>
        </w:rPr>
        <w:t>Universal Logistics</w:t>
      </w:r>
      <w:r w:rsidR="0067441F">
        <w:rPr>
          <w:rFonts w:ascii="Times New Roman" w:hAnsi="Times New Roman" w:cs="Times New Roman"/>
          <w:sz w:val="24"/>
          <w:szCs w:val="24"/>
        </w:rPr>
        <w:t xml:space="preserve"> (UHL)</w:t>
      </w:r>
      <w:r w:rsidR="00D93C81">
        <w:rPr>
          <w:rFonts w:ascii="Times New Roman" w:hAnsi="Times New Roman" w:cs="Times New Roman"/>
          <w:sz w:val="24"/>
          <w:szCs w:val="24"/>
        </w:rPr>
        <w:t xml:space="preserve"> </w:t>
      </w:r>
      <w:r w:rsidR="00D93C81" w:rsidRPr="00D93C81">
        <w:rPr>
          <w:rFonts w:ascii="Times New Roman" w:hAnsi="Times New Roman" w:cs="Times New Roman"/>
          <w:sz w:val="24"/>
          <w:szCs w:val="24"/>
        </w:rPr>
        <w:t>Grant Thornton L</w:t>
      </w:r>
      <w:r w:rsidR="00D93C81">
        <w:rPr>
          <w:rFonts w:ascii="Times New Roman" w:hAnsi="Times New Roman" w:cs="Times New Roman"/>
          <w:sz w:val="24"/>
          <w:szCs w:val="24"/>
        </w:rPr>
        <w:t>LP (</w:t>
      </w:r>
      <w:r w:rsidR="00D93C81" w:rsidRPr="0067441F">
        <w:rPr>
          <w:rFonts w:ascii="Times New Roman" w:hAnsi="Times New Roman" w:cs="Times New Roman"/>
          <w:sz w:val="24"/>
          <w:szCs w:val="24"/>
        </w:rPr>
        <w:t>Universal Logistics</w:t>
      </w:r>
      <w:r w:rsidR="00D93C81">
        <w:rPr>
          <w:rFonts w:ascii="Times New Roman" w:hAnsi="Times New Roman" w:cs="Times New Roman"/>
          <w:sz w:val="24"/>
          <w:szCs w:val="24"/>
        </w:rPr>
        <w:t xml:space="preserve"> Holdings, Inc. 10-K 2024). So we have a winner!</w:t>
      </w:r>
    </w:p>
    <w:p w14:paraId="2004A764" w14:textId="77777777" w:rsidR="0058334A" w:rsidRDefault="0058334A" w:rsidP="0058334A">
      <w:pPr>
        <w:jc w:val="center"/>
        <w:rPr>
          <w:rFonts w:ascii="Times New Roman" w:hAnsi="Times New Roman" w:cs="Times New Roman"/>
          <w:b/>
          <w:bCs/>
          <w:sz w:val="44"/>
          <w:szCs w:val="44"/>
        </w:rPr>
      </w:pPr>
    </w:p>
    <w:p w14:paraId="3F429EAF" w14:textId="77777777" w:rsidR="0058334A" w:rsidRDefault="0058334A" w:rsidP="0058334A">
      <w:pPr>
        <w:jc w:val="center"/>
        <w:rPr>
          <w:rFonts w:ascii="Times New Roman" w:hAnsi="Times New Roman" w:cs="Times New Roman"/>
          <w:b/>
          <w:bCs/>
          <w:sz w:val="44"/>
          <w:szCs w:val="44"/>
        </w:rPr>
      </w:pPr>
    </w:p>
    <w:p w14:paraId="026D99AA" w14:textId="77777777" w:rsidR="0058334A" w:rsidRDefault="0058334A" w:rsidP="0058334A">
      <w:pPr>
        <w:jc w:val="center"/>
        <w:rPr>
          <w:rFonts w:ascii="Times New Roman" w:hAnsi="Times New Roman" w:cs="Times New Roman"/>
          <w:b/>
          <w:bCs/>
          <w:sz w:val="44"/>
          <w:szCs w:val="44"/>
        </w:rPr>
      </w:pPr>
    </w:p>
    <w:p w14:paraId="1C39C2C0" w14:textId="77777777" w:rsidR="0058334A" w:rsidRDefault="0058334A" w:rsidP="0058334A">
      <w:pPr>
        <w:jc w:val="center"/>
        <w:rPr>
          <w:rFonts w:ascii="Times New Roman" w:hAnsi="Times New Roman" w:cs="Times New Roman"/>
          <w:b/>
          <w:bCs/>
          <w:sz w:val="44"/>
          <w:szCs w:val="44"/>
        </w:rPr>
      </w:pPr>
    </w:p>
    <w:p w14:paraId="2CB2A99D" w14:textId="77777777" w:rsidR="0058334A" w:rsidRDefault="0058334A" w:rsidP="0058334A">
      <w:pPr>
        <w:jc w:val="center"/>
        <w:rPr>
          <w:rFonts w:ascii="Times New Roman" w:hAnsi="Times New Roman" w:cs="Times New Roman"/>
          <w:b/>
          <w:bCs/>
          <w:sz w:val="44"/>
          <w:szCs w:val="44"/>
        </w:rPr>
      </w:pPr>
    </w:p>
    <w:p w14:paraId="73047BCE" w14:textId="77777777" w:rsidR="0058334A" w:rsidRDefault="0058334A" w:rsidP="0058334A">
      <w:pPr>
        <w:jc w:val="center"/>
        <w:rPr>
          <w:rFonts w:ascii="Times New Roman" w:hAnsi="Times New Roman" w:cs="Times New Roman"/>
          <w:b/>
          <w:bCs/>
          <w:sz w:val="44"/>
          <w:szCs w:val="44"/>
        </w:rPr>
      </w:pPr>
    </w:p>
    <w:p w14:paraId="24BEB730" w14:textId="5D21C161" w:rsidR="0058334A" w:rsidRPr="0058334A" w:rsidRDefault="0058334A" w:rsidP="0058334A">
      <w:pPr>
        <w:jc w:val="center"/>
        <w:rPr>
          <w:rFonts w:ascii="Times New Roman" w:hAnsi="Times New Roman" w:cs="Times New Roman"/>
          <w:b/>
          <w:bCs/>
          <w:sz w:val="72"/>
          <w:szCs w:val="72"/>
        </w:rPr>
      </w:pPr>
      <w:r w:rsidRPr="0058334A">
        <w:rPr>
          <w:rFonts w:ascii="Times New Roman" w:hAnsi="Times New Roman" w:cs="Times New Roman"/>
          <w:b/>
          <w:bCs/>
          <w:sz w:val="44"/>
          <w:szCs w:val="44"/>
        </w:rPr>
        <w:t>References</w:t>
      </w:r>
    </w:p>
    <w:p w14:paraId="17173031" w14:textId="77777777" w:rsidR="00761001" w:rsidRDefault="00761001" w:rsidP="0058334A">
      <w:pPr>
        <w:spacing w:after="0" w:line="480" w:lineRule="auto"/>
        <w:rPr>
          <w:rFonts w:ascii="Times New Roman" w:hAnsi="Times New Roman" w:cs="Times New Roman"/>
          <w:sz w:val="24"/>
          <w:szCs w:val="24"/>
        </w:rPr>
      </w:pPr>
    </w:p>
    <w:p w14:paraId="17566D87" w14:textId="199C2A80" w:rsidR="0058334A" w:rsidRDefault="00057AC6"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lastRenderedPageBreak/>
        <w:t xml:space="preserve">Baker Hughes Company "Form 10-K Annual Report." Securities and Exchange Commission, </w:t>
      </w:r>
      <w:r w:rsidR="0058334A">
        <w:rPr>
          <w:rFonts w:ascii="Times New Roman" w:hAnsi="Times New Roman" w:cs="Times New Roman"/>
          <w:sz w:val="24"/>
          <w:szCs w:val="24"/>
        </w:rPr>
        <w:t xml:space="preserve"> </w:t>
      </w:r>
      <w:r w:rsidR="0058334A">
        <w:rPr>
          <w:rFonts w:ascii="Times New Roman" w:hAnsi="Times New Roman" w:cs="Times New Roman"/>
          <w:sz w:val="24"/>
          <w:szCs w:val="24"/>
        </w:rPr>
        <w:br/>
        <w:t xml:space="preserve"> </w:t>
      </w:r>
      <w:r w:rsidR="0058334A">
        <w:rPr>
          <w:rFonts w:ascii="Times New Roman" w:hAnsi="Times New Roman" w:cs="Times New Roman"/>
          <w:sz w:val="24"/>
          <w:szCs w:val="24"/>
        </w:rPr>
        <w:tab/>
        <w:t xml:space="preserve"> </w:t>
      </w:r>
      <w:r w:rsidRPr="0058334A">
        <w:rPr>
          <w:rFonts w:ascii="Times New Roman" w:hAnsi="Times New Roman" w:cs="Times New Roman"/>
          <w:sz w:val="24"/>
          <w:szCs w:val="24"/>
        </w:rPr>
        <w:t>2024,</w:t>
      </w:r>
      <w:r w:rsidR="0058334A">
        <w:rPr>
          <w:rFonts w:ascii="Times New Roman" w:hAnsi="Times New Roman" w:cs="Times New Roman"/>
          <w:sz w:val="24"/>
          <w:szCs w:val="24"/>
        </w:rPr>
        <w:t xml:space="preserve"> </w:t>
      </w:r>
      <w:r w:rsidR="0058334A" w:rsidRPr="0058334A">
        <w:rPr>
          <w:rFonts w:ascii="Times New Roman" w:hAnsi="Times New Roman" w:cs="Times New Roman"/>
          <w:sz w:val="24"/>
          <w:szCs w:val="24"/>
        </w:rPr>
        <w:t>https://www.sec.gov/ix?doc=/Archives/edgar/data/1701605/0001701605240000</w:t>
      </w:r>
    </w:p>
    <w:p w14:paraId="00E3AB8E" w14:textId="02BB870C" w:rsidR="00057AC6" w:rsidRPr="0058334A" w:rsidRDefault="0058334A" w:rsidP="005833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057AC6" w:rsidRPr="0058334A">
        <w:rPr>
          <w:rFonts w:ascii="Times New Roman" w:hAnsi="Times New Roman" w:cs="Times New Roman"/>
          <w:sz w:val="24"/>
          <w:szCs w:val="24"/>
        </w:rPr>
        <w:t>33/bkr-20231231.htm</w:t>
      </w:r>
    </w:p>
    <w:p w14:paraId="18C43350" w14:textId="1D2D1551" w:rsidR="0058334A" w:rsidRDefault="000759D2"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Colgate-Palmolive Company</w:t>
      </w:r>
      <w:r w:rsidRPr="0058334A">
        <w:rPr>
          <w:rFonts w:ascii="Times New Roman" w:hAnsi="Times New Roman" w:cs="Times New Roman"/>
          <w:sz w:val="24"/>
          <w:szCs w:val="24"/>
        </w:rPr>
        <w:t xml:space="preserve">. </w:t>
      </w:r>
      <w:r w:rsidRPr="0058334A">
        <w:rPr>
          <w:rFonts w:ascii="Times New Roman" w:hAnsi="Times New Roman" w:cs="Times New Roman"/>
          <w:sz w:val="24"/>
          <w:szCs w:val="24"/>
        </w:rPr>
        <w:t xml:space="preserve">"Form 10-K Annual Report." Securities and Exchange </w:t>
      </w:r>
      <w:r w:rsidR="0058334A">
        <w:rPr>
          <w:rFonts w:ascii="Times New Roman" w:hAnsi="Times New Roman" w:cs="Times New Roman"/>
          <w:sz w:val="24"/>
          <w:szCs w:val="24"/>
        </w:rPr>
        <w:t xml:space="preserve">   </w:t>
      </w:r>
      <w:r w:rsidR="0058334A">
        <w:rPr>
          <w:rFonts w:ascii="Times New Roman" w:hAnsi="Times New Roman" w:cs="Times New Roman"/>
          <w:sz w:val="24"/>
          <w:szCs w:val="24"/>
        </w:rPr>
        <w:br/>
        <w:t xml:space="preserve"> </w:t>
      </w:r>
      <w:r w:rsidR="0058334A">
        <w:rPr>
          <w:rFonts w:ascii="Times New Roman" w:hAnsi="Times New Roman" w:cs="Times New Roman"/>
          <w:sz w:val="24"/>
          <w:szCs w:val="24"/>
        </w:rPr>
        <w:tab/>
      </w:r>
      <w:r w:rsidRPr="0058334A">
        <w:rPr>
          <w:rFonts w:ascii="Times New Roman" w:hAnsi="Times New Roman" w:cs="Times New Roman"/>
          <w:sz w:val="24"/>
          <w:szCs w:val="24"/>
        </w:rPr>
        <w:t>Commission,</w:t>
      </w:r>
      <w:r w:rsidR="0058334A">
        <w:rPr>
          <w:rFonts w:ascii="Times New Roman" w:hAnsi="Times New Roman" w:cs="Times New Roman"/>
          <w:sz w:val="24"/>
          <w:szCs w:val="24"/>
        </w:rPr>
        <w:t xml:space="preserve"> </w:t>
      </w:r>
      <w:r w:rsidRPr="0058334A">
        <w:rPr>
          <w:rFonts w:ascii="Times New Roman" w:hAnsi="Times New Roman" w:cs="Times New Roman"/>
          <w:sz w:val="24"/>
          <w:szCs w:val="24"/>
        </w:rPr>
        <w:t>2024,</w:t>
      </w:r>
      <w:r w:rsidR="0058334A">
        <w:rPr>
          <w:rFonts w:ascii="Times New Roman" w:hAnsi="Times New Roman" w:cs="Times New Roman"/>
          <w:sz w:val="24"/>
          <w:szCs w:val="24"/>
        </w:rPr>
        <w:t xml:space="preserve"> </w:t>
      </w:r>
      <w:r w:rsidR="0058334A" w:rsidRPr="0058334A">
        <w:rPr>
          <w:rFonts w:ascii="Times New Roman" w:hAnsi="Times New Roman" w:cs="Times New Roman"/>
          <w:sz w:val="24"/>
          <w:szCs w:val="24"/>
        </w:rPr>
        <w:t>https://www.sec.gov/ix?doc=/Archives/edgar/data/21665/0000</w:t>
      </w:r>
    </w:p>
    <w:p w14:paraId="431A82EF" w14:textId="7CD04454" w:rsidR="000759D2" w:rsidRPr="0058334A" w:rsidRDefault="0058334A" w:rsidP="0058334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0759D2" w:rsidRPr="0058334A">
        <w:rPr>
          <w:rFonts w:ascii="Times New Roman" w:hAnsi="Times New Roman" w:cs="Times New Roman"/>
          <w:sz w:val="24"/>
          <w:szCs w:val="24"/>
        </w:rPr>
        <w:t>02166524000003/cl-20231231.htm</w:t>
      </w:r>
    </w:p>
    <w:p w14:paraId="52E958B3" w14:textId="3EE46F77" w:rsidR="0058334A" w:rsidRPr="0058334A" w:rsidRDefault="0058334A"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Fidelity Management &amp; Research Company. (2024). “Sector/Industry/Sub-Industry: Stock </w:t>
      </w:r>
      <w:r>
        <w:rPr>
          <w:rFonts w:ascii="Times New Roman" w:hAnsi="Times New Roman" w:cs="Times New Roman"/>
          <w:sz w:val="24"/>
          <w:szCs w:val="24"/>
        </w:rPr>
        <w:br/>
        <w:t xml:space="preserve"> </w:t>
      </w:r>
      <w:r>
        <w:rPr>
          <w:rFonts w:ascii="Times New Roman" w:hAnsi="Times New Roman" w:cs="Times New Roman"/>
          <w:sz w:val="24"/>
          <w:szCs w:val="24"/>
        </w:rPr>
        <w:tab/>
      </w:r>
      <w:r w:rsidRPr="0058334A">
        <w:rPr>
          <w:rFonts w:ascii="Times New Roman" w:hAnsi="Times New Roman" w:cs="Times New Roman"/>
          <w:sz w:val="24"/>
          <w:szCs w:val="24"/>
        </w:rPr>
        <w:t>Screener Results,” Retrieved from Fidelity database on November 25</w:t>
      </w:r>
      <w:r w:rsidRPr="0058334A">
        <w:rPr>
          <w:rFonts w:ascii="Times New Roman" w:hAnsi="Times New Roman" w:cs="Times New Roman"/>
          <w:sz w:val="24"/>
          <w:szCs w:val="24"/>
          <w:vertAlign w:val="superscript"/>
        </w:rPr>
        <w:t>th</w:t>
      </w:r>
      <w:r w:rsidRPr="0058334A">
        <w:rPr>
          <w:rFonts w:ascii="Times New Roman" w:hAnsi="Times New Roman" w:cs="Times New Roman"/>
          <w:sz w:val="24"/>
          <w:szCs w:val="24"/>
        </w:rPr>
        <w:t>, 2024.</w:t>
      </w:r>
    </w:p>
    <w:p w14:paraId="49021803" w14:textId="77777777" w:rsidR="0058334A" w:rsidRDefault="0058334A"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Fidelity Management &amp; Research Company. (2024). “Experian ADR: Ownership Summary” </w:t>
      </w:r>
      <w:r>
        <w:rPr>
          <w:rFonts w:ascii="Times New Roman" w:hAnsi="Times New Roman" w:cs="Times New Roman"/>
          <w:sz w:val="24"/>
          <w:szCs w:val="24"/>
        </w:rPr>
        <w:t xml:space="preserve">  </w:t>
      </w:r>
    </w:p>
    <w:p w14:paraId="64112186" w14:textId="2DA17C08" w:rsidR="0058334A" w:rsidRPr="0058334A" w:rsidRDefault="0058334A" w:rsidP="0058334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58334A">
        <w:rPr>
          <w:rFonts w:ascii="Times New Roman" w:hAnsi="Times New Roman" w:cs="Times New Roman"/>
          <w:sz w:val="24"/>
          <w:szCs w:val="24"/>
        </w:rPr>
        <w:t>Retrieved from Fidelity database on November 25</w:t>
      </w:r>
      <w:r w:rsidRPr="0058334A">
        <w:rPr>
          <w:rFonts w:ascii="Times New Roman" w:hAnsi="Times New Roman" w:cs="Times New Roman"/>
          <w:sz w:val="24"/>
          <w:szCs w:val="24"/>
          <w:vertAlign w:val="superscript"/>
        </w:rPr>
        <w:t>th</w:t>
      </w:r>
      <w:r w:rsidRPr="0058334A">
        <w:rPr>
          <w:rFonts w:ascii="Times New Roman" w:hAnsi="Times New Roman" w:cs="Times New Roman"/>
          <w:sz w:val="24"/>
          <w:szCs w:val="24"/>
        </w:rPr>
        <w:t>, 2024.</w:t>
      </w:r>
    </w:p>
    <w:p w14:paraId="332931BA" w14:textId="49BF38F3" w:rsidR="0058334A" w:rsidRPr="0058334A" w:rsidRDefault="0058334A" w:rsidP="00C56F99">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Fidelity Management &amp; Research Company. (2024). “Transunion: Ownership </w:t>
      </w:r>
      <w:r w:rsidR="00360DFF" w:rsidRPr="0058334A">
        <w:rPr>
          <w:rFonts w:ascii="Times New Roman" w:hAnsi="Times New Roman" w:cs="Times New Roman"/>
          <w:sz w:val="24"/>
          <w:szCs w:val="24"/>
        </w:rPr>
        <w:t xml:space="preserve">Summary” </w:t>
      </w:r>
      <w:r w:rsidR="00360DFF">
        <w:rPr>
          <w:rFonts w:ascii="Times New Roman" w:hAnsi="Times New Roman" w:cs="Times New Roman"/>
          <w:sz w:val="24"/>
          <w:szCs w:val="24"/>
        </w:rPr>
        <w:t xml:space="preserve"> </w:t>
      </w:r>
      <w:r w:rsidR="00C56F99">
        <w:rPr>
          <w:rFonts w:ascii="Times New Roman" w:hAnsi="Times New Roman" w:cs="Times New Roman"/>
          <w:sz w:val="24"/>
          <w:szCs w:val="24"/>
        </w:rPr>
        <w:t xml:space="preserve">   </w:t>
      </w:r>
      <w:r w:rsidR="00C56F99">
        <w:rPr>
          <w:rFonts w:ascii="Times New Roman" w:hAnsi="Times New Roman" w:cs="Times New Roman"/>
          <w:sz w:val="24"/>
          <w:szCs w:val="24"/>
        </w:rPr>
        <w:br/>
        <w:t xml:space="preserve"> </w:t>
      </w:r>
      <w:r w:rsidR="00C56F99">
        <w:rPr>
          <w:rFonts w:ascii="Times New Roman" w:hAnsi="Times New Roman" w:cs="Times New Roman"/>
          <w:sz w:val="24"/>
          <w:szCs w:val="24"/>
        </w:rPr>
        <w:tab/>
      </w:r>
      <w:r w:rsidRPr="0058334A">
        <w:rPr>
          <w:rFonts w:ascii="Times New Roman" w:hAnsi="Times New Roman" w:cs="Times New Roman"/>
          <w:sz w:val="24"/>
          <w:szCs w:val="24"/>
        </w:rPr>
        <w:t>Retrieved from Fidelity database on November 25</w:t>
      </w:r>
      <w:r w:rsidRPr="0058334A">
        <w:rPr>
          <w:rFonts w:ascii="Times New Roman" w:hAnsi="Times New Roman" w:cs="Times New Roman"/>
          <w:sz w:val="24"/>
          <w:szCs w:val="24"/>
          <w:vertAlign w:val="superscript"/>
        </w:rPr>
        <w:t>th</w:t>
      </w:r>
      <w:r w:rsidRPr="0058334A">
        <w:rPr>
          <w:rFonts w:ascii="Times New Roman" w:hAnsi="Times New Roman" w:cs="Times New Roman"/>
          <w:sz w:val="24"/>
          <w:szCs w:val="24"/>
        </w:rPr>
        <w:t>, 2024.</w:t>
      </w:r>
    </w:p>
    <w:p w14:paraId="4E656F08" w14:textId="77777777" w:rsidR="0058334A" w:rsidRPr="0058334A" w:rsidRDefault="0058334A"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Fidelity Management &amp; Research Company. (2024). “Equifax: Ownership Summary” Retrieved </w:t>
      </w:r>
    </w:p>
    <w:p w14:paraId="2461728E" w14:textId="77777777" w:rsidR="0058334A" w:rsidRPr="0058334A" w:rsidRDefault="0058334A" w:rsidP="0058334A">
      <w:pPr>
        <w:spacing w:after="0" w:line="480" w:lineRule="auto"/>
        <w:ind w:firstLine="720"/>
        <w:rPr>
          <w:rFonts w:ascii="Times New Roman" w:hAnsi="Times New Roman" w:cs="Times New Roman"/>
          <w:sz w:val="24"/>
          <w:szCs w:val="24"/>
        </w:rPr>
      </w:pPr>
      <w:r w:rsidRPr="0058334A">
        <w:rPr>
          <w:rFonts w:ascii="Times New Roman" w:hAnsi="Times New Roman" w:cs="Times New Roman"/>
          <w:sz w:val="24"/>
          <w:szCs w:val="24"/>
        </w:rPr>
        <w:t>from Fidelity database on November 25</w:t>
      </w:r>
      <w:r w:rsidRPr="0058334A">
        <w:rPr>
          <w:rFonts w:ascii="Times New Roman" w:hAnsi="Times New Roman" w:cs="Times New Roman"/>
          <w:sz w:val="24"/>
          <w:szCs w:val="24"/>
          <w:vertAlign w:val="superscript"/>
        </w:rPr>
        <w:t>th</w:t>
      </w:r>
      <w:r w:rsidRPr="0058334A">
        <w:rPr>
          <w:rFonts w:ascii="Times New Roman" w:hAnsi="Times New Roman" w:cs="Times New Roman"/>
          <w:sz w:val="24"/>
          <w:szCs w:val="24"/>
        </w:rPr>
        <w:t>, 2024.</w:t>
      </w:r>
    </w:p>
    <w:p w14:paraId="76B3F8AA" w14:textId="3B4E7E64" w:rsidR="0058334A" w:rsidRPr="0058334A" w:rsidRDefault="0058334A" w:rsidP="00360DFF">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Financial Accounting Standards Board. (2024). “Accounting Standards Codification,” Retrieved</w:t>
      </w:r>
      <w:r w:rsidR="00360DFF">
        <w:rPr>
          <w:rFonts w:ascii="Times New Roman" w:hAnsi="Times New Roman" w:cs="Times New Roman"/>
          <w:sz w:val="24"/>
          <w:szCs w:val="24"/>
        </w:rPr>
        <w:br/>
        <w:t xml:space="preserve"> </w:t>
      </w:r>
      <w:r w:rsidR="00360DFF">
        <w:rPr>
          <w:rFonts w:ascii="Times New Roman" w:hAnsi="Times New Roman" w:cs="Times New Roman"/>
          <w:sz w:val="24"/>
          <w:szCs w:val="24"/>
        </w:rPr>
        <w:tab/>
      </w:r>
      <w:r w:rsidRPr="0058334A">
        <w:rPr>
          <w:rFonts w:ascii="Times New Roman" w:hAnsi="Times New Roman" w:cs="Times New Roman"/>
          <w:sz w:val="24"/>
          <w:szCs w:val="24"/>
        </w:rPr>
        <w:t xml:space="preserve"> from FASB Codification database on November 25</w:t>
      </w:r>
      <w:r w:rsidRPr="0058334A">
        <w:rPr>
          <w:rFonts w:ascii="Times New Roman" w:hAnsi="Times New Roman" w:cs="Times New Roman"/>
          <w:sz w:val="24"/>
          <w:szCs w:val="24"/>
          <w:vertAlign w:val="superscript"/>
        </w:rPr>
        <w:t>th</w:t>
      </w:r>
      <w:r w:rsidRPr="0058334A">
        <w:rPr>
          <w:rFonts w:ascii="Times New Roman" w:hAnsi="Times New Roman" w:cs="Times New Roman"/>
          <w:sz w:val="24"/>
          <w:szCs w:val="24"/>
        </w:rPr>
        <w:t>, 2024.</w:t>
      </w:r>
    </w:p>
    <w:p w14:paraId="41534D61" w14:textId="54DE8479" w:rsidR="004737B2" w:rsidRDefault="0058334A" w:rsidP="004737B2">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International Paper Company "Form 10-K Annual Report." Securities and Exchange </w:t>
      </w:r>
      <w:r w:rsidR="004737B2">
        <w:rPr>
          <w:rFonts w:ascii="Times New Roman" w:hAnsi="Times New Roman" w:cs="Times New Roman"/>
          <w:sz w:val="24"/>
          <w:szCs w:val="24"/>
        </w:rPr>
        <w:t xml:space="preserve">  </w:t>
      </w:r>
      <w:r w:rsidR="004737B2">
        <w:rPr>
          <w:rFonts w:ascii="Times New Roman" w:hAnsi="Times New Roman" w:cs="Times New Roman"/>
          <w:sz w:val="24"/>
          <w:szCs w:val="24"/>
        </w:rPr>
        <w:br/>
        <w:t xml:space="preserve"> </w:t>
      </w:r>
      <w:r w:rsidR="004737B2">
        <w:rPr>
          <w:rFonts w:ascii="Times New Roman" w:hAnsi="Times New Roman" w:cs="Times New Roman"/>
          <w:sz w:val="24"/>
          <w:szCs w:val="24"/>
        </w:rPr>
        <w:tab/>
      </w:r>
      <w:r w:rsidRPr="0058334A">
        <w:rPr>
          <w:rFonts w:ascii="Times New Roman" w:hAnsi="Times New Roman" w:cs="Times New Roman"/>
          <w:sz w:val="24"/>
          <w:szCs w:val="24"/>
        </w:rPr>
        <w:t>Commission, 2024,</w:t>
      </w:r>
      <w:r w:rsidR="004737B2">
        <w:rPr>
          <w:rFonts w:ascii="Times New Roman" w:hAnsi="Times New Roman" w:cs="Times New Roman"/>
          <w:sz w:val="24"/>
          <w:szCs w:val="24"/>
        </w:rPr>
        <w:t xml:space="preserve"> </w:t>
      </w:r>
      <w:r w:rsidR="004737B2" w:rsidRPr="004737B2">
        <w:rPr>
          <w:rFonts w:ascii="Times New Roman" w:hAnsi="Times New Roman" w:cs="Times New Roman"/>
          <w:sz w:val="24"/>
          <w:szCs w:val="24"/>
        </w:rPr>
        <w:t>https://www.sec.gov/ix?doc=/Archives/edgar/data/51434/000005143</w:t>
      </w:r>
    </w:p>
    <w:p w14:paraId="5A011BE7" w14:textId="2FD8131D" w:rsidR="0058334A" w:rsidRPr="0058334A" w:rsidRDefault="004737B2" w:rsidP="004737B2">
      <w:pPr>
        <w:spacing w:after="0" w:line="480" w:lineRule="auto"/>
        <w:ind w:firstLine="720"/>
        <w:rPr>
          <w:rFonts w:ascii="Times New Roman" w:hAnsi="Times New Roman" w:cs="Times New Roman"/>
          <w:sz w:val="24"/>
          <w:szCs w:val="24"/>
        </w:rPr>
      </w:pPr>
      <w:r w:rsidRPr="004737B2">
        <w:rPr>
          <w:rFonts w:ascii="Times New Roman" w:hAnsi="Times New Roman" w:cs="Times New Roman"/>
          <w:sz w:val="24"/>
          <w:szCs w:val="24"/>
        </w:rPr>
        <w:t>424000</w:t>
      </w:r>
      <w:r w:rsidR="0058334A" w:rsidRPr="0058334A">
        <w:rPr>
          <w:rFonts w:ascii="Times New Roman" w:hAnsi="Times New Roman" w:cs="Times New Roman"/>
          <w:sz w:val="24"/>
          <w:szCs w:val="24"/>
        </w:rPr>
        <w:t>024/ip-20231231.htm</w:t>
      </w:r>
    </w:p>
    <w:p w14:paraId="2BA526B2" w14:textId="77777777" w:rsidR="0058334A" w:rsidRPr="0058334A" w:rsidRDefault="0058334A"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Investopedia. Kenton, Will “What Is SEC Form 20-F? Definition, Requirements, and Who Files” </w:t>
      </w:r>
      <w:r w:rsidRPr="0058334A">
        <w:rPr>
          <w:rFonts w:ascii="Times New Roman" w:hAnsi="Times New Roman" w:cs="Times New Roman"/>
          <w:sz w:val="24"/>
          <w:szCs w:val="24"/>
        </w:rPr>
        <w:br/>
        <w:t xml:space="preserve"> </w:t>
      </w:r>
      <w:r w:rsidRPr="0058334A">
        <w:rPr>
          <w:rFonts w:ascii="Times New Roman" w:hAnsi="Times New Roman" w:cs="Times New Roman"/>
          <w:sz w:val="24"/>
          <w:szCs w:val="24"/>
        </w:rPr>
        <w:tab/>
        <w:t>December 27, 2020. https://www.investopedia.com/terms/s/sec-form-20-f.asp</w:t>
      </w:r>
    </w:p>
    <w:p w14:paraId="4FFE1F51" w14:textId="77777777" w:rsidR="0058334A" w:rsidRPr="0058334A" w:rsidRDefault="0058334A"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Packaging Corporation of America "Form 10-K Annual Report." Securities and Exchange </w:t>
      </w:r>
    </w:p>
    <w:p w14:paraId="6304479B" w14:textId="77777777" w:rsidR="0058334A" w:rsidRPr="0058334A" w:rsidRDefault="0058334A" w:rsidP="0058334A">
      <w:pPr>
        <w:spacing w:after="0" w:line="480" w:lineRule="auto"/>
        <w:ind w:left="720"/>
        <w:rPr>
          <w:rFonts w:ascii="Times New Roman" w:hAnsi="Times New Roman" w:cs="Times New Roman"/>
          <w:sz w:val="24"/>
          <w:szCs w:val="24"/>
        </w:rPr>
      </w:pPr>
      <w:r w:rsidRPr="0058334A">
        <w:rPr>
          <w:rFonts w:ascii="Times New Roman" w:hAnsi="Times New Roman" w:cs="Times New Roman"/>
          <w:sz w:val="24"/>
          <w:szCs w:val="24"/>
        </w:rPr>
        <w:t>Commission, 2024, https://www.sec.gov/ix?doc=/Archives/edgar/data/75677/000095017</w:t>
      </w:r>
    </w:p>
    <w:p w14:paraId="363C012A" w14:textId="77777777" w:rsidR="0058334A" w:rsidRPr="0058334A" w:rsidRDefault="0058334A" w:rsidP="0058334A">
      <w:pPr>
        <w:spacing w:after="0" w:line="480" w:lineRule="auto"/>
        <w:ind w:left="720"/>
        <w:rPr>
          <w:rFonts w:ascii="Times New Roman" w:hAnsi="Times New Roman" w:cs="Times New Roman"/>
          <w:sz w:val="24"/>
          <w:szCs w:val="24"/>
        </w:rPr>
      </w:pPr>
      <w:r w:rsidRPr="0058334A">
        <w:rPr>
          <w:rFonts w:ascii="Times New Roman" w:hAnsi="Times New Roman" w:cs="Times New Roman"/>
          <w:sz w:val="24"/>
          <w:szCs w:val="24"/>
        </w:rPr>
        <w:lastRenderedPageBreak/>
        <w:t>024022794/pkg-20231231.htm</w:t>
      </w:r>
    </w:p>
    <w:p w14:paraId="079A4549" w14:textId="59706CEF" w:rsidR="0058334A" w:rsidRDefault="0058334A"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Procter &amp; Gamble Company. "Form 10-K Annual Report." Securities and Exchange </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Pr>
          <w:rFonts w:ascii="Times New Roman" w:hAnsi="Times New Roman" w:cs="Times New Roman"/>
          <w:sz w:val="24"/>
          <w:szCs w:val="24"/>
        </w:rPr>
        <w:tab/>
      </w:r>
      <w:r w:rsidRPr="0058334A">
        <w:rPr>
          <w:rFonts w:ascii="Times New Roman" w:hAnsi="Times New Roman" w:cs="Times New Roman"/>
          <w:sz w:val="24"/>
          <w:szCs w:val="24"/>
        </w:rPr>
        <w:t>Commission,</w:t>
      </w:r>
      <w:r>
        <w:rPr>
          <w:rFonts w:ascii="Times New Roman" w:hAnsi="Times New Roman" w:cs="Times New Roman"/>
          <w:sz w:val="24"/>
          <w:szCs w:val="24"/>
        </w:rPr>
        <w:t xml:space="preserve"> </w:t>
      </w:r>
      <w:r w:rsidRPr="0058334A">
        <w:rPr>
          <w:rFonts w:ascii="Times New Roman" w:hAnsi="Times New Roman" w:cs="Times New Roman"/>
          <w:sz w:val="24"/>
          <w:szCs w:val="24"/>
        </w:rPr>
        <w:t>2024,</w:t>
      </w:r>
      <w:r>
        <w:rPr>
          <w:rFonts w:ascii="Times New Roman" w:hAnsi="Times New Roman" w:cs="Times New Roman"/>
          <w:sz w:val="24"/>
          <w:szCs w:val="24"/>
        </w:rPr>
        <w:t xml:space="preserve"> </w:t>
      </w:r>
      <w:hyperlink r:id="rId6" w:history="1">
        <w:r w:rsidRPr="00CF2A1E">
          <w:rPr>
            <w:rStyle w:val="Hyperlink"/>
            <w:rFonts w:ascii="Times New Roman" w:hAnsi="Times New Roman" w:cs="Times New Roman"/>
            <w:sz w:val="24"/>
            <w:szCs w:val="24"/>
          </w:rPr>
          <w:t>https://www.sec.gov/ix?doc=/Archives/edgar/data/80424</w:t>
        </w:r>
      </w:hyperlink>
    </w:p>
    <w:p w14:paraId="5BF12CDD" w14:textId="6A6C0267" w:rsidR="0058334A" w:rsidRPr="0058334A" w:rsidRDefault="0058334A" w:rsidP="0058334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58334A">
        <w:rPr>
          <w:rFonts w:ascii="Times New Roman" w:hAnsi="Times New Roman" w:cs="Times New Roman"/>
          <w:sz w:val="24"/>
          <w:szCs w:val="24"/>
        </w:rPr>
        <w:t>/000008042424000083/pg-20240630.htm</w:t>
      </w:r>
    </w:p>
    <w:p w14:paraId="46FBB865" w14:textId="77777777" w:rsidR="0058334A" w:rsidRPr="0058334A" w:rsidRDefault="0058334A"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Schlumberger N.V.</w:t>
      </w:r>
      <w:r w:rsidRPr="0058334A">
        <w:rPr>
          <w:rFonts w:ascii="Times New Roman" w:hAnsi="Times New Roman" w:cs="Times New Roman"/>
          <w:b/>
          <w:bCs/>
          <w:sz w:val="24"/>
          <w:szCs w:val="24"/>
        </w:rPr>
        <w:t xml:space="preserve"> </w:t>
      </w:r>
      <w:r w:rsidRPr="0058334A">
        <w:rPr>
          <w:rFonts w:ascii="Times New Roman" w:hAnsi="Times New Roman" w:cs="Times New Roman"/>
          <w:sz w:val="24"/>
          <w:szCs w:val="24"/>
        </w:rPr>
        <w:t>"Form 10-K Annual Report." Securities and Exchange Commission, 2024,</w:t>
      </w:r>
    </w:p>
    <w:p w14:paraId="41DDDA73" w14:textId="77777777" w:rsidR="0058334A" w:rsidRPr="0058334A" w:rsidRDefault="0058334A" w:rsidP="0058334A">
      <w:pPr>
        <w:spacing w:after="0" w:line="480" w:lineRule="auto"/>
        <w:ind w:firstLine="720"/>
        <w:rPr>
          <w:rFonts w:ascii="Times New Roman" w:hAnsi="Times New Roman" w:cs="Times New Roman"/>
          <w:sz w:val="24"/>
          <w:szCs w:val="24"/>
        </w:rPr>
      </w:pPr>
      <w:r w:rsidRPr="0058334A">
        <w:rPr>
          <w:rFonts w:ascii="Times New Roman" w:hAnsi="Times New Roman" w:cs="Times New Roman"/>
          <w:sz w:val="24"/>
          <w:szCs w:val="24"/>
        </w:rPr>
        <w:t>https://www.sec.gov/ix?doc=/Archives/edgar/data/87347/000095017024006884/slb-</w:t>
      </w:r>
    </w:p>
    <w:p w14:paraId="77124CDC" w14:textId="77777777" w:rsidR="0058334A" w:rsidRPr="0058334A" w:rsidRDefault="0058334A" w:rsidP="0058334A">
      <w:pPr>
        <w:spacing w:after="0" w:line="480" w:lineRule="auto"/>
        <w:ind w:firstLine="720"/>
        <w:rPr>
          <w:rFonts w:ascii="Times New Roman" w:hAnsi="Times New Roman" w:cs="Times New Roman"/>
          <w:sz w:val="24"/>
          <w:szCs w:val="24"/>
        </w:rPr>
      </w:pPr>
      <w:r w:rsidRPr="0058334A">
        <w:rPr>
          <w:rFonts w:ascii="Times New Roman" w:hAnsi="Times New Roman" w:cs="Times New Roman"/>
          <w:sz w:val="24"/>
          <w:szCs w:val="24"/>
        </w:rPr>
        <w:t>20231231.htm</w:t>
      </w:r>
    </w:p>
    <w:p w14:paraId="718C083A" w14:textId="4E3EF6E8" w:rsidR="0058334A" w:rsidRPr="0058334A" w:rsidRDefault="0058334A"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Spiceland, J. D., Nelson, M. W., Thomas, W. B., &amp; Winchel, J. (2023). Intermediate Accounting </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Pr>
          <w:rFonts w:ascii="Times New Roman" w:hAnsi="Times New Roman" w:cs="Times New Roman"/>
          <w:sz w:val="24"/>
          <w:szCs w:val="24"/>
        </w:rPr>
        <w:tab/>
      </w:r>
      <w:r w:rsidRPr="0058334A">
        <w:rPr>
          <w:rFonts w:ascii="Times New Roman" w:hAnsi="Times New Roman" w:cs="Times New Roman"/>
          <w:sz w:val="24"/>
          <w:szCs w:val="24"/>
        </w:rPr>
        <w:t>(11th ed.). McGraw Hill LLC.</w:t>
      </w:r>
    </w:p>
    <w:p w14:paraId="6C6BB863" w14:textId="77777777" w:rsidR="0058334A" w:rsidRPr="0058334A" w:rsidRDefault="0058334A"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Tapestry, Inc. "Form 10-K Annual Report." Securities and Exchange Commission, 2024, </w:t>
      </w:r>
      <w:r w:rsidRPr="0058334A">
        <w:rPr>
          <w:rFonts w:ascii="Times New Roman" w:hAnsi="Times New Roman" w:cs="Times New Roman"/>
          <w:sz w:val="24"/>
          <w:szCs w:val="24"/>
        </w:rPr>
        <w:br/>
        <w:t xml:space="preserve"> </w:t>
      </w:r>
      <w:r w:rsidRPr="0058334A">
        <w:rPr>
          <w:rFonts w:ascii="Times New Roman" w:hAnsi="Times New Roman" w:cs="Times New Roman"/>
          <w:sz w:val="24"/>
          <w:szCs w:val="24"/>
        </w:rPr>
        <w:tab/>
        <w:t>https://www.sec.gov/ix?doc=/Archives/edgar/data/1116132/000111</w:t>
      </w:r>
    </w:p>
    <w:p w14:paraId="7B8DA360" w14:textId="77777777" w:rsidR="0058334A" w:rsidRPr="0058334A" w:rsidRDefault="0058334A" w:rsidP="0058334A">
      <w:pPr>
        <w:spacing w:after="0" w:line="480" w:lineRule="auto"/>
        <w:ind w:left="720"/>
        <w:rPr>
          <w:rFonts w:ascii="Times New Roman" w:hAnsi="Times New Roman" w:cs="Times New Roman"/>
          <w:sz w:val="24"/>
          <w:szCs w:val="24"/>
        </w:rPr>
      </w:pPr>
      <w:r w:rsidRPr="0058334A">
        <w:rPr>
          <w:rFonts w:ascii="Times New Roman" w:hAnsi="Times New Roman" w:cs="Times New Roman"/>
          <w:sz w:val="24"/>
          <w:szCs w:val="24"/>
        </w:rPr>
        <w:t>613224000018/tpr-20240629.htm</w:t>
      </w:r>
    </w:p>
    <w:p w14:paraId="3AD04458" w14:textId="3BD3E312" w:rsidR="0058334A" w:rsidRDefault="0058334A" w:rsidP="0058334A">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Unilever PLC. "Form 20-F Annual / Transition Report." Securities and Exchange </w:t>
      </w:r>
      <w:r w:rsidRPr="0058334A">
        <w:rPr>
          <w:rFonts w:ascii="Times New Roman" w:hAnsi="Times New Roman" w:cs="Times New Roman"/>
          <w:sz w:val="24"/>
          <w:szCs w:val="24"/>
        </w:rPr>
        <w:t xml:space="preserve">Commission, </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Pr>
          <w:rFonts w:ascii="Times New Roman" w:hAnsi="Times New Roman" w:cs="Times New Roman"/>
          <w:sz w:val="24"/>
          <w:szCs w:val="24"/>
        </w:rPr>
        <w:tab/>
        <w:t xml:space="preserve"> </w:t>
      </w:r>
      <w:r w:rsidRPr="0058334A">
        <w:rPr>
          <w:rFonts w:ascii="Times New Roman" w:hAnsi="Times New Roman" w:cs="Times New Roman"/>
          <w:sz w:val="24"/>
          <w:szCs w:val="24"/>
        </w:rPr>
        <w:t>2024, https://www.sec.gov/ix?doc=/Archives/edgar/data/217410/000021741024000</w:t>
      </w:r>
    </w:p>
    <w:p w14:paraId="5063363A" w14:textId="4ABAF8F6" w:rsidR="00BC2311" w:rsidRPr="0058334A" w:rsidRDefault="0058334A" w:rsidP="0058334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58334A">
        <w:rPr>
          <w:rFonts w:ascii="Times New Roman" w:hAnsi="Times New Roman" w:cs="Times New Roman"/>
          <w:sz w:val="24"/>
          <w:szCs w:val="24"/>
        </w:rPr>
        <w:t>017/ul-</w:t>
      </w:r>
      <w:r w:rsidRPr="0058334A">
        <w:rPr>
          <w:rFonts w:ascii="Times New Roman" w:hAnsi="Times New Roman" w:cs="Times New Roman"/>
          <w:sz w:val="24"/>
          <w:szCs w:val="24"/>
        </w:rPr>
        <w:t>20231231.htm</w:t>
      </w:r>
    </w:p>
    <w:p w14:paraId="656DF10A" w14:textId="6C26A465" w:rsidR="006A0114" w:rsidRPr="0058334A" w:rsidRDefault="006A0114" w:rsidP="006A0114">
      <w:pPr>
        <w:spacing w:after="0" w:line="480" w:lineRule="auto"/>
        <w:rPr>
          <w:rFonts w:ascii="Times New Roman" w:hAnsi="Times New Roman" w:cs="Times New Roman"/>
          <w:sz w:val="24"/>
          <w:szCs w:val="24"/>
        </w:rPr>
      </w:pPr>
      <w:r w:rsidRPr="0058334A">
        <w:rPr>
          <w:rFonts w:ascii="Times New Roman" w:hAnsi="Times New Roman" w:cs="Times New Roman"/>
          <w:sz w:val="24"/>
          <w:szCs w:val="24"/>
        </w:rPr>
        <w:t xml:space="preserve">V.F. Corporation. "Form 10-K Annual Report." Securities and Exchange Commission, 2024, </w:t>
      </w:r>
      <w:r w:rsidRPr="0058334A">
        <w:rPr>
          <w:rFonts w:ascii="Times New Roman" w:hAnsi="Times New Roman" w:cs="Times New Roman"/>
          <w:sz w:val="24"/>
          <w:szCs w:val="24"/>
        </w:rPr>
        <w:br/>
        <w:t xml:space="preserve"> </w:t>
      </w:r>
      <w:r w:rsidRPr="0058334A">
        <w:rPr>
          <w:rFonts w:ascii="Times New Roman" w:hAnsi="Times New Roman" w:cs="Times New Roman"/>
          <w:sz w:val="24"/>
          <w:szCs w:val="24"/>
        </w:rPr>
        <w:tab/>
        <w:t>https://www.sec.gov/ix?doc=/Archives/edgar/data/103379/000010337924000008/vfc-</w:t>
      </w:r>
    </w:p>
    <w:p w14:paraId="6CA5EFB2" w14:textId="39EB1D61" w:rsidR="00836C01" w:rsidRPr="0058334A" w:rsidRDefault="006A0114" w:rsidP="0058334A">
      <w:pPr>
        <w:spacing w:after="0" w:line="480" w:lineRule="auto"/>
        <w:ind w:firstLine="720"/>
        <w:rPr>
          <w:rFonts w:ascii="Times New Roman" w:hAnsi="Times New Roman" w:cs="Times New Roman"/>
          <w:sz w:val="24"/>
          <w:szCs w:val="24"/>
        </w:rPr>
      </w:pPr>
      <w:r w:rsidRPr="0058334A">
        <w:rPr>
          <w:rFonts w:ascii="Times New Roman" w:hAnsi="Times New Roman" w:cs="Times New Roman"/>
          <w:sz w:val="24"/>
          <w:szCs w:val="24"/>
        </w:rPr>
        <w:t>20240330.htm</w:t>
      </w:r>
    </w:p>
    <w:sectPr w:rsidR="00836C01" w:rsidRPr="0058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8109C"/>
    <w:multiLevelType w:val="multilevel"/>
    <w:tmpl w:val="D788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773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E3"/>
    <w:rsid w:val="00015925"/>
    <w:rsid w:val="000339C5"/>
    <w:rsid w:val="00057AC6"/>
    <w:rsid w:val="000759D2"/>
    <w:rsid w:val="000851A0"/>
    <w:rsid w:val="000A794D"/>
    <w:rsid w:val="000C5003"/>
    <w:rsid w:val="00164C90"/>
    <w:rsid w:val="002A5420"/>
    <w:rsid w:val="00360DFF"/>
    <w:rsid w:val="00371747"/>
    <w:rsid w:val="004663FB"/>
    <w:rsid w:val="00472849"/>
    <w:rsid w:val="004737B2"/>
    <w:rsid w:val="00526971"/>
    <w:rsid w:val="00547B61"/>
    <w:rsid w:val="005816AC"/>
    <w:rsid w:val="0058334A"/>
    <w:rsid w:val="005E3610"/>
    <w:rsid w:val="0067441F"/>
    <w:rsid w:val="00690434"/>
    <w:rsid w:val="006A0114"/>
    <w:rsid w:val="006E567B"/>
    <w:rsid w:val="00721BCA"/>
    <w:rsid w:val="00725879"/>
    <w:rsid w:val="00755681"/>
    <w:rsid w:val="00761001"/>
    <w:rsid w:val="007B17EB"/>
    <w:rsid w:val="007E664A"/>
    <w:rsid w:val="00836C01"/>
    <w:rsid w:val="00841941"/>
    <w:rsid w:val="0085002C"/>
    <w:rsid w:val="00860BCE"/>
    <w:rsid w:val="00883534"/>
    <w:rsid w:val="008E0EC6"/>
    <w:rsid w:val="00917FD7"/>
    <w:rsid w:val="00946BD3"/>
    <w:rsid w:val="00995D40"/>
    <w:rsid w:val="009A3B03"/>
    <w:rsid w:val="009A3C68"/>
    <w:rsid w:val="00A9311D"/>
    <w:rsid w:val="00AB2E00"/>
    <w:rsid w:val="00AE383D"/>
    <w:rsid w:val="00BC2311"/>
    <w:rsid w:val="00C209FF"/>
    <w:rsid w:val="00C56F99"/>
    <w:rsid w:val="00CA08C0"/>
    <w:rsid w:val="00D027CE"/>
    <w:rsid w:val="00D35050"/>
    <w:rsid w:val="00D46B15"/>
    <w:rsid w:val="00D93C81"/>
    <w:rsid w:val="00E515E3"/>
    <w:rsid w:val="00E70D7B"/>
    <w:rsid w:val="00E903DD"/>
    <w:rsid w:val="00ED5CC2"/>
    <w:rsid w:val="00ED6EB8"/>
    <w:rsid w:val="00F2137F"/>
    <w:rsid w:val="00F37707"/>
    <w:rsid w:val="00F555BB"/>
    <w:rsid w:val="00F73914"/>
    <w:rsid w:val="00FA225F"/>
    <w:rsid w:val="00FE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21A2"/>
  <w15:chartTrackingRefBased/>
  <w15:docId w15:val="{FBDBA067-FB74-4182-B6D2-4E032E2F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5E3"/>
  </w:style>
  <w:style w:type="paragraph" w:styleId="Heading1">
    <w:name w:val="heading 1"/>
    <w:basedOn w:val="Normal"/>
    <w:next w:val="Normal"/>
    <w:link w:val="Heading1Char"/>
    <w:uiPriority w:val="9"/>
    <w:qFormat/>
    <w:rsid w:val="00E51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5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5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5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5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5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5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5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5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5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5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5E3"/>
    <w:rPr>
      <w:rFonts w:eastAsiaTheme="majorEastAsia" w:cstheme="majorBidi"/>
      <w:color w:val="272727" w:themeColor="text1" w:themeTint="D8"/>
    </w:rPr>
  </w:style>
  <w:style w:type="paragraph" w:styleId="Title">
    <w:name w:val="Title"/>
    <w:basedOn w:val="Normal"/>
    <w:next w:val="Normal"/>
    <w:link w:val="TitleChar"/>
    <w:uiPriority w:val="10"/>
    <w:qFormat/>
    <w:rsid w:val="00E51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5E3"/>
    <w:pPr>
      <w:spacing w:before="160"/>
      <w:jc w:val="center"/>
    </w:pPr>
    <w:rPr>
      <w:i/>
      <w:iCs/>
      <w:color w:val="404040" w:themeColor="text1" w:themeTint="BF"/>
    </w:rPr>
  </w:style>
  <w:style w:type="character" w:customStyle="1" w:styleId="QuoteChar">
    <w:name w:val="Quote Char"/>
    <w:basedOn w:val="DefaultParagraphFont"/>
    <w:link w:val="Quote"/>
    <w:uiPriority w:val="29"/>
    <w:rsid w:val="00E515E3"/>
    <w:rPr>
      <w:i/>
      <w:iCs/>
      <w:color w:val="404040" w:themeColor="text1" w:themeTint="BF"/>
    </w:rPr>
  </w:style>
  <w:style w:type="paragraph" w:styleId="ListParagraph">
    <w:name w:val="List Paragraph"/>
    <w:basedOn w:val="Normal"/>
    <w:uiPriority w:val="34"/>
    <w:qFormat/>
    <w:rsid w:val="00E515E3"/>
    <w:pPr>
      <w:ind w:left="720"/>
      <w:contextualSpacing/>
    </w:pPr>
  </w:style>
  <w:style w:type="character" w:styleId="IntenseEmphasis">
    <w:name w:val="Intense Emphasis"/>
    <w:basedOn w:val="DefaultParagraphFont"/>
    <w:uiPriority w:val="21"/>
    <w:qFormat/>
    <w:rsid w:val="00E515E3"/>
    <w:rPr>
      <w:i/>
      <w:iCs/>
      <w:color w:val="0F4761" w:themeColor="accent1" w:themeShade="BF"/>
    </w:rPr>
  </w:style>
  <w:style w:type="paragraph" w:styleId="IntenseQuote">
    <w:name w:val="Intense Quote"/>
    <w:basedOn w:val="Normal"/>
    <w:next w:val="Normal"/>
    <w:link w:val="IntenseQuoteChar"/>
    <w:uiPriority w:val="30"/>
    <w:qFormat/>
    <w:rsid w:val="00E51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5E3"/>
    <w:rPr>
      <w:i/>
      <w:iCs/>
      <w:color w:val="0F4761" w:themeColor="accent1" w:themeShade="BF"/>
    </w:rPr>
  </w:style>
  <w:style w:type="character" w:styleId="IntenseReference">
    <w:name w:val="Intense Reference"/>
    <w:basedOn w:val="DefaultParagraphFont"/>
    <w:uiPriority w:val="32"/>
    <w:qFormat/>
    <w:rsid w:val="00E515E3"/>
    <w:rPr>
      <w:b/>
      <w:bCs/>
      <w:smallCaps/>
      <w:color w:val="0F4761" w:themeColor="accent1" w:themeShade="BF"/>
      <w:spacing w:val="5"/>
    </w:rPr>
  </w:style>
  <w:style w:type="character" w:styleId="Hyperlink">
    <w:name w:val="Hyperlink"/>
    <w:basedOn w:val="DefaultParagraphFont"/>
    <w:uiPriority w:val="99"/>
    <w:unhideWhenUsed/>
    <w:rsid w:val="004663FB"/>
    <w:rPr>
      <w:color w:val="467886" w:themeColor="hyperlink"/>
      <w:u w:val="single"/>
    </w:rPr>
  </w:style>
  <w:style w:type="character" w:styleId="UnresolvedMention">
    <w:name w:val="Unresolved Mention"/>
    <w:basedOn w:val="DefaultParagraphFont"/>
    <w:uiPriority w:val="99"/>
    <w:semiHidden/>
    <w:unhideWhenUsed/>
    <w:rsid w:val="004663FB"/>
    <w:rPr>
      <w:color w:val="605E5C"/>
      <w:shd w:val="clear" w:color="auto" w:fill="E1DFDD"/>
    </w:rPr>
  </w:style>
  <w:style w:type="character" w:styleId="FollowedHyperlink">
    <w:name w:val="FollowedHyperlink"/>
    <w:basedOn w:val="DefaultParagraphFont"/>
    <w:uiPriority w:val="99"/>
    <w:semiHidden/>
    <w:unhideWhenUsed/>
    <w:rsid w:val="004663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376432">
      <w:bodyDiv w:val="1"/>
      <w:marLeft w:val="0"/>
      <w:marRight w:val="0"/>
      <w:marTop w:val="0"/>
      <w:marBottom w:val="0"/>
      <w:divBdr>
        <w:top w:val="none" w:sz="0" w:space="0" w:color="auto"/>
        <w:left w:val="none" w:sz="0" w:space="0" w:color="auto"/>
        <w:bottom w:val="none" w:sz="0" w:space="0" w:color="auto"/>
        <w:right w:val="none" w:sz="0" w:space="0" w:color="auto"/>
      </w:divBdr>
    </w:div>
    <w:div w:id="668292971">
      <w:bodyDiv w:val="1"/>
      <w:marLeft w:val="0"/>
      <w:marRight w:val="0"/>
      <w:marTop w:val="0"/>
      <w:marBottom w:val="0"/>
      <w:divBdr>
        <w:top w:val="none" w:sz="0" w:space="0" w:color="auto"/>
        <w:left w:val="none" w:sz="0" w:space="0" w:color="auto"/>
        <w:bottom w:val="none" w:sz="0" w:space="0" w:color="auto"/>
        <w:right w:val="none" w:sz="0" w:space="0" w:color="auto"/>
      </w:divBdr>
    </w:div>
    <w:div w:id="988098596">
      <w:bodyDiv w:val="1"/>
      <w:marLeft w:val="0"/>
      <w:marRight w:val="0"/>
      <w:marTop w:val="0"/>
      <w:marBottom w:val="0"/>
      <w:divBdr>
        <w:top w:val="none" w:sz="0" w:space="0" w:color="auto"/>
        <w:left w:val="none" w:sz="0" w:space="0" w:color="auto"/>
        <w:bottom w:val="none" w:sz="0" w:space="0" w:color="auto"/>
        <w:right w:val="none" w:sz="0" w:space="0" w:color="auto"/>
      </w:divBdr>
      <w:divsChild>
        <w:div w:id="403457334">
          <w:marLeft w:val="0"/>
          <w:marRight w:val="0"/>
          <w:marTop w:val="0"/>
          <w:marBottom w:val="0"/>
          <w:divBdr>
            <w:top w:val="none" w:sz="0" w:space="0" w:color="auto"/>
            <w:left w:val="none" w:sz="0" w:space="0" w:color="auto"/>
            <w:bottom w:val="none" w:sz="0" w:space="0" w:color="auto"/>
            <w:right w:val="none" w:sz="0" w:space="0" w:color="auto"/>
          </w:divBdr>
          <w:divsChild>
            <w:div w:id="1456674154">
              <w:marLeft w:val="0"/>
              <w:marRight w:val="0"/>
              <w:marTop w:val="0"/>
              <w:marBottom w:val="0"/>
              <w:divBdr>
                <w:top w:val="none" w:sz="0" w:space="0" w:color="auto"/>
                <w:left w:val="none" w:sz="0" w:space="0" w:color="auto"/>
                <w:bottom w:val="none" w:sz="0" w:space="0" w:color="auto"/>
                <w:right w:val="none" w:sz="0" w:space="0" w:color="auto"/>
              </w:divBdr>
              <w:divsChild>
                <w:div w:id="1122728277">
                  <w:marLeft w:val="0"/>
                  <w:marRight w:val="0"/>
                  <w:marTop w:val="0"/>
                  <w:marBottom w:val="0"/>
                  <w:divBdr>
                    <w:top w:val="none" w:sz="0" w:space="0" w:color="auto"/>
                    <w:left w:val="none" w:sz="0" w:space="0" w:color="auto"/>
                    <w:bottom w:val="none" w:sz="0" w:space="0" w:color="auto"/>
                    <w:right w:val="none" w:sz="0" w:space="0" w:color="auto"/>
                  </w:divBdr>
                  <w:divsChild>
                    <w:div w:id="453718822">
                      <w:marLeft w:val="0"/>
                      <w:marRight w:val="0"/>
                      <w:marTop w:val="75"/>
                      <w:marBottom w:val="0"/>
                      <w:divBdr>
                        <w:top w:val="single" w:sz="6" w:space="0" w:color="BBBBBB"/>
                        <w:left w:val="single" w:sz="6" w:space="0" w:color="BBBBBB"/>
                        <w:bottom w:val="single" w:sz="6" w:space="0" w:color="BBBBBB"/>
                        <w:right w:val="single" w:sz="6" w:space="0" w:color="BBBBBB"/>
                      </w:divBdr>
                      <w:divsChild>
                        <w:div w:id="903494544">
                          <w:marLeft w:val="0"/>
                          <w:marRight w:val="0"/>
                          <w:marTop w:val="0"/>
                          <w:marBottom w:val="0"/>
                          <w:divBdr>
                            <w:top w:val="none" w:sz="0" w:space="0" w:color="auto"/>
                            <w:left w:val="none" w:sz="0" w:space="0" w:color="auto"/>
                            <w:bottom w:val="none" w:sz="0" w:space="0" w:color="auto"/>
                            <w:right w:val="none" w:sz="0" w:space="0" w:color="auto"/>
                          </w:divBdr>
                          <w:divsChild>
                            <w:div w:id="1219514153">
                              <w:marLeft w:val="0"/>
                              <w:marRight w:val="0"/>
                              <w:marTop w:val="0"/>
                              <w:marBottom w:val="0"/>
                              <w:divBdr>
                                <w:top w:val="none" w:sz="0" w:space="0" w:color="auto"/>
                                <w:left w:val="none" w:sz="0" w:space="0" w:color="auto"/>
                                <w:bottom w:val="none" w:sz="0" w:space="0" w:color="auto"/>
                                <w:right w:val="none" w:sz="0" w:space="0" w:color="auto"/>
                              </w:divBdr>
                              <w:divsChild>
                                <w:div w:id="464004547">
                                  <w:marLeft w:val="0"/>
                                  <w:marRight w:val="0"/>
                                  <w:marTop w:val="0"/>
                                  <w:marBottom w:val="0"/>
                                  <w:divBdr>
                                    <w:top w:val="none" w:sz="0" w:space="0" w:color="auto"/>
                                    <w:left w:val="none" w:sz="0" w:space="0" w:color="auto"/>
                                    <w:bottom w:val="none" w:sz="0" w:space="0" w:color="auto"/>
                                    <w:right w:val="none" w:sz="0" w:space="0" w:color="auto"/>
                                  </w:divBdr>
                                </w:div>
                              </w:divsChild>
                            </w:div>
                            <w:div w:id="1278295388">
                              <w:marLeft w:val="0"/>
                              <w:marRight w:val="0"/>
                              <w:marTop w:val="0"/>
                              <w:marBottom w:val="0"/>
                              <w:divBdr>
                                <w:top w:val="none" w:sz="0" w:space="0" w:color="auto"/>
                                <w:left w:val="none" w:sz="0" w:space="0" w:color="auto"/>
                                <w:bottom w:val="none" w:sz="0" w:space="0" w:color="auto"/>
                                <w:right w:val="none" w:sz="0" w:space="0" w:color="auto"/>
                              </w:divBdr>
                            </w:div>
                            <w:div w:id="363361376">
                              <w:marLeft w:val="0"/>
                              <w:marRight w:val="0"/>
                              <w:marTop w:val="0"/>
                              <w:marBottom w:val="195"/>
                              <w:divBdr>
                                <w:top w:val="none" w:sz="0" w:space="0" w:color="auto"/>
                                <w:left w:val="none" w:sz="0" w:space="0" w:color="auto"/>
                                <w:bottom w:val="none" w:sz="0" w:space="0" w:color="auto"/>
                                <w:right w:val="none" w:sz="0" w:space="0" w:color="auto"/>
                              </w:divBdr>
                            </w:div>
                          </w:divsChild>
                        </w:div>
                        <w:div w:id="5624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98351">
      <w:bodyDiv w:val="1"/>
      <w:marLeft w:val="0"/>
      <w:marRight w:val="0"/>
      <w:marTop w:val="0"/>
      <w:marBottom w:val="0"/>
      <w:divBdr>
        <w:top w:val="none" w:sz="0" w:space="0" w:color="auto"/>
        <w:left w:val="none" w:sz="0" w:space="0" w:color="auto"/>
        <w:bottom w:val="none" w:sz="0" w:space="0" w:color="auto"/>
        <w:right w:val="none" w:sz="0" w:space="0" w:color="auto"/>
      </w:divBdr>
      <w:divsChild>
        <w:div w:id="1452361274">
          <w:marLeft w:val="0"/>
          <w:marRight w:val="0"/>
          <w:marTop w:val="0"/>
          <w:marBottom w:val="0"/>
          <w:divBdr>
            <w:top w:val="none" w:sz="0" w:space="0" w:color="auto"/>
            <w:left w:val="none" w:sz="0" w:space="0" w:color="auto"/>
            <w:bottom w:val="none" w:sz="0" w:space="0" w:color="auto"/>
            <w:right w:val="none" w:sz="0" w:space="0" w:color="auto"/>
          </w:divBdr>
          <w:divsChild>
            <w:div w:id="2047295264">
              <w:marLeft w:val="0"/>
              <w:marRight w:val="0"/>
              <w:marTop w:val="0"/>
              <w:marBottom w:val="0"/>
              <w:divBdr>
                <w:top w:val="none" w:sz="0" w:space="0" w:color="auto"/>
                <w:left w:val="none" w:sz="0" w:space="0" w:color="auto"/>
                <w:bottom w:val="none" w:sz="0" w:space="0" w:color="auto"/>
                <w:right w:val="none" w:sz="0" w:space="0" w:color="auto"/>
              </w:divBdr>
              <w:divsChild>
                <w:div w:id="426853704">
                  <w:marLeft w:val="0"/>
                  <w:marRight w:val="0"/>
                  <w:marTop w:val="0"/>
                  <w:marBottom w:val="0"/>
                  <w:divBdr>
                    <w:top w:val="none" w:sz="0" w:space="0" w:color="auto"/>
                    <w:left w:val="none" w:sz="0" w:space="0" w:color="auto"/>
                    <w:bottom w:val="none" w:sz="0" w:space="0" w:color="auto"/>
                    <w:right w:val="none" w:sz="0" w:space="0" w:color="auto"/>
                  </w:divBdr>
                  <w:divsChild>
                    <w:div w:id="498354088">
                      <w:marLeft w:val="0"/>
                      <w:marRight w:val="0"/>
                      <w:marTop w:val="75"/>
                      <w:marBottom w:val="0"/>
                      <w:divBdr>
                        <w:top w:val="single" w:sz="6" w:space="0" w:color="BBBBBB"/>
                        <w:left w:val="single" w:sz="6" w:space="0" w:color="BBBBBB"/>
                        <w:bottom w:val="single" w:sz="6" w:space="0" w:color="BBBBBB"/>
                        <w:right w:val="single" w:sz="6" w:space="0" w:color="BBBBBB"/>
                      </w:divBdr>
                      <w:divsChild>
                        <w:div w:id="375545756">
                          <w:marLeft w:val="0"/>
                          <w:marRight w:val="0"/>
                          <w:marTop w:val="0"/>
                          <w:marBottom w:val="0"/>
                          <w:divBdr>
                            <w:top w:val="none" w:sz="0" w:space="0" w:color="auto"/>
                            <w:left w:val="none" w:sz="0" w:space="0" w:color="auto"/>
                            <w:bottom w:val="none" w:sz="0" w:space="0" w:color="auto"/>
                            <w:right w:val="none" w:sz="0" w:space="0" w:color="auto"/>
                          </w:divBdr>
                          <w:divsChild>
                            <w:div w:id="1271160255">
                              <w:marLeft w:val="0"/>
                              <w:marRight w:val="0"/>
                              <w:marTop w:val="0"/>
                              <w:marBottom w:val="0"/>
                              <w:divBdr>
                                <w:top w:val="none" w:sz="0" w:space="0" w:color="auto"/>
                                <w:left w:val="none" w:sz="0" w:space="0" w:color="auto"/>
                                <w:bottom w:val="none" w:sz="0" w:space="0" w:color="auto"/>
                                <w:right w:val="none" w:sz="0" w:space="0" w:color="auto"/>
                              </w:divBdr>
                              <w:divsChild>
                                <w:div w:id="332758223">
                                  <w:marLeft w:val="0"/>
                                  <w:marRight w:val="0"/>
                                  <w:marTop w:val="0"/>
                                  <w:marBottom w:val="0"/>
                                  <w:divBdr>
                                    <w:top w:val="none" w:sz="0" w:space="0" w:color="auto"/>
                                    <w:left w:val="none" w:sz="0" w:space="0" w:color="auto"/>
                                    <w:bottom w:val="none" w:sz="0" w:space="0" w:color="auto"/>
                                    <w:right w:val="none" w:sz="0" w:space="0" w:color="auto"/>
                                  </w:divBdr>
                                </w:div>
                              </w:divsChild>
                            </w:div>
                            <w:div w:id="32119069">
                              <w:marLeft w:val="0"/>
                              <w:marRight w:val="0"/>
                              <w:marTop w:val="0"/>
                              <w:marBottom w:val="0"/>
                              <w:divBdr>
                                <w:top w:val="none" w:sz="0" w:space="0" w:color="auto"/>
                                <w:left w:val="none" w:sz="0" w:space="0" w:color="auto"/>
                                <w:bottom w:val="none" w:sz="0" w:space="0" w:color="auto"/>
                                <w:right w:val="none" w:sz="0" w:space="0" w:color="auto"/>
                              </w:divBdr>
                            </w:div>
                            <w:div w:id="77755788">
                              <w:marLeft w:val="0"/>
                              <w:marRight w:val="0"/>
                              <w:marTop w:val="0"/>
                              <w:marBottom w:val="195"/>
                              <w:divBdr>
                                <w:top w:val="none" w:sz="0" w:space="0" w:color="auto"/>
                                <w:left w:val="none" w:sz="0" w:space="0" w:color="auto"/>
                                <w:bottom w:val="none" w:sz="0" w:space="0" w:color="auto"/>
                                <w:right w:val="none" w:sz="0" w:space="0" w:color="auto"/>
                              </w:divBdr>
                            </w:div>
                          </w:divsChild>
                        </w:div>
                        <w:div w:id="2774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c.gov/ix?doc=/Archives/edgar/data/8042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4ECE8-C53A-445C-BE36-1487305C6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58</cp:revision>
  <dcterms:created xsi:type="dcterms:W3CDTF">2024-11-26T02:16:00Z</dcterms:created>
  <dcterms:modified xsi:type="dcterms:W3CDTF">2024-11-26T07:31:00Z</dcterms:modified>
</cp:coreProperties>
</file>