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1AB5E" w14:textId="77777777" w:rsidR="00DB3EAD" w:rsidRDefault="00DB3EAD" w:rsidP="00DB3EAD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proofErr w:type="spellStart"/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Gravitoelectromagnetism</w:t>
      </w:r>
      <w:proofErr w:type="spellEnd"/>
    </w:p>
    <w:p w14:paraId="6EAC64D8" w14:textId="43E32B2F" w:rsidR="00086490" w:rsidRPr="00DB3EAD" w:rsidRDefault="00DB3EAD">
      <w:bookmarkStart w:id="0" w:name="_GoBack"/>
      <w:bookmarkEnd w:id="0"/>
      <w:r w:rsidRPr="00DB3EAD">
        <w:rPr>
          <w:noProof/>
        </w:rPr>
        <w:drawing>
          <wp:inline distT="0" distB="0" distL="0" distR="0" wp14:anchorId="69C14A6F" wp14:editId="3BA7BC65">
            <wp:extent cx="420052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32DA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proofErr w:type="spellStart"/>
      <w:r w:rsidRPr="00DB3EAD">
        <w:rPr>
          <w:rFonts w:ascii="Arial" w:eastAsia="Times New Roman" w:hAnsi="Arial" w:cs="Arial"/>
          <w:b/>
          <w:bCs/>
          <w:sz w:val="21"/>
          <w:szCs w:val="21"/>
        </w:rPr>
        <w:t>E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g</w:t>
      </w:r>
      <w:proofErr w:type="spellEnd"/>
      <w:r w:rsidRPr="00DB3EAD">
        <w:rPr>
          <w:rFonts w:ascii="Arial" w:eastAsia="Times New Roman" w:hAnsi="Arial" w:cs="Arial"/>
          <w:sz w:val="21"/>
          <w:szCs w:val="21"/>
        </w:rPr>
        <w:t> is the </w:t>
      </w:r>
      <w:hyperlink r:id="rId6" w:tooltip="Gravitational field" w:history="1">
        <w:r w:rsidRPr="00DB3EAD">
          <w:rPr>
            <w:rFonts w:ascii="Arial" w:eastAsia="Times New Roman" w:hAnsi="Arial" w:cs="Arial"/>
            <w:sz w:val="21"/>
            <w:szCs w:val="21"/>
          </w:rPr>
          <w:t>static gravitational field</w:t>
        </w:r>
      </w:hyperlink>
      <w:r w:rsidRPr="00DB3EAD">
        <w:rPr>
          <w:rFonts w:ascii="Arial" w:eastAsia="Times New Roman" w:hAnsi="Arial" w:cs="Arial"/>
          <w:sz w:val="21"/>
          <w:szCs w:val="21"/>
        </w:rPr>
        <w:t> (conventional </w:t>
      </w:r>
      <w:hyperlink r:id="rId7" w:tooltip="Gravity" w:history="1">
        <w:r w:rsidRPr="00DB3EAD">
          <w:rPr>
            <w:rFonts w:ascii="Arial" w:eastAsia="Times New Roman" w:hAnsi="Arial" w:cs="Arial"/>
            <w:sz w:val="21"/>
            <w:szCs w:val="21"/>
          </w:rPr>
          <w:t>gravity</w:t>
        </w:r>
      </w:hyperlink>
      <w:r w:rsidRPr="00DB3EAD">
        <w:rPr>
          <w:rFonts w:ascii="Arial" w:eastAsia="Times New Roman" w:hAnsi="Arial" w:cs="Arial"/>
          <w:sz w:val="21"/>
          <w:szCs w:val="21"/>
        </w:rPr>
        <w:t>, also called </w:t>
      </w:r>
      <w:proofErr w:type="spellStart"/>
      <w:r w:rsidRPr="00DB3EAD">
        <w:rPr>
          <w:rFonts w:ascii="Arial" w:eastAsia="Times New Roman" w:hAnsi="Arial" w:cs="Arial"/>
          <w:i/>
          <w:iCs/>
          <w:sz w:val="21"/>
          <w:szCs w:val="21"/>
        </w:rPr>
        <w:t>gravitoelectric</w:t>
      </w:r>
      <w:proofErr w:type="spellEnd"/>
      <w:r w:rsidRPr="00DB3EAD">
        <w:rPr>
          <w:rFonts w:ascii="Arial" w:eastAsia="Times New Roman" w:hAnsi="Arial" w:cs="Arial"/>
          <w:sz w:val="21"/>
          <w:szCs w:val="21"/>
        </w:rPr>
        <w:t> in analogous usage) in m</w:t>
      </w:r>
      <w:r w:rsidRPr="00DB3EAD">
        <w:rPr>
          <w:rFonts w:ascii="Cambria Math" w:eastAsia="Times New Roman" w:hAnsi="Cambria Math" w:cs="Cambria Math"/>
          <w:sz w:val="21"/>
          <w:szCs w:val="21"/>
        </w:rPr>
        <w:t>⋅</w:t>
      </w:r>
      <w:r w:rsidRPr="00DB3EAD">
        <w:rPr>
          <w:rFonts w:ascii="Arial" w:eastAsia="Times New Roman" w:hAnsi="Arial" w:cs="Arial"/>
          <w:sz w:val="21"/>
          <w:szCs w:val="21"/>
        </w:rPr>
        <w:t>s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−2</w:t>
      </w:r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43FFC703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DB3EAD">
        <w:rPr>
          <w:rFonts w:ascii="Arial" w:eastAsia="Times New Roman" w:hAnsi="Arial" w:cs="Arial"/>
          <w:b/>
          <w:bCs/>
          <w:sz w:val="21"/>
          <w:szCs w:val="21"/>
        </w:rPr>
        <w:t>E</w:t>
      </w:r>
      <w:r w:rsidRPr="00DB3EAD">
        <w:rPr>
          <w:rFonts w:ascii="Arial" w:eastAsia="Times New Roman" w:hAnsi="Arial" w:cs="Arial"/>
          <w:sz w:val="21"/>
          <w:szCs w:val="21"/>
        </w:rPr>
        <w:t> is the </w:t>
      </w:r>
      <w:hyperlink r:id="rId8" w:tooltip="Electric field" w:history="1">
        <w:r w:rsidRPr="00DB3EAD">
          <w:rPr>
            <w:rFonts w:ascii="Arial" w:eastAsia="Times New Roman" w:hAnsi="Arial" w:cs="Arial"/>
            <w:sz w:val="21"/>
            <w:szCs w:val="21"/>
          </w:rPr>
          <w:t>electric field</w:t>
        </w:r>
      </w:hyperlink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4682948F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proofErr w:type="spellStart"/>
      <w:r w:rsidRPr="00DB3EAD">
        <w:rPr>
          <w:rFonts w:ascii="Arial" w:eastAsia="Times New Roman" w:hAnsi="Arial" w:cs="Arial"/>
          <w:b/>
          <w:bCs/>
          <w:sz w:val="21"/>
          <w:szCs w:val="21"/>
        </w:rPr>
        <w:t>B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g</w:t>
      </w:r>
      <w:proofErr w:type="spellEnd"/>
      <w:r w:rsidRPr="00DB3EAD">
        <w:rPr>
          <w:rFonts w:ascii="Arial" w:eastAsia="Times New Roman" w:hAnsi="Arial" w:cs="Arial"/>
          <w:sz w:val="21"/>
          <w:szCs w:val="21"/>
        </w:rPr>
        <w:t> is the gravitomagnetic field in s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−1</w:t>
      </w:r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1A89FCF4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DB3EAD">
        <w:rPr>
          <w:rFonts w:ascii="Arial" w:eastAsia="Times New Roman" w:hAnsi="Arial" w:cs="Arial"/>
          <w:b/>
          <w:bCs/>
          <w:sz w:val="21"/>
          <w:szCs w:val="21"/>
        </w:rPr>
        <w:t>B</w:t>
      </w:r>
      <w:r w:rsidRPr="00DB3EAD">
        <w:rPr>
          <w:rFonts w:ascii="Arial" w:eastAsia="Times New Roman" w:hAnsi="Arial" w:cs="Arial"/>
          <w:sz w:val="21"/>
          <w:szCs w:val="21"/>
        </w:rPr>
        <w:t> is the </w:t>
      </w:r>
      <w:hyperlink r:id="rId9" w:tooltip="Magnetic field" w:history="1">
        <w:r w:rsidRPr="00DB3EAD">
          <w:rPr>
            <w:rFonts w:ascii="Arial" w:eastAsia="Times New Roman" w:hAnsi="Arial" w:cs="Arial"/>
            <w:sz w:val="21"/>
            <w:szCs w:val="21"/>
          </w:rPr>
          <w:t>magnetic field</w:t>
        </w:r>
      </w:hyperlink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3AB9EFA9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proofErr w:type="spellStart"/>
      <w:r w:rsidRPr="00DB3EAD">
        <w:rPr>
          <w:rFonts w:ascii="Arial" w:eastAsia="Times New Roman" w:hAnsi="Arial" w:cs="Arial"/>
          <w:i/>
          <w:iCs/>
          <w:sz w:val="21"/>
          <w:szCs w:val="21"/>
        </w:rPr>
        <w:t>ρ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g</w:t>
      </w:r>
      <w:proofErr w:type="spellEnd"/>
      <w:r w:rsidRPr="00DB3EAD">
        <w:rPr>
          <w:rFonts w:ascii="Arial" w:eastAsia="Times New Roman" w:hAnsi="Arial" w:cs="Arial"/>
          <w:sz w:val="21"/>
          <w:szCs w:val="21"/>
        </w:rPr>
        <w:t> is </w:t>
      </w:r>
      <w:hyperlink r:id="rId10" w:tooltip="Density" w:history="1">
        <w:r w:rsidRPr="00DB3EAD">
          <w:rPr>
            <w:rFonts w:ascii="Arial" w:eastAsia="Times New Roman" w:hAnsi="Arial" w:cs="Arial"/>
            <w:sz w:val="21"/>
            <w:szCs w:val="21"/>
          </w:rPr>
          <w:t>mass density</w:t>
        </w:r>
      </w:hyperlink>
      <w:r w:rsidRPr="00DB3EAD">
        <w:rPr>
          <w:rFonts w:ascii="Arial" w:eastAsia="Times New Roman" w:hAnsi="Arial" w:cs="Arial"/>
          <w:sz w:val="21"/>
          <w:szCs w:val="21"/>
        </w:rPr>
        <w:t> in kg</w:t>
      </w:r>
      <w:r w:rsidRPr="00DB3EAD">
        <w:rPr>
          <w:rFonts w:ascii="Cambria Math" w:eastAsia="Times New Roman" w:hAnsi="Cambria Math" w:cs="Cambria Math"/>
          <w:sz w:val="21"/>
          <w:szCs w:val="21"/>
        </w:rPr>
        <w:t>⋅</w:t>
      </w:r>
      <w:r w:rsidRPr="00DB3EAD">
        <w:rPr>
          <w:rFonts w:ascii="Arial" w:eastAsia="Times New Roman" w:hAnsi="Arial" w:cs="Arial"/>
          <w:sz w:val="21"/>
          <w:szCs w:val="21"/>
        </w:rPr>
        <w:t>m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−3</w:t>
      </w:r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0A2C0A21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DB3EAD">
        <w:rPr>
          <w:rFonts w:ascii="Arial" w:eastAsia="Times New Roman" w:hAnsi="Arial" w:cs="Arial"/>
          <w:i/>
          <w:iCs/>
          <w:sz w:val="21"/>
          <w:szCs w:val="21"/>
        </w:rPr>
        <w:t>ρ</w:t>
      </w:r>
      <w:r w:rsidRPr="00DB3EAD">
        <w:rPr>
          <w:rFonts w:ascii="Arial" w:eastAsia="Times New Roman" w:hAnsi="Arial" w:cs="Arial"/>
          <w:sz w:val="21"/>
          <w:szCs w:val="21"/>
        </w:rPr>
        <w:t> is </w:t>
      </w:r>
      <w:hyperlink r:id="rId11" w:tooltip="Charge density" w:history="1">
        <w:r w:rsidRPr="00DB3EAD">
          <w:rPr>
            <w:rFonts w:ascii="Arial" w:eastAsia="Times New Roman" w:hAnsi="Arial" w:cs="Arial"/>
            <w:sz w:val="21"/>
            <w:szCs w:val="21"/>
          </w:rPr>
          <w:t>charge density</w:t>
        </w:r>
      </w:hyperlink>
      <w:r w:rsidRPr="00DB3EAD">
        <w:rPr>
          <w:rFonts w:ascii="Arial" w:eastAsia="Times New Roman" w:hAnsi="Arial" w:cs="Arial"/>
          <w:sz w:val="21"/>
          <w:szCs w:val="21"/>
        </w:rPr>
        <w:t>:</w:t>
      </w:r>
    </w:p>
    <w:p w14:paraId="568D3E66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proofErr w:type="spellStart"/>
      <w:r w:rsidRPr="00DB3EAD">
        <w:rPr>
          <w:rFonts w:ascii="Arial" w:eastAsia="Times New Roman" w:hAnsi="Arial" w:cs="Arial"/>
          <w:b/>
          <w:bCs/>
          <w:sz w:val="21"/>
          <w:szCs w:val="21"/>
        </w:rPr>
        <w:t>J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g</w:t>
      </w:r>
      <w:proofErr w:type="spellEnd"/>
      <w:r w:rsidRPr="00DB3EAD">
        <w:rPr>
          <w:rFonts w:ascii="Arial" w:eastAsia="Times New Roman" w:hAnsi="Arial" w:cs="Arial"/>
          <w:sz w:val="21"/>
          <w:szCs w:val="21"/>
        </w:rPr>
        <w:t> is mass current density or </w:t>
      </w:r>
      <w:hyperlink r:id="rId12" w:tooltip="Mass flux" w:history="1">
        <w:r w:rsidRPr="00DB3EAD">
          <w:rPr>
            <w:rFonts w:ascii="Arial" w:eastAsia="Times New Roman" w:hAnsi="Arial" w:cs="Arial"/>
            <w:sz w:val="21"/>
            <w:szCs w:val="21"/>
          </w:rPr>
          <w:t>mass flux</w:t>
        </w:r>
      </w:hyperlink>
      <w:r w:rsidRPr="00DB3EAD">
        <w:rPr>
          <w:rFonts w:ascii="Arial" w:eastAsia="Times New Roman" w:hAnsi="Arial" w:cs="Arial"/>
          <w:sz w:val="21"/>
          <w:szCs w:val="21"/>
        </w:rPr>
        <w:t> (</w:t>
      </w:r>
      <w:proofErr w:type="spellStart"/>
      <w:r w:rsidRPr="00DB3EAD">
        <w:rPr>
          <w:rFonts w:ascii="Arial" w:eastAsia="Times New Roman" w:hAnsi="Arial" w:cs="Arial"/>
          <w:b/>
          <w:bCs/>
          <w:sz w:val="21"/>
          <w:szCs w:val="21"/>
        </w:rPr>
        <w:t>J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g</w:t>
      </w:r>
      <w:proofErr w:type="spellEnd"/>
      <w:r w:rsidRPr="00DB3EAD">
        <w:rPr>
          <w:rFonts w:ascii="Arial" w:eastAsia="Times New Roman" w:hAnsi="Arial" w:cs="Arial"/>
          <w:sz w:val="21"/>
          <w:szCs w:val="21"/>
        </w:rPr>
        <w:t> = </w:t>
      </w:r>
      <w:proofErr w:type="spellStart"/>
      <w:r w:rsidRPr="00DB3EAD">
        <w:rPr>
          <w:rFonts w:ascii="Arial" w:eastAsia="Times New Roman" w:hAnsi="Arial" w:cs="Arial"/>
          <w:i/>
          <w:iCs/>
          <w:sz w:val="21"/>
          <w:szCs w:val="21"/>
        </w:rPr>
        <w:t>ρ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g</w:t>
      </w:r>
      <w:r w:rsidRPr="00DB3EAD">
        <w:rPr>
          <w:rFonts w:ascii="Arial" w:eastAsia="Times New Roman" w:hAnsi="Arial" w:cs="Arial"/>
          <w:b/>
          <w:bCs/>
          <w:sz w:val="21"/>
          <w:szCs w:val="21"/>
        </w:rPr>
        <w:t>v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ρ</w:t>
      </w:r>
      <w:proofErr w:type="spellEnd"/>
      <w:r w:rsidRPr="00DB3EAD">
        <w:rPr>
          <w:rFonts w:ascii="Arial" w:eastAsia="Times New Roman" w:hAnsi="Arial" w:cs="Arial"/>
          <w:sz w:val="21"/>
          <w:szCs w:val="21"/>
        </w:rPr>
        <w:t>, where </w:t>
      </w:r>
      <w:proofErr w:type="spellStart"/>
      <w:r w:rsidRPr="00DB3EAD">
        <w:rPr>
          <w:rFonts w:ascii="Arial" w:eastAsia="Times New Roman" w:hAnsi="Arial" w:cs="Arial"/>
          <w:b/>
          <w:bCs/>
          <w:sz w:val="21"/>
          <w:szCs w:val="21"/>
        </w:rPr>
        <w:t>v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ρ</w:t>
      </w:r>
      <w:proofErr w:type="spellEnd"/>
      <w:r w:rsidRPr="00DB3EAD">
        <w:rPr>
          <w:rFonts w:ascii="Arial" w:eastAsia="Times New Roman" w:hAnsi="Arial" w:cs="Arial"/>
          <w:sz w:val="21"/>
          <w:szCs w:val="21"/>
        </w:rPr>
        <w:t> is the </w:t>
      </w:r>
      <w:hyperlink r:id="rId13" w:tooltip="Velocity" w:history="1">
        <w:r w:rsidRPr="00DB3EAD">
          <w:rPr>
            <w:rFonts w:ascii="Arial" w:eastAsia="Times New Roman" w:hAnsi="Arial" w:cs="Arial"/>
            <w:sz w:val="21"/>
            <w:szCs w:val="21"/>
          </w:rPr>
          <w:t>velocity</w:t>
        </w:r>
      </w:hyperlink>
      <w:r w:rsidRPr="00DB3EAD">
        <w:rPr>
          <w:rFonts w:ascii="Arial" w:eastAsia="Times New Roman" w:hAnsi="Arial" w:cs="Arial"/>
          <w:sz w:val="21"/>
          <w:szCs w:val="21"/>
        </w:rPr>
        <w:t> of the mass flow generating the gravitomagnetic field) in kg</w:t>
      </w:r>
      <w:r w:rsidRPr="00DB3EAD">
        <w:rPr>
          <w:rFonts w:ascii="Cambria Math" w:eastAsia="Times New Roman" w:hAnsi="Cambria Math" w:cs="Cambria Math"/>
          <w:sz w:val="21"/>
          <w:szCs w:val="21"/>
        </w:rPr>
        <w:t>⋅</w:t>
      </w:r>
      <w:r w:rsidRPr="00DB3EAD">
        <w:rPr>
          <w:rFonts w:ascii="Arial" w:eastAsia="Times New Roman" w:hAnsi="Arial" w:cs="Arial"/>
          <w:sz w:val="21"/>
          <w:szCs w:val="21"/>
        </w:rPr>
        <w:t>m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−2</w:t>
      </w:r>
      <w:r w:rsidRPr="00DB3EAD">
        <w:rPr>
          <w:rFonts w:ascii="Cambria Math" w:eastAsia="Times New Roman" w:hAnsi="Cambria Math" w:cs="Cambria Math"/>
          <w:sz w:val="21"/>
          <w:szCs w:val="21"/>
        </w:rPr>
        <w:t>⋅</w:t>
      </w:r>
      <w:r w:rsidRPr="00DB3EAD">
        <w:rPr>
          <w:rFonts w:ascii="Arial" w:eastAsia="Times New Roman" w:hAnsi="Arial" w:cs="Arial"/>
          <w:sz w:val="21"/>
          <w:szCs w:val="21"/>
        </w:rPr>
        <w:t>s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−1</w:t>
      </w:r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039FA18E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DB3EAD">
        <w:rPr>
          <w:rFonts w:ascii="Arial" w:eastAsia="Times New Roman" w:hAnsi="Arial" w:cs="Arial"/>
          <w:b/>
          <w:bCs/>
          <w:sz w:val="21"/>
          <w:szCs w:val="21"/>
        </w:rPr>
        <w:t>J</w:t>
      </w:r>
      <w:r w:rsidRPr="00DB3EAD">
        <w:rPr>
          <w:rFonts w:ascii="Arial" w:eastAsia="Times New Roman" w:hAnsi="Arial" w:cs="Arial"/>
          <w:sz w:val="21"/>
          <w:szCs w:val="21"/>
        </w:rPr>
        <w:t> is electric </w:t>
      </w:r>
      <w:hyperlink r:id="rId14" w:tooltip="Current density" w:history="1">
        <w:r w:rsidRPr="00DB3EAD">
          <w:rPr>
            <w:rFonts w:ascii="Arial" w:eastAsia="Times New Roman" w:hAnsi="Arial" w:cs="Arial"/>
            <w:sz w:val="21"/>
            <w:szCs w:val="21"/>
          </w:rPr>
          <w:t>current density</w:t>
        </w:r>
      </w:hyperlink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1E05778A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DB3EAD">
        <w:rPr>
          <w:rFonts w:ascii="Arial" w:eastAsia="Times New Roman" w:hAnsi="Arial" w:cs="Arial"/>
          <w:i/>
          <w:iCs/>
          <w:sz w:val="21"/>
          <w:szCs w:val="21"/>
        </w:rPr>
        <w:t>G</w:t>
      </w:r>
      <w:r w:rsidRPr="00DB3EAD">
        <w:rPr>
          <w:rFonts w:ascii="Arial" w:eastAsia="Times New Roman" w:hAnsi="Arial" w:cs="Arial"/>
          <w:sz w:val="21"/>
          <w:szCs w:val="21"/>
        </w:rPr>
        <w:t> is the </w:t>
      </w:r>
      <w:hyperlink r:id="rId15" w:tooltip="Gravitational constant" w:history="1">
        <w:r w:rsidRPr="00DB3EAD">
          <w:rPr>
            <w:rFonts w:ascii="Arial" w:eastAsia="Times New Roman" w:hAnsi="Arial" w:cs="Arial"/>
            <w:sz w:val="21"/>
            <w:szCs w:val="21"/>
          </w:rPr>
          <w:t>gravitational constant</w:t>
        </w:r>
      </w:hyperlink>
      <w:r w:rsidRPr="00DB3EAD">
        <w:rPr>
          <w:rFonts w:ascii="Arial" w:eastAsia="Times New Roman" w:hAnsi="Arial" w:cs="Arial"/>
          <w:sz w:val="21"/>
          <w:szCs w:val="21"/>
        </w:rPr>
        <w:t> in m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3</w:t>
      </w:r>
      <w:r w:rsidRPr="00DB3EAD">
        <w:rPr>
          <w:rFonts w:ascii="Cambria Math" w:eastAsia="Times New Roman" w:hAnsi="Cambria Math" w:cs="Cambria Math"/>
          <w:sz w:val="21"/>
          <w:szCs w:val="21"/>
        </w:rPr>
        <w:t>⋅</w:t>
      </w:r>
      <w:r w:rsidRPr="00DB3EAD">
        <w:rPr>
          <w:rFonts w:ascii="Arial" w:eastAsia="Times New Roman" w:hAnsi="Arial" w:cs="Arial"/>
          <w:sz w:val="21"/>
          <w:szCs w:val="21"/>
        </w:rPr>
        <w:t>kg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−1</w:t>
      </w:r>
      <w:r w:rsidRPr="00DB3EAD">
        <w:rPr>
          <w:rFonts w:ascii="Cambria Math" w:eastAsia="Times New Roman" w:hAnsi="Cambria Math" w:cs="Cambria Math"/>
          <w:sz w:val="21"/>
          <w:szCs w:val="21"/>
        </w:rPr>
        <w:t>⋅</w:t>
      </w:r>
      <w:r w:rsidRPr="00DB3EAD">
        <w:rPr>
          <w:rFonts w:ascii="Arial" w:eastAsia="Times New Roman" w:hAnsi="Arial" w:cs="Arial"/>
          <w:sz w:val="21"/>
          <w:szCs w:val="21"/>
        </w:rPr>
        <w:t>s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−2</w:t>
      </w:r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52C7B064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DB3EAD">
        <w:rPr>
          <w:rFonts w:ascii="Arial" w:eastAsia="Times New Roman" w:hAnsi="Arial" w:cs="Arial"/>
          <w:i/>
          <w:iCs/>
          <w:sz w:val="21"/>
          <w:szCs w:val="21"/>
        </w:rPr>
        <w:t>ε</w:t>
      </w:r>
      <w:r w:rsidRPr="00DB3EAD">
        <w:rPr>
          <w:rFonts w:ascii="Arial" w:eastAsia="Times New Roman" w:hAnsi="Arial" w:cs="Arial"/>
          <w:sz w:val="17"/>
          <w:szCs w:val="17"/>
          <w:vertAlign w:val="subscript"/>
        </w:rPr>
        <w:t>0</w:t>
      </w:r>
      <w:r w:rsidRPr="00DB3EAD">
        <w:rPr>
          <w:rFonts w:ascii="Arial" w:eastAsia="Times New Roman" w:hAnsi="Arial" w:cs="Arial"/>
          <w:sz w:val="21"/>
          <w:szCs w:val="21"/>
        </w:rPr>
        <w:t> is the </w:t>
      </w:r>
      <w:hyperlink r:id="rId16" w:tooltip="Vacuum permittivity" w:history="1">
        <w:r w:rsidRPr="00DB3EAD">
          <w:rPr>
            <w:rFonts w:ascii="Arial" w:eastAsia="Times New Roman" w:hAnsi="Arial" w:cs="Arial"/>
            <w:sz w:val="21"/>
            <w:szCs w:val="21"/>
          </w:rPr>
          <w:t>vacuum permittivity</w:t>
        </w:r>
      </w:hyperlink>
      <w:r w:rsidRPr="00DB3EAD">
        <w:rPr>
          <w:rFonts w:ascii="Arial" w:eastAsia="Times New Roman" w:hAnsi="Arial" w:cs="Arial"/>
          <w:sz w:val="21"/>
          <w:szCs w:val="21"/>
        </w:rPr>
        <w:t>;</w:t>
      </w:r>
    </w:p>
    <w:p w14:paraId="51C6BC33" w14:textId="77777777" w:rsidR="00DB3EAD" w:rsidRPr="00DB3EAD" w:rsidRDefault="00DB3EAD" w:rsidP="00DB3E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DB3EAD">
        <w:rPr>
          <w:rFonts w:ascii="Arial" w:eastAsia="Times New Roman" w:hAnsi="Arial" w:cs="Arial"/>
          <w:i/>
          <w:iCs/>
          <w:sz w:val="21"/>
          <w:szCs w:val="21"/>
        </w:rPr>
        <w:t>c</w:t>
      </w:r>
      <w:r w:rsidRPr="00DB3EAD">
        <w:rPr>
          <w:rFonts w:ascii="Arial" w:eastAsia="Times New Roman" w:hAnsi="Arial" w:cs="Arial"/>
          <w:sz w:val="21"/>
          <w:szCs w:val="21"/>
        </w:rPr>
        <w:t> is the </w:t>
      </w:r>
      <w:hyperlink r:id="rId17" w:tooltip="Speed of gravity" w:history="1">
        <w:r w:rsidRPr="00DB3EAD">
          <w:rPr>
            <w:rFonts w:ascii="Arial" w:eastAsia="Times New Roman" w:hAnsi="Arial" w:cs="Arial"/>
            <w:sz w:val="21"/>
            <w:szCs w:val="21"/>
          </w:rPr>
          <w:t>speed of propagation of gravity</w:t>
        </w:r>
      </w:hyperlink>
      <w:r w:rsidRPr="00DB3EAD">
        <w:rPr>
          <w:rFonts w:ascii="Arial" w:eastAsia="Times New Roman" w:hAnsi="Arial" w:cs="Arial"/>
          <w:sz w:val="21"/>
          <w:szCs w:val="21"/>
        </w:rPr>
        <w:t> (which is equal to the </w:t>
      </w:r>
      <w:hyperlink r:id="rId18" w:tooltip="Speed of light" w:history="1">
        <w:r w:rsidRPr="00DB3EAD">
          <w:rPr>
            <w:rFonts w:ascii="Arial" w:eastAsia="Times New Roman" w:hAnsi="Arial" w:cs="Arial"/>
            <w:sz w:val="21"/>
            <w:szCs w:val="21"/>
          </w:rPr>
          <w:t>speed of light</w:t>
        </w:r>
      </w:hyperlink>
      <w:r w:rsidRPr="00DB3EAD">
        <w:rPr>
          <w:rFonts w:ascii="Arial" w:eastAsia="Times New Roman" w:hAnsi="Arial" w:cs="Arial"/>
          <w:sz w:val="21"/>
          <w:szCs w:val="21"/>
        </w:rPr>
        <w:t> according to </w:t>
      </w:r>
      <w:hyperlink r:id="rId19" w:tooltip="General relativity" w:history="1">
        <w:r w:rsidRPr="00DB3EAD">
          <w:rPr>
            <w:rFonts w:ascii="Arial" w:eastAsia="Times New Roman" w:hAnsi="Arial" w:cs="Arial"/>
            <w:sz w:val="21"/>
            <w:szCs w:val="21"/>
          </w:rPr>
          <w:t>general relativity</w:t>
        </w:r>
      </w:hyperlink>
      <w:r w:rsidRPr="00DB3EAD">
        <w:rPr>
          <w:rFonts w:ascii="Arial" w:eastAsia="Times New Roman" w:hAnsi="Arial" w:cs="Arial"/>
          <w:sz w:val="21"/>
          <w:szCs w:val="21"/>
        </w:rPr>
        <w:t>) in m</w:t>
      </w:r>
      <w:r w:rsidRPr="00DB3EAD">
        <w:rPr>
          <w:rFonts w:ascii="Cambria Math" w:eastAsia="Times New Roman" w:hAnsi="Cambria Math" w:cs="Cambria Math"/>
          <w:sz w:val="21"/>
          <w:szCs w:val="21"/>
        </w:rPr>
        <w:t>⋅</w:t>
      </w:r>
      <w:r w:rsidRPr="00DB3EAD">
        <w:rPr>
          <w:rFonts w:ascii="Arial" w:eastAsia="Times New Roman" w:hAnsi="Arial" w:cs="Arial"/>
          <w:sz w:val="21"/>
          <w:szCs w:val="21"/>
        </w:rPr>
        <w:t>s</w:t>
      </w:r>
      <w:r w:rsidRPr="00DB3EAD">
        <w:rPr>
          <w:rFonts w:ascii="Arial" w:eastAsia="Times New Roman" w:hAnsi="Arial" w:cs="Arial"/>
          <w:sz w:val="17"/>
          <w:szCs w:val="17"/>
          <w:vertAlign w:val="superscript"/>
        </w:rPr>
        <w:t>−1</w:t>
      </w:r>
      <w:r w:rsidRPr="00DB3EAD">
        <w:rPr>
          <w:rFonts w:ascii="Arial" w:eastAsia="Times New Roman" w:hAnsi="Arial" w:cs="Arial"/>
          <w:sz w:val="21"/>
          <w:szCs w:val="21"/>
        </w:rPr>
        <w:t>.</w:t>
      </w:r>
    </w:p>
    <w:p w14:paraId="502EE27E" w14:textId="3700D5C8" w:rsidR="00DB3EAD" w:rsidRPr="00DB3EAD" w:rsidRDefault="00DB3EAD" w:rsidP="00DB3EA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DB3EAD">
        <w:rPr>
          <w:rFonts w:ascii="Arial" w:eastAsia="Times New Roman" w:hAnsi="Arial" w:cs="Arial"/>
          <w:b/>
          <w:bCs/>
          <w:sz w:val="29"/>
          <w:szCs w:val="29"/>
        </w:rPr>
        <w:t>Lorentz force</w:t>
      </w:r>
    </w:p>
    <w:p w14:paraId="31B3E02E" w14:textId="77777777" w:rsidR="00DB3EAD" w:rsidRPr="00DB3EAD" w:rsidRDefault="00DB3EAD" w:rsidP="00DB3EA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DB3EAD">
        <w:rPr>
          <w:rFonts w:ascii="Arial" w:eastAsia="Times New Roman" w:hAnsi="Arial" w:cs="Arial"/>
          <w:sz w:val="21"/>
          <w:szCs w:val="21"/>
        </w:rPr>
        <w:t>For a test particle whose mass </w:t>
      </w:r>
      <w:r w:rsidRPr="00DB3EAD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DB3EAD">
        <w:rPr>
          <w:rFonts w:ascii="Arial" w:eastAsia="Times New Roman" w:hAnsi="Arial" w:cs="Arial"/>
          <w:sz w:val="21"/>
          <w:szCs w:val="21"/>
        </w:rPr>
        <w:t> is "small", in a stationary system, the net (Lorentz) force acting on it due to a GEM field is described by the following GEM analog to the </w:t>
      </w:r>
      <w:hyperlink r:id="rId20" w:tooltip="Lorentz force" w:history="1">
        <w:r w:rsidRPr="00DB3EAD">
          <w:rPr>
            <w:rFonts w:ascii="Arial" w:eastAsia="Times New Roman" w:hAnsi="Arial" w:cs="Arial"/>
            <w:sz w:val="21"/>
            <w:szCs w:val="21"/>
          </w:rPr>
          <w:t>Lorentz force</w:t>
        </w:r>
      </w:hyperlink>
      <w:r w:rsidRPr="00DB3EAD">
        <w:rPr>
          <w:rFonts w:ascii="Arial" w:eastAsia="Times New Roman" w:hAnsi="Arial" w:cs="Arial"/>
          <w:sz w:val="21"/>
          <w:szCs w:val="21"/>
        </w:rPr>
        <w:t> equation:</w:t>
      </w:r>
    </w:p>
    <w:p w14:paraId="18E0BA53" w14:textId="6211D4F1" w:rsidR="00DB3EAD" w:rsidRPr="00DB3EAD" w:rsidRDefault="00DB3EAD">
      <w:r w:rsidRPr="00DB3EAD">
        <w:rPr>
          <w:noProof/>
        </w:rPr>
        <w:drawing>
          <wp:inline distT="0" distB="0" distL="0" distR="0" wp14:anchorId="4D92D6AF" wp14:editId="2382BC97">
            <wp:extent cx="350520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CF09" w14:textId="77777777" w:rsidR="00DB3EAD" w:rsidRPr="00DB3EAD" w:rsidRDefault="00DB3EAD" w:rsidP="00DB3EA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</w:rPr>
      </w:pPr>
      <w:r w:rsidRPr="00DB3EAD">
        <w:rPr>
          <w:rFonts w:ascii="Arial" w:hAnsi="Arial" w:cs="Arial"/>
          <w:b/>
          <w:bCs/>
          <w:sz w:val="21"/>
          <w:szCs w:val="21"/>
        </w:rPr>
        <w:t>v</w:t>
      </w:r>
      <w:r w:rsidRPr="00DB3EAD">
        <w:rPr>
          <w:rFonts w:ascii="Arial" w:hAnsi="Arial" w:cs="Arial"/>
          <w:sz w:val="21"/>
          <w:szCs w:val="21"/>
        </w:rPr>
        <w:t> is the </w:t>
      </w:r>
      <w:hyperlink r:id="rId22" w:tooltip="Velocity" w:history="1">
        <w:r w:rsidRPr="00DB3EAD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velocity</w:t>
        </w:r>
      </w:hyperlink>
      <w:r w:rsidRPr="00DB3EAD">
        <w:rPr>
          <w:rFonts w:ascii="Arial" w:hAnsi="Arial" w:cs="Arial"/>
          <w:sz w:val="21"/>
          <w:szCs w:val="21"/>
        </w:rPr>
        <w:t> of the </w:t>
      </w:r>
      <w:hyperlink r:id="rId23" w:tooltip="Test particle" w:history="1">
        <w:r w:rsidRPr="00DB3EAD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test particle</w:t>
        </w:r>
      </w:hyperlink>
      <w:r w:rsidRPr="00DB3EAD">
        <w:rPr>
          <w:rFonts w:ascii="Arial" w:hAnsi="Arial" w:cs="Arial"/>
          <w:sz w:val="21"/>
          <w:szCs w:val="21"/>
        </w:rPr>
        <w:t>;</w:t>
      </w:r>
    </w:p>
    <w:p w14:paraId="645E583F" w14:textId="77777777" w:rsidR="00DB3EAD" w:rsidRPr="00DB3EAD" w:rsidRDefault="00DB3EAD" w:rsidP="00DB3EA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</w:rPr>
      </w:pPr>
      <w:r w:rsidRPr="00DB3EAD">
        <w:rPr>
          <w:rFonts w:ascii="Arial" w:hAnsi="Arial" w:cs="Arial"/>
          <w:i/>
          <w:iCs/>
          <w:sz w:val="21"/>
          <w:szCs w:val="21"/>
        </w:rPr>
        <w:t>m</w:t>
      </w:r>
      <w:r w:rsidRPr="00DB3EAD">
        <w:rPr>
          <w:rFonts w:ascii="Arial" w:hAnsi="Arial" w:cs="Arial"/>
          <w:sz w:val="21"/>
          <w:szCs w:val="21"/>
        </w:rPr>
        <w:t> is the </w:t>
      </w:r>
      <w:hyperlink r:id="rId24" w:tooltip="Mass" w:history="1">
        <w:r w:rsidRPr="00DB3EAD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mass</w:t>
        </w:r>
      </w:hyperlink>
      <w:r w:rsidRPr="00DB3EAD">
        <w:rPr>
          <w:rFonts w:ascii="Arial" w:hAnsi="Arial" w:cs="Arial"/>
          <w:sz w:val="21"/>
          <w:szCs w:val="21"/>
        </w:rPr>
        <w:t> of the test particle;</w:t>
      </w:r>
    </w:p>
    <w:p w14:paraId="126C49C6" w14:textId="77777777" w:rsidR="00DB3EAD" w:rsidRPr="00DB3EAD" w:rsidRDefault="00DB3EAD" w:rsidP="00DB3EA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</w:rPr>
      </w:pPr>
      <w:r w:rsidRPr="00DB3EAD">
        <w:rPr>
          <w:rFonts w:ascii="Arial" w:hAnsi="Arial" w:cs="Arial"/>
          <w:i/>
          <w:iCs/>
          <w:sz w:val="21"/>
          <w:szCs w:val="21"/>
        </w:rPr>
        <w:t>q</w:t>
      </w:r>
      <w:r w:rsidRPr="00DB3EAD">
        <w:rPr>
          <w:rFonts w:ascii="Arial" w:hAnsi="Arial" w:cs="Arial"/>
          <w:sz w:val="21"/>
          <w:szCs w:val="21"/>
        </w:rPr>
        <w:t> is the </w:t>
      </w:r>
      <w:hyperlink r:id="rId25" w:tooltip="Electric charge" w:history="1">
        <w:r w:rsidRPr="00DB3EAD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electric charge</w:t>
        </w:r>
      </w:hyperlink>
      <w:r w:rsidRPr="00DB3EAD">
        <w:rPr>
          <w:rFonts w:ascii="Arial" w:hAnsi="Arial" w:cs="Arial"/>
          <w:sz w:val="21"/>
          <w:szCs w:val="21"/>
        </w:rPr>
        <w:t> of the test particle.</w:t>
      </w:r>
    </w:p>
    <w:p w14:paraId="5F56DF15" w14:textId="5E473721" w:rsidR="00DB3EAD" w:rsidRPr="00DB3EAD" w:rsidRDefault="00DB3EAD" w:rsidP="00DB3EA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sz w:val="29"/>
          <w:szCs w:val="29"/>
        </w:rPr>
      </w:pPr>
      <w:r w:rsidRPr="00DB3EAD">
        <w:rPr>
          <w:rStyle w:val="mw-headline"/>
          <w:rFonts w:ascii="Arial" w:hAnsi="Arial" w:cs="Arial"/>
          <w:sz w:val="29"/>
          <w:szCs w:val="29"/>
        </w:rPr>
        <w:t>Poynting vector</w:t>
      </w:r>
    </w:p>
    <w:p w14:paraId="22B924A3" w14:textId="77777777" w:rsidR="00DB3EAD" w:rsidRPr="00DB3EAD" w:rsidRDefault="00DB3EAD" w:rsidP="00DB3EA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DB3EAD">
        <w:rPr>
          <w:rFonts w:ascii="Arial" w:hAnsi="Arial" w:cs="Arial"/>
          <w:sz w:val="21"/>
          <w:szCs w:val="21"/>
        </w:rPr>
        <w:t>The GEM Poynting vector compared to the electromagnetic </w:t>
      </w:r>
      <w:hyperlink r:id="rId26" w:tooltip="Poynting vector" w:history="1">
        <w:r w:rsidRPr="00DB3EAD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Poynting vector</w:t>
        </w:r>
      </w:hyperlink>
      <w:r w:rsidRPr="00DB3EAD">
        <w:rPr>
          <w:rFonts w:ascii="Arial" w:hAnsi="Arial" w:cs="Arial"/>
          <w:sz w:val="21"/>
          <w:szCs w:val="21"/>
        </w:rPr>
        <w:t> is given by:</w:t>
      </w:r>
      <w:hyperlink r:id="rId27" w:anchor="cite_note-11" w:history="1">
        <w:r w:rsidRPr="00DB3EAD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[11]</w:t>
        </w:r>
      </w:hyperlink>
    </w:p>
    <w:p w14:paraId="612316F6" w14:textId="0C6C1E2B" w:rsidR="00DB3EAD" w:rsidRPr="00DB3EAD" w:rsidRDefault="00DB3EAD">
      <w:r w:rsidRPr="00DB3EAD">
        <w:rPr>
          <w:noProof/>
        </w:rPr>
        <w:drawing>
          <wp:inline distT="0" distB="0" distL="0" distR="0" wp14:anchorId="70C9896E" wp14:editId="78FC91A3">
            <wp:extent cx="291465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EAD" w:rsidRPr="00DB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AD8"/>
    <w:multiLevelType w:val="multilevel"/>
    <w:tmpl w:val="81B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639EA"/>
    <w:multiLevelType w:val="multilevel"/>
    <w:tmpl w:val="20E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D"/>
    <w:rsid w:val="00086490"/>
    <w:rsid w:val="00D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A022"/>
  <w15:chartTrackingRefBased/>
  <w15:docId w15:val="{943AFDFE-DCC6-4484-AD69-BEFEFBF1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B3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E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B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3EAD"/>
    <w:rPr>
      <w:color w:val="0000FF"/>
      <w:u w:val="single"/>
    </w:rPr>
  </w:style>
  <w:style w:type="character" w:customStyle="1" w:styleId="mw-headline">
    <w:name w:val="mw-headline"/>
    <w:basedOn w:val="DefaultParagraphFont"/>
    <w:rsid w:val="00DB3EAD"/>
  </w:style>
  <w:style w:type="character" w:customStyle="1" w:styleId="mw-editsection">
    <w:name w:val="mw-editsection"/>
    <w:basedOn w:val="DefaultParagraphFont"/>
    <w:rsid w:val="00DB3EAD"/>
  </w:style>
  <w:style w:type="character" w:customStyle="1" w:styleId="mw-editsection-bracket">
    <w:name w:val="mw-editsection-bracket"/>
    <w:basedOn w:val="DefaultParagraphFont"/>
    <w:rsid w:val="00DB3EAD"/>
  </w:style>
  <w:style w:type="character" w:customStyle="1" w:styleId="Heading1Char">
    <w:name w:val="Heading 1 Char"/>
    <w:basedOn w:val="DefaultParagraphFont"/>
    <w:link w:val="Heading1"/>
    <w:uiPriority w:val="9"/>
    <w:rsid w:val="00DB3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ic_field" TargetMode="External"/><Relationship Id="rId13" Type="http://schemas.openxmlformats.org/officeDocument/2006/relationships/hyperlink" Target="https://en.wikipedia.org/wiki/Velocity" TargetMode="External"/><Relationship Id="rId18" Type="http://schemas.openxmlformats.org/officeDocument/2006/relationships/hyperlink" Target="https://en.wikipedia.org/wiki/Speed_of_light" TargetMode="External"/><Relationship Id="rId26" Type="http://schemas.openxmlformats.org/officeDocument/2006/relationships/hyperlink" Target="https://en.wikipedia.org/wiki/Poynting_vecto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en.wikipedia.org/wiki/Gravity" TargetMode="External"/><Relationship Id="rId12" Type="http://schemas.openxmlformats.org/officeDocument/2006/relationships/hyperlink" Target="https://en.wikipedia.org/wiki/Mass_flux" TargetMode="External"/><Relationship Id="rId17" Type="http://schemas.openxmlformats.org/officeDocument/2006/relationships/hyperlink" Target="https://en.wikipedia.org/wiki/Speed_of_gravity" TargetMode="External"/><Relationship Id="rId25" Type="http://schemas.openxmlformats.org/officeDocument/2006/relationships/hyperlink" Target="https://en.wikipedia.org/wiki/Electric_char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acuum_permittivity" TargetMode="External"/><Relationship Id="rId20" Type="http://schemas.openxmlformats.org/officeDocument/2006/relationships/hyperlink" Target="https://en.wikipedia.org/wiki/Lorentz_forc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vitational_field" TargetMode="External"/><Relationship Id="rId11" Type="http://schemas.openxmlformats.org/officeDocument/2006/relationships/hyperlink" Target="https://en.wikipedia.org/wiki/Charge_density" TargetMode="External"/><Relationship Id="rId24" Type="http://schemas.openxmlformats.org/officeDocument/2006/relationships/hyperlink" Target="https://en.wikipedia.org/wiki/Mas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Gravitational_constant" TargetMode="External"/><Relationship Id="rId23" Type="http://schemas.openxmlformats.org/officeDocument/2006/relationships/hyperlink" Target="https://en.wikipedia.org/wiki/Test_particle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en.wikipedia.org/wiki/Density" TargetMode="External"/><Relationship Id="rId19" Type="http://schemas.openxmlformats.org/officeDocument/2006/relationships/hyperlink" Target="https://en.wikipedia.org/wiki/General_rela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gnetic_field" TargetMode="External"/><Relationship Id="rId14" Type="http://schemas.openxmlformats.org/officeDocument/2006/relationships/hyperlink" Target="https://en.wikipedia.org/wiki/Current_density" TargetMode="External"/><Relationship Id="rId22" Type="http://schemas.openxmlformats.org/officeDocument/2006/relationships/hyperlink" Target="https://en.wikipedia.org/wiki/Velocity" TargetMode="External"/><Relationship Id="rId27" Type="http://schemas.openxmlformats.org/officeDocument/2006/relationships/hyperlink" Target="https://en.wikipedia.org/wiki/Gravitoelectromagnetis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Mikolaichik</dc:creator>
  <cp:keywords/>
  <dc:description/>
  <cp:lastModifiedBy>Kenneth Mikolaichik</cp:lastModifiedBy>
  <cp:revision>1</cp:revision>
  <cp:lastPrinted>2020-06-28T17:15:00Z</cp:lastPrinted>
  <dcterms:created xsi:type="dcterms:W3CDTF">2020-06-28T17:11:00Z</dcterms:created>
  <dcterms:modified xsi:type="dcterms:W3CDTF">2020-06-28T17:15:00Z</dcterms:modified>
</cp:coreProperties>
</file>