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2E29" w14:textId="6BA477A4" w:rsidR="002A7A1A" w:rsidRDefault="0001794F">
      <w:pPr>
        <w:rPr>
          <w:b/>
          <w:bCs/>
          <w:sz w:val="40"/>
          <w:szCs w:val="40"/>
        </w:rPr>
      </w:pPr>
      <w:r w:rsidRPr="0001794F">
        <w:rPr>
          <w:b/>
          <w:bCs/>
          <w:sz w:val="40"/>
          <w:szCs w:val="40"/>
        </w:rPr>
        <w:t>EV VS ICE PURCHASING PRICE</w:t>
      </w:r>
    </w:p>
    <w:p w14:paraId="63644128" w14:textId="77777777" w:rsidR="0001794F" w:rsidRDefault="0001794F">
      <w:pPr>
        <w:rPr>
          <w:b/>
          <w:bCs/>
          <w:sz w:val="40"/>
          <w:szCs w:val="40"/>
        </w:rPr>
      </w:pPr>
    </w:p>
    <w:p w14:paraId="4D43E651" w14:textId="690C287A" w:rsidR="0001794F" w:rsidRDefault="0001794F">
      <w:pPr>
        <w:rPr>
          <w:b/>
          <w:bCs/>
          <w:sz w:val="40"/>
          <w:szCs w:val="40"/>
        </w:rPr>
      </w:pPr>
      <w:r w:rsidRPr="0001794F">
        <w:rPr>
          <w:b/>
          <w:bCs/>
          <w:sz w:val="40"/>
          <w:szCs w:val="40"/>
        </w:rPr>
        <w:drawing>
          <wp:inline distT="0" distB="0" distL="0" distR="0" wp14:anchorId="1279CD27" wp14:editId="745EA66B">
            <wp:extent cx="5943600" cy="6959600"/>
            <wp:effectExtent l="0" t="0" r="0" b="0"/>
            <wp:docPr id="10928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F096" w14:textId="77777777" w:rsidR="0001794F" w:rsidRDefault="0001794F">
      <w:pPr>
        <w:rPr>
          <w:b/>
          <w:bCs/>
        </w:rPr>
      </w:pPr>
    </w:p>
    <w:p w14:paraId="000F5804" w14:textId="26343A19" w:rsidR="0001794F" w:rsidRPr="0001794F" w:rsidRDefault="0001794F" w:rsidP="0001794F">
      <w:pPr>
        <w:rPr>
          <w:b/>
          <w:bCs/>
        </w:rPr>
      </w:pPr>
      <w:r w:rsidRPr="0001794F">
        <w:rPr>
          <w:b/>
          <w:bCs/>
        </w:rPr>
        <w:lastRenderedPageBreak/>
        <w:t>Core Analytical Observations</w:t>
      </w:r>
      <w:r>
        <w:rPr>
          <w:b/>
          <w:bCs/>
        </w:rPr>
        <w:t>:</w:t>
      </w:r>
    </w:p>
    <w:p w14:paraId="67B049A6" w14:textId="77777777" w:rsidR="0001794F" w:rsidRPr="0001794F" w:rsidRDefault="0001794F" w:rsidP="0001794F">
      <w:r w:rsidRPr="0001794F">
        <w:t>Electric vehicles consistently cost more upfront than their fossil-fuel counterparts across East Africa, but the price gap depends heavily on the vehicle type and country. For motorbikes and three-wheelers, the price difference is remarkably small. This indicates that local assembly and battery-swapping setups are successfully keeping initial costs down for everyday drivers.</w:t>
      </w:r>
    </w:p>
    <w:p w14:paraId="710647FC" w14:textId="77777777" w:rsidR="0001794F" w:rsidRPr="0001794F" w:rsidRDefault="0001794F" w:rsidP="0001794F">
      <w:r w:rsidRPr="0001794F">
        <w:t>The story changes for passenger cars and SUVs, where regional tax differences create an uneven playing field. For example, a used petrol car is significantly cheaper to import into Kenya than into Uganda, Tanzania, or Rwanda. This makes it much harder for newer electric cars to compete in those markets.</w:t>
      </w:r>
    </w:p>
    <w:p w14:paraId="19047E7E" w14:textId="77777777" w:rsidR="0001794F" w:rsidRPr="0001794F" w:rsidRDefault="0001794F" w:rsidP="0001794F">
      <w:r w:rsidRPr="0001794F">
        <w:t>Finally, electric buses show a massive pricing anomaly. While Kenya, Uganda, and Rwanda keep their electric bus prices relatively close to diesel alternatives, Tanzania’s electric bus price skyrockets to $250,000. This massive jump points to localized supply bottlenecks, different vehicle sizes, or unexempted import duties that need closer inspection.</w:t>
      </w:r>
    </w:p>
    <w:p w14:paraId="3AA670E4" w14:textId="77777777" w:rsidR="0001794F" w:rsidRDefault="0001794F" w:rsidP="0001794F"/>
    <w:p w14:paraId="5C7569A2" w14:textId="3CA5AB39" w:rsidR="0001794F" w:rsidRPr="0001794F" w:rsidRDefault="0001794F" w:rsidP="0001794F">
      <w:pPr>
        <w:rPr>
          <w:b/>
          <w:bCs/>
        </w:rPr>
      </w:pPr>
      <w:r w:rsidRPr="0001794F">
        <w:rPr>
          <w:b/>
          <w:bCs/>
        </w:rPr>
        <w:t>Strategic Policy Insights for the EAC Region</w:t>
      </w:r>
    </w:p>
    <w:p w14:paraId="1F625F18" w14:textId="77777777" w:rsidR="0001794F" w:rsidRPr="0001794F" w:rsidRDefault="0001794F" w:rsidP="0001794F">
      <w:pPr>
        <w:numPr>
          <w:ilvl w:val="0"/>
          <w:numId w:val="1"/>
        </w:numPr>
      </w:pPr>
      <w:r w:rsidRPr="0001794F">
        <w:t>Create a Unified Tax Framework for Electric Vehicles: The wide price variation for cars across borders shows that uncoordinated national taxes and port fees are holding back a unified regional market. East African governments need to work together to align their customs duties and waive VAT on larger electric vehicles to make them affordable for regular consumers.</w:t>
      </w:r>
    </w:p>
    <w:p w14:paraId="1BE6DD22" w14:textId="77777777" w:rsidR="0001794F" w:rsidRPr="0001794F" w:rsidRDefault="0001794F" w:rsidP="0001794F">
      <w:pPr>
        <w:numPr>
          <w:ilvl w:val="0"/>
          <w:numId w:val="1"/>
        </w:numPr>
      </w:pPr>
      <w:r w:rsidRPr="0001794F">
        <w:t>Focus Heavily on Motorbikes and Commercial Fleets: Since two-wheelers and three-wheelers already have the narrowest price gaps, local policies should prioritize transitioning commercial fleets like boda-bodas. These segments can scale rapidly without needing heavy government subsidies, provided states invest in reliable, standardized battery-swapping networks.</w:t>
      </w:r>
    </w:p>
    <w:p w14:paraId="02BE2AC9" w14:textId="77777777" w:rsidR="0001794F" w:rsidRPr="0001794F" w:rsidRDefault="0001794F" w:rsidP="0001794F">
      <w:pPr>
        <w:numPr>
          <w:ilvl w:val="0"/>
          <w:numId w:val="1"/>
        </w:numPr>
      </w:pPr>
      <w:r w:rsidRPr="0001794F">
        <w:t>Standardize Electric Bus Procurement and Assembly: The extreme price spike for electric buses in certain countries shows the risk of importing technology on an ad-hoc basis. By pooling regional demand and setting shared standards for local vehicle assembly, East African nations can lower production costs and make clean public transit a viable reality.</w:t>
      </w:r>
    </w:p>
    <w:p w14:paraId="422C16EC" w14:textId="77777777" w:rsidR="0001794F" w:rsidRPr="0001794F" w:rsidRDefault="0001794F">
      <w:pPr>
        <w:rPr>
          <w:b/>
          <w:bCs/>
        </w:rPr>
      </w:pPr>
    </w:p>
    <w:sectPr w:rsidR="0001794F" w:rsidRPr="00017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31B4E"/>
    <w:multiLevelType w:val="multilevel"/>
    <w:tmpl w:val="4F2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67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4F"/>
    <w:rsid w:val="0001794F"/>
    <w:rsid w:val="00257CD3"/>
    <w:rsid w:val="002A7A1A"/>
    <w:rsid w:val="003608EA"/>
    <w:rsid w:val="008533E5"/>
    <w:rsid w:val="00BB42F6"/>
    <w:rsid w:val="00C0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8422"/>
  <w15:chartTrackingRefBased/>
  <w15:docId w15:val="{B66F1AB5-11B4-4800-B41D-1F5BC096F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Nyangweso</dc:creator>
  <cp:keywords/>
  <dc:description/>
  <cp:lastModifiedBy>Kenneth Nyangweso</cp:lastModifiedBy>
  <cp:revision>1</cp:revision>
  <dcterms:created xsi:type="dcterms:W3CDTF">2026-10-28T07:24:00Z</dcterms:created>
  <dcterms:modified xsi:type="dcterms:W3CDTF">2026-10-28T07:28:00Z</dcterms:modified>
</cp:coreProperties>
</file>