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AFFD0" w14:textId="19D7AA21" w:rsidR="00FF0B63" w:rsidRPr="00880B52" w:rsidRDefault="00880B52" w:rsidP="00880B52">
      <w:pPr>
        <w:pStyle w:val="Title"/>
        <w:jc w:val="center"/>
        <w:rPr>
          <w:b/>
          <w:bCs/>
          <w:color w:val="000000" w:themeColor="text1"/>
          <w:sz w:val="72"/>
          <w:szCs w:val="72"/>
        </w:rPr>
      </w:pPr>
      <w:r w:rsidRPr="00880B52">
        <w:rPr>
          <w:b/>
          <w:bCs/>
          <w:color w:val="000000" w:themeColor="text1"/>
          <w:sz w:val="72"/>
          <w:szCs w:val="72"/>
        </w:rPr>
        <w:t>ANALYTICAL FRAMEWORK: EAC REGIONAL E-MOBILITY POLICY AND STRATEGY</w:t>
      </w:r>
    </w:p>
    <w:p w14:paraId="68888A24" w14:textId="77777777" w:rsidR="00880B52" w:rsidRDefault="00880B52" w:rsidP="00104D0E">
      <w:pPr>
        <w:pStyle w:val="Heading1"/>
      </w:pPr>
    </w:p>
    <w:p w14:paraId="57D4C3E6" w14:textId="01A66BF7" w:rsidR="00FF0B63" w:rsidRPr="00FF0B63" w:rsidRDefault="00FF0B63" w:rsidP="00104D0E">
      <w:pPr>
        <w:pStyle w:val="Heading1"/>
      </w:pPr>
      <w:r w:rsidRPr="00FF0B63">
        <w:t>1. Context and Executive Summary</w:t>
      </w:r>
    </w:p>
    <w:p w14:paraId="186C39A1" w14:textId="77777777" w:rsidR="00FF0B63" w:rsidRPr="00FF0B63" w:rsidRDefault="00FF0B63" w:rsidP="00FF0B63">
      <w:r w:rsidRPr="00FF0B63">
        <w:t xml:space="preserve">This analytical framework provides a structured methodology for developing the </w:t>
      </w:r>
      <w:r w:rsidRPr="00FF0B63">
        <w:rPr>
          <w:b/>
          <w:bCs/>
        </w:rPr>
        <w:t>East African Community (EAC) Regional E-Mobility Policy and Strategy</w:t>
      </w:r>
      <w:r w:rsidRPr="00FF0B63">
        <w:t xml:space="preserve">, requested by UNEP on behalf of the EAC Secretariat. The framework aligns with the core mandate derived from the EAC Treaty (notably Articles 5, 6, 7, 75, 76, 79, 80, 89, 90, 101, 102, 103, 111, and 112), the EAC Vision 2050, and the 7th EAC Development Strategy (2026–2031). </w:t>
      </w:r>
    </w:p>
    <w:p w14:paraId="0AEB9E9F" w14:textId="77777777" w:rsidR="00FF0B63" w:rsidRPr="00FF0B63" w:rsidRDefault="00FF0B63" w:rsidP="00FF0B63">
      <w:r w:rsidRPr="00FF0B63">
        <w:t xml:space="preserve">The primary goal is to provide a consistent analytical approach across all </w:t>
      </w:r>
      <w:r w:rsidRPr="00FF0B63">
        <w:rPr>
          <w:b/>
          <w:bCs/>
        </w:rPr>
        <w:t>eight (8) Partner States</w:t>
      </w:r>
      <w:r w:rsidRPr="00FF0B63">
        <w:t xml:space="preserve"> (Burundi, Democratic Republic of the Congo, Kenya, Rwanda, Somalia, South Sudan, Tanzania, and Uganda), evaluating current baselines, cross-border harmonization needs, industrial value chains, power grid infrastructure, financing mechanisms, and circular economy pathways. </w:t>
      </w:r>
    </w:p>
    <w:p w14:paraId="057CCC11" w14:textId="77777777" w:rsidR="00104D0E" w:rsidRDefault="00104D0E" w:rsidP="00FF0B63">
      <w:pPr>
        <w:rPr>
          <w:b/>
          <w:bCs/>
        </w:rPr>
      </w:pPr>
    </w:p>
    <w:p w14:paraId="56A7FE1A" w14:textId="77777777" w:rsidR="00104D0E" w:rsidRDefault="00104D0E" w:rsidP="00FF0B63">
      <w:pPr>
        <w:rPr>
          <w:b/>
          <w:bCs/>
        </w:rPr>
      </w:pPr>
    </w:p>
    <w:p w14:paraId="7E585A2C" w14:textId="77777777" w:rsidR="00104D0E" w:rsidRDefault="00104D0E" w:rsidP="00FF0B63">
      <w:pPr>
        <w:rPr>
          <w:b/>
          <w:bCs/>
        </w:rPr>
      </w:pPr>
    </w:p>
    <w:p w14:paraId="6C5C7326" w14:textId="77777777" w:rsidR="00104D0E" w:rsidRDefault="00104D0E" w:rsidP="00FF0B63">
      <w:pPr>
        <w:rPr>
          <w:b/>
          <w:bCs/>
        </w:rPr>
      </w:pPr>
    </w:p>
    <w:p w14:paraId="5870C2AE" w14:textId="77777777" w:rsidR="00104D0E" w:rsidRDefault="00104D0E" w:rsidP="00FF0B63">
      <w:pPr>
        <w:rPr>
          <w:b/>
          <w:bCs/>
        </w:rPr>
      </w:pPr>
    </w:p>
    <w:p w14:paraId="2CAD54B3" w14:textId="77777777" w:rsidR="00104D0E" w:rsidRDefault="00104D0E" w:rsidP="00FF0B63">
      <w:pPr>
        <w:rPr>
          <w:b/>
          <w:bCs/>
        </w:rPr>
      </w:pPr>
    </w:p>
    <w:p w14:paraId="0FBF6E6A" w14:textId="77777777" w:rsidR="00104D0E" w:rsidRDefault="00104D0E" w:rsidP="00FF0B63">
      <w:pPr>
        <w:rPr>
          <w:b/>
          <w:bCs/>
        </w:rPr>
      </w:pPr>
    </w:p>
    <w:p w14:paraId="77DF8113" w14:textId="77777777" w:rsidR="00104D0E" w:rsidRDefault="00104D0E" w:rsidP="00FF0B63">
      <w:pPr>
        <w:rPr>
          <w:b/>
          <w:bCs/>
        </w:rPr>
      </w:pPr>
    </w:p>
    <w:p w14:paraId="2A46359C" w14:textId="77777777" w:rsidR="00104D0E" w:rsidRDefault="00104D0E" w:rsidP="00FF0B63">
      <w:pPr>
        <w:rPr>
          <w:b/>
          <w:bCs/>
        </w:rPr>
      </w:pPr>
    </w:p>
    <w:p w14:paraId="64B6B558" w14:textId="77777777" w:rsidR="00104D0E" w:rsidRDefault="00104D0E" w:rsidP="00FF0B63">
      <w:pPr>
        <w:rPr>
          <w:b/>
          <w:bCs/>
        </w:rPr>
      </w:pPr>
    </w:p>
    <w:p w14:paraId="0C30F808" w14:textId="62835DEA" w:rsidR="00FF0B63" w:rsidRPr="00FF0B63" w:rsidRDefault="00FF0B63" w:rsidP="00104D0E">
      <w:pPr>
        <w:pStyle w:val="Heading1"/>
      </w:pPr>
      <w:r w:rsidRPr="00FF0B63">
        <w:lastRenderedPageBreak/>
        <w:t>2. Core Strategic Pillars (Thematic Architecture)</w:t>
      </w:r>
    </w:p>
    <w:p w14:paraId="4DA7FC35" w14:textId="77777777" w:rsidR="00FF0B63" w:rsidRPr="00FF0B63" w:rsidRDefault="00FF0B63" w:rsidP="00FF0B63">
      <w:r w:rsidRPr="00FF0B63">
        <w:t xml:space="preserve">The framework is organized into seven interconnected analytical pillars that directly address the scope of work and key tasks defined in the Terms of Reference: </w:t>
      </w:r>
    </w:p>
    <w:p w14:paraId="40836B06" w14:textId="77777777" w:rsidR="00FF0B63" w:rsidRPr="00FF0B63" w:rsidRDefault="00FF0B63" w:rsidP="00FF0B63">
      <w:pPr>
        <w:rPr>
          <w:b/>
          <w:bCs/>
        </w:rPr>
      </w:pPr>
      <w:r w:rsidRPr="00FF0B63">
        <w:rPr>
          <w:b/>
          <w:bCs/>
        </w:rPr>
        <w:t>Pillar 1: Legal, Institutional, and Regulatory Harmonization</w:t>
      </w:r>
    </w:p>
    <w:p w14:paraId="0CADA2FE" w14:textId="77777777" w:rsidR="00FF0B63" w:rsidRPr="00FF0B63" w:rsidRDefault="00FF0B63" w:rsidP="00FF0B63">
      <w:pPr>
        <w:numPr>
          <w:ilvl w:val="0"/>
          <w:numId w:val="1"/>
        </w:numPr>
      </w:pPr>
      <w:r w:rsidRPr="00FF0B63">
        <w:rPr>
          <w:b/>
          <w:bCs/>
        </w:rPr>
        <w:t>Focus:</w:t>
      </w:r>
      <w:r w:rsidRPr="00FF0B63">
        <w:t xml:space="preserve"> Alignment with the EAC Treaty, continental strategies (e.g., </w:t>
      </w:r>
      <w:r w:rsidRPr="00FF0B63">
        <w:rPr>
          <w:i/>
          <w:iCs/>
        </w:rPr>
        <w:t>Strategic Directions for the Development of Electric Vehicles in Africa</w:t>
      </w:r>
      <w:r w:rsidRPr="00FF0B63">
        <w:t xml:space="preserve">), and national regulatory bodies. </w:t>
      </w:r>
    </w:p>
    <w:p w14:paraId="7C52ADA1" w14:textId="77777777" w:rsidR="00FF0B63" w:rsidRPr="00FF0B63" w:rsidRDefault="00FF0B63" w:rsidP="00FF0B63">
      <w:pPr>
        <w:numPr>
          <w:ilvl w:val="0"/>
          <w:numId w:val="1"/>
        </w:numPr>
      </w:pPr>
      <w:r w:rsidRPr="00FF0B63">
        <w:rPr>
          <w:b/>
          <w:bCs/>
        </w:rPr>
        <w:t>Analytical Drivers:</w:t>
      </w:r>
    </w:p>
    <w:p w14:paraId="0ADC0502" w14:textId="77777777" w:rsidR="00FF0B63" w:rsidRPr="00FF0B63" w:rsidRDefault="00FF0B63" w:rsidP="00FF0B63">
      <w:pPr>
        <w:numPr>
          <w:ilvl w:val="1"/>
          <w:numId w:val="1"/>
        </w:numPr>
      </w:pPr>
      <w:r w:rsidRPr="00FF0B63">
        <w:t xml:space="preserve">Mapping national tariff structures, import duties, and VAT exemptions across vehicle classes. </w:t>
      </w:r>
    </w:p>
    <w:p w14:paraId="35B8D998" w14:textId="77777777" w:rsidR="00FF0B63" w:rsidRPr="00FF0B63" w:rsidRDefault="00FF0B63" w:rsidP="00FF0B63">
      <w:pPr>
        <w:numPr>
          <w:ilvl w:val="1"/>
          <w:numId w:val="1"/>
        </w:numPr>
      </w:pPr>
      <w:r w:rsidRPr="00FF0B63">
        <w:t xml:space="preserve">Evaluating regional standard harmonization (charging connectors, battery swapping safety, vehicle homologation). </w:t>
      </w:r>
    </w:p>
    <w:p w14:paraId="0F807B15" w14:textId="77777777" w:rsidR="00FF0B63" w:rsidRPr="00FF0B63" w:rsidRDefault="00FF0B63" w:rsidP="00FF0B63">
      <w:pPr>
        <w:numPr>
          <w:ilvl w:val="1"/>
          <w:numId w:val="1"/>
        </w:numPr>
      </w:pPr>
      <w:r w:rsidRPr="00FF0B63">
        <w:t xml:space="preserve">Reviewing institutional readiness within ministries of transport, energy, environment, trade, and finance across Partner States. </w:t>
      </w:r>
    </w:p>
    <w:p w14:paraId="4EFE8675" w14:textId="77777777" w:rsidR="00FF0B63" w:rsidRPr="00FF0B63" w:rsidRDefault="00FF0B63" w:rsidP="00FF0B63">
      <w:pPr>
        <w:rPr>
          <w:b/>
          <w:bCs/>
        </w:rPr>
      </w:pPr>
      <w:r w:rsidRPr="00FF0B63">
        <w:rPr>
          <w:b/>
          <w:bCs/>
        </w:rPr>
        <w:t>Pillar 2: Power Systems, Grid Integration, and Renewable Energy</w:t>
      </w:r>
    </w:p>
    <w:p w14:paraId="15790854" w14:textId="77777777" w:rsidR="00FF0B63" w:rsidRPr="00FF0B63" w:rsidRDefault="00FF0B63" w:rsidP="00FF0B63">
      <w:pPr>
        <w:numPr>
          <w:ilvl w:val="0"/>
          <w:numId w:val="2"/>
        </w:numPr>
      </w:pPr>
      <w:r w:rsidRPr="00FF0B63">
        <w:rPr>
          <w:b/>
          <w:bCs/>
        </w:rPr>
        <w:t>Focus:</w:t>
      </w:r>
      <w:r w:rsidRPr="00FF0B63">
        <w:t xml:space="preserve"> Assessment of power generation capacity, distribution limits, and off-grid integration readiness. </w:t>
      </w:r>
    </w:p>
    <w:p w14:paraId="5F413F7A" w14:textId="77777777" w:rsidR="00FF0B63" w:rsidRPr="00FF0B63" w:rsidRDefault="00FF0B63" w:rsidP="00FF0B63">
      <w:pPr>
        <w:numPr>
          <w:ilvl w:val="0"/>
          <w:numId w:val="2"/>
        </w:numPr>
      </w:pPr>
      <w:r w:rsidRPr="00FF0B63">
        <w:rPr>
          <w:b/>
          <w:bCs/>
        </w:rPr>
        <w:t>Analytical Drivers:</w:t>
      </w:r>
    </w:p>
    <w:p w14:paraId="652D17AA" w14:textId="77777777" w:rsidR="00FF0B63" w:rsidRPr="00FF0B63" w:rsidRDefault="00FF0B63" w:rsidP="00FF0B63">
      <w:pPr>
        <w:numPr>
          <w:ilvl w:val="1"/>
          <w:numId w:val="2"/>
        </w:numPr>
      </w:pPr>
      <w:r w:rsidRPr="00FF0B63">
        <w:t xml:space="preserve">Grid load simulation and utility hosting capacity for electric vehicle (EV) charging demands. </w:t>
      </w:r>
    </w:p>
    <w:p w14:paraId="0DF1C7A0" w14:textId="77777777" w:rsidR="00FF0B63" w:rsidRPr="00FF0B63" w:rsidRDefault="00FF0B63" w:rsidP="00FF0B63">
      <w:pPr>
        <w:numPr>
          <w:ilvl w:val="1"/>
          <w:numId w:val="2"/>
        </w:numPr>
      </w:pPr>
      <w:r w:rsidRPr="00FF0B63">
        <w:t xml:space="preserve">Opportunities for solar-powered charging infrastructure, mini-grids, and decentralized energy systems. </w:t>
      </w:r>
    </w:p>
    <w:p w14:paraId="0F840A10" w14:textId="77777777" w:rsidR="00FF0B63" w:rsidRPr="00FF0B63" w:rsidRDefault="00FF0B63" w:rsidP="00FF0B63">
      <w:pPr>
        <w:numPr>
          <w:ilvl w:val="1"/>
          <w:numId w:val="2"/>
        </w:numPr>
      </w:pPr>
      <w:r w:rsidRPr="00FF0B63">
        <w:t xml:space="preserve">Cross-border interoperability along major transport corridors (e.g., Northern and Central Corridors). </w:t>
      </w:r>
    </w:p>
    <w:p w14:paraId="5782BF7C" w14:textId="77777777" w:rsidR="00FF0B63" w:rsidRPr="00FF0B63" w:rsidRDefault="00FF0B63" w:rsidP="00FF0B63">
      <w:pPr>
        <w:rPr>
          <w:b/>
          <w:bCs/>
        </w:rPr>
      </w:pPr>
      <w:r w:rsidRPr="00FF0B63">
        <w:rPr>
          <w:b/>
          <w:bCs/>
        </w:rPr>
        <w:t>Pillar 3: Market Dynamics and Fleet Segmentation</w:t>
      </w:r>
    </w:p>
    <w:p w14:paraId="4DF8D050" w14:textId="77777777" w:rsidR="00FF0B63" w:rsidRPr="00FF0B63" w:rsidRDefault="00FF0B63" w:rsidP="00FF0B63">
      <w:pPr>
        <w:numPr>
          <w:ilvl w:val="0"/>
          <w:numId w:val="3"/>
        </w:numPr>
      </w:pPr>
      <w:r w:rsidRPr="00FF0B63">
        <w:rPr>
          <w:b/>
          <w:bCs/>
        </w:rPr>
        <w:t>Focus:</w:t>
      </w:r>
      <w:r w:rsidRPr="00FF0B63">
        <w:t xml:space="preserve"> Segment-by-segment analysis of vehicle fleets across the region. </w:t>
      </w:r>
    </w:p>
    <w:p w14:paraId="5D5C65DA" w14:textId="77777777" w:rsidR="00FF0B63" w:rsidRPr="00FF0B63" w:rsidRDefault="00FF0B63" w:rsidP="00FF0B63">
      <w:pPr>
        <w:numPr>
          <w:ilvl w:val="0"/>
          <w:numId w:val="3"/>
        </w:numPr>
      </w:pPr>
      <w:r w:rsidRPr="00FF0B63">
        <w:rPr>
          <w:b/>
          <w:bCs/>
        </w:rPr>
        <w:t>Analytical Drivers:</w:t>
      </w:r>
    </w:p>
    <w:p w14:paraId="3CBC3F67" w14:textId="77777777" w:rsidR="00FF0B63" w:rsidRPr="00FF0B63" w:rsidRDefault="00FF0B63" w:rsidP="00FF0B63">
      <w:pPr>
        <w:numPr>
          <w:ilvl w:val="1"/>
          <w:numId w:val="3"/>
        </w:numPr>
      </w:pPr>
      <w:r w:rsidRPr="00FF0B63">
        <w:t xml:space="preserve">Total Cost of Ownership (TCO) modeling comparing EVs to Internal Combustion Engine (ICE) vehicles. </w:t>
      </w:r>
    </w:p>
    <w:p w14:paraId="1CD918C7" w14:textId="77777777" w:rsidR="00FF0B63" w:rsidRPr="00FF0B63" w:rsidRDefault="00FF0B63" w:rsidP="00FF0B63">
      <w:pPr>
        <w:numPr>
          <w:ilvl w:val="1"/>
          <w:numId w:val="3"/>
        </w:numPr>
      </w:pPr>
      <w:r w:rsidRPr="00FF0B63">
        <w:lastRenderedPageBreak/>
        <w:t xml:space="preserve">Current EV adoption shares and growth projections across target segments: 2-wheelers (boda-bodas), 3-wheelers (tuk-tuks), passenger cars, public transport buses (matatus/BRT), freight, and specialized fleets. </w:t>
      </w:r>
    </w:p>
    <w:p w14:paraId="4F985346" w14:textId="77777777" w:rsidR="00FF0B63" w:rsidRPr="00FF0B63" w:rsidRDefault="00FF0B63" w:rsidP="00FF0B63">
      <w:pPr>
        <w:numPr>
          <w:ilvl w:val="1"/>
          <w:numId w:val="3"/>
        </w:numPr>
      </w:pPr>
      <w:r w:rsidRPr="00FF0B63">
        <w:t xml:space="preserve">Consumer awareness, total capital expenditures (CAPEX), and operational savings (OPEX). </w:t>
      </w:r>
    </w:p>
    <w:p w14:paraId="21BF7B20" w14:textId="77777777" w:rsidR="00FF0B63" w:rsidRPr="00FF0B63" w:rsidRDefault="00FF0B63" w:rsidP="00FF0B63">
      <w:pPr>
        <w:rPr>
          <w:b/>
          <w:bCs/>
        </w:rPr>
      </w:pPr>
      <w:r w:rsidRPr="00FF0B63">
        <w:rPr>
          <w:b/>
          <w:bCs/>
        </w:rPr>
        <w:t>Pillar 4: Industrialization, Local Content, and Critical Minerals</w:t>
      </w:r>
    </w:p>
    <w:p w14:paraId="49E3342B" w14:textId="77777777" w:rsidR="00FF0B63" w:rsidRPr="00FF0B63" w:rsidRDefault="00FF0B63" w:rsidP="00FF0B63">
      <w:pPr>
        <w:numPr>
          <w:ilvl w:val="0"/>
          <w:numId w:val="4"/>
        </w:numPr>
      </w:pPr>
      <w:r w:rsidRPr="00FF0B63">
        <w:rPr>
          <w:b/>
          <w:bCs/>
        </w:rPr>
        <w:t>Focus:</w:t>
      </w:r>
      <w:r w:rsidRPr="00FF0B63">
        <w:t xml:space="preserve"> Capitalizing on regional manufacturing capabilities and mineral reserves. </w:t>
      </w:r>
    </w:p>
    <w:p w14:paraId="2C5542A5" w14:textId="77777777" w:rsidR="00FF0B63" w:rsidRPr="00FF0B63" w:rsidRDefault="00FF0B63" w:rsidP="00FF0B63">
      <w:pPr>
        <w:numPr>
          <w:ilvl w:val="0"/>
          <w:numId w:val="4"/>
        </w:numPr>
      </w:pPr>
      <w:r w:rsidRPr="00FF0B63">
        <w:rPr>
          <w:b/>
          <w:bCs/>
        </w:rPr>
        <w:t>Analytical Drivers:</w:t>
      </w:r>
    </w:p>
    <w:p w14:paraId="5DEA726E" w14:textId="77777777" w:rsidR="00FF0B63" w:rsidRPr="00FF0B63" w:rsidRDefault="00FF0B63" w:rsidP="00FF0B63">
      <w:pPr>
        <w:numPr>
          <w:ilvl w:val="1"/>
          <w:numId w:val="4"/>
        </w:numPr>
      </w:pPr>
      <w:r w:rsidRPr="00FF0B63">
        <w:t xml:space="preserve">Mapping critical raw materials (e.g., cobalt, nickel, manganese) and processing potential within the EAC (notably DRC, Tanzania, Uganda). </w:t>
      </w:r>
    </w:p>
    <w:p w14:paraId="0634D289" w14:textId="77777777" w:rsidR="00FF0B63" w:rsidRPr="00FF0B63" w:rsidRDefault="00FF0B63" w:rsidP="00FF0B63">
      <w:pPr>
        <w:numPr>
          <w:ilvl w:val="1"/>
          <w:numId w:val="4"/>
        </w:numPr>
      </w:pPr>
      <w:r w:rsidRPr="00FF0B63">
        <w:t xml:space="preserve">Evaluation of local assembly facilities, spare parts manufacturing, and regional value-chain linkages. </w:t>
      </w:r>
    </w:p>
    <w:p w14:paraId="337D8CD0" w14:textId="77777777" w:rsidR="00FF0B63" w:rsidRPr="00FF0B63" w:rsidRDefault="00FF0B63" w:rsidP="00FF0B63">
      <w:pPr>
        <w:numPr>
          <w:ilvl w:val="1"/>
          <w:numId w:val="4"/>
        </w:numPr>
      </w:pPr>
      <w:r w:rsidRPr="00FF0B63">
        <w:t xml:space="preserve">Policy options for regional content rules and trade incentives to foster local industrial hubs. </w:t>
      </w:r>
    </w:p>
    <w:p w14:paraId="728FE67E" w14:textId="77777777" w:rsidR="00FF0B63" w:rsidRPr="00FF0B63" w:rsidRDefault="00FF0B63" w:rsidP="00FF0B63">
      <w:pPr>
        <w:rPr>
          <w:b/>
          <w:bCs/>
        </w:rPr>
      </w:pPr>
      <w:r w:rsidRPr="00FF0B63">
        <w:rPr>
          <w:b/>
          <w:bCs/>
        </w:rPr>
        <w:t>Pillar 5: Circular Economy and Battery Lifecycle Management</w:t>
      </w:r>
    </w:p>
    <w:p w14:paraId="158A754C" w14:textId="77777777" w:rsidR="00FF0B63" w:rsidRPr="00FF0B63" w:rsidRDefault="00FF0B63" w:rsidP="00FF0B63">
      <w:pPr>
        <w:numPr>
          <w:ilvl w:val="0"/>
          <w:numId w:val="5"/>
        </w:numPr>
      </w:pPr>
      <w:r w:rsidRPr="00FF0B63">
        <w:rPr>
          <w:b/>
          <w:bCs/>
        </w:rPr>
        <w:t>Focus:</w:t>
      </w:r>
      <w:r w:rsidRPr="00FF0B63">
        <w:t xml:space="preserve"> Sustainable management of battery technology from sourcing to disposal. </w:t>
      </w:r>
    </w:p>
    <w:p w14:paraId="7BC2B275" w14:textId="77777777" w:rsidR="00FF0B63" w:rsidRPr="00FF0B63" w:rsidRDefault="00FF0B63" w:rsidP="00FF0B63">
      <w:pPr>
        <w:numPr>
          <w:ilvl w:val="0"/>
          <w:numId w:val="5"/>
        </w:numPr>
      </w:pPr>
      <w:r w:rsidRPr="00FF0B63">
        <w:rPr>
          <w:b/>
          <w:bCs/>
        </w:rPr>
        <w:t>Analytical Drivers:</w:t>
      </w:r>
    </w:p>
    <w:p w14:paraId="77452823" w14:textId="77777777" w:rsidR="00FF0B63" w:rsidRPr="00FF0B63" w:rsidRDefault="00FF0B63" w:rsidP="00FF0B63">
      <w:pPr>
        <w:numPr>
          <w:ilvl w:val="1"/>
          <w:numId w:val="5"/>
        </w:numPr>
      </w:pPr>
      <w:r w:rsidRPr="00FF0B63">
        <w:t xml:space="preserve">End-of-life (EOL) battery management, health diagnostic protocols, and second-life energy storage applications. </w:t>
      </w:r>
    </w:p>
    <w:p w14:paraId="3321CDD0" w14:textId="77777777" w:rsidR="00FF0B63" w:rsidRPr="00FF0B63" w:rsidRDefault="00FF0B63" w:rsidP="00FF0B63">
      <w:pPr>
        <w:numPr>
          <w:ilvl w:val="1"/>
          <w:numId w:val="5"/>
        </w:numPr>
      </w:pPr>
      <w:r w:rsidRPr="00FF0B63">
        <w:t xml:space="preserve">Extended Producer Responsibility (EPR) frameworks and regional hazardous waste management policies. </w:t>
      </w:r>
    </w:p>
    <w:p w14:paraId="32E16B39" w14:textId="77777777" w:rsidR="00FF0B63" w:rsidRPr="00FF0B63" w:rsidRDefault="00FF0B63" w:rsidP="00FF0B63">
      <w:pPr>
        <w:numPr>
          <w:ilvl w:val="1"/>
          <w:numId w:val="5"/>
        </w:numPr>
      </w:pPr>
      <w:r w:rsidRPr="00FF0B63">
        <w:t xml:space="preserve">Design of e-waste recycling infrastructure and safe transport protocols across borders. </w:t>
      </w:r>
    </w:p>
    <w:p w14:paraId="0CDB2833" w14:textId="77777777" w:rsidR="00FF0B63" w:rsidRPr="00FF0B63" w:rsidRDefault="00FF0B63" w:rsidP="00FF0B63">
      <w:pPr>
        <w:rPr>
          <w:b/>
          <w:bCs/>
        </w:rPr>
      </w:pPr>
      <w:r w:rsidRPr="00FF0B63">
        <w:rPr>
          <w:b/>
          <w:bCs/>
        </w:rPr>
        <w:t>Pillar 6: Investment, Sustainable Finance, and Business Models</w:t>
      </w:r>
    </w:p>
    <w:p w14:paraId="4EA1F2BC" w14:textId="77777777" w:rsidR="00FF0B63" w:rsidRPr="00FF0B63" w:rsidRDefault="00FF0B63" w:rsidP="00FF0B63">
      <w:pPr>
        <w:numPr>
          <w:ilvl w:val="0"/>
          <w:numId w:val="6"/>
        </w:numPr>
      </w:pPr>
      <w:r w:rsidRPr="00FF0B63">
        <w:rPr>
          <w:b/>
          <w:bCs/>
        </w:rPr>
        <w:t>Focus:</w:t>
      </w:r>
      <w:r w:rsidRPr="00FF0B63">
        <w:t xml:space="preserve"> De-risking private sector investment and building viable commercial structures. </w:t>
      </w:r>
    </w:p>
    <w:p w14:paraId="35E9F7B4" w14:textId="77777777" w:rsidR="00FF0B63" w:rsidRPr="00FF0B63" w:rsidRDefault="00FF0B63" w:rsidP="00FF0B63">
      <w:pPr>
        <w:numPr>
          <w:ilvl w:val="0"/>
          <w:numId w:val="6"/>
        </w:numPr>
      </w:pPr>
      <w:r w:rsidRPr="00FF0B63">
        <w:rPr>
          <w:b/>
          <w:bCs/>
        </w:rPr>
        <w:t>Analytical Drivers:</w:t>
      </w:r>
    </w:p>
    <w:p w14:paraId="6BD09353" w14:textId="77777777" w:rsidR="00FF0B63" w:rsidRPr="00FF0B63" w:rsidRDefault="00FF0B63" w:rsidP="00FF0B63">
      <w:pPr>
        <w:numPr>
          <w:ilvl w:val="1"/>
          <w:numId w:val="6"/>
        </w:numPr>
      </w:pPr>
      <w:r w:rsidRPr="00FF0B63">
        <w:t xml:space="preserve">Assessment of innovative ownership models (e.g., Battery-as-a-Service / BaaS, leasing, pay-as-you-go). </w:t>
      </w:r>
    </w:p>
    <w:p w14:paraId="3BB0B650" w14:textId="77777777" w:rsidR="00FF0B63" w:rsidRPr="00FF0B63" w:rsidRDefault="00FF0B63" w:rsidP="00FF0B63">
      <w:pPr>
        <w:numPr>
          <w:ilvl w:val="1"/>
          <w:numId w:val="6"/>
        </w:numPr>
      </w:pPr>
      <w:r w:rsidRPr="00FF0B63">
        <w:lastRenderedPageBreak/>
        <w:t xml:space="preserve">Design of blended finance mechanisms, concessional loans, green bonds, and catalytic funds. </w:t>
      </w:r>
    </w:p>
    <w:p w14:paraId="054EE8EB" w14:textId="77777777" w:rsidR="00FF0B63" w:rsidRPr="00FF0B63" w:rsidRDefault="00FF0B63" w:rsidP="00FF0B63">
      <w:pPr>
        <w:numPr>
          <w:ilvl w:val="1"/>
          <w:numId w:val="6"/>
        </w:numPr>
      </w:pPr>
      <w:r w:rsidRPr="00FF0B63">
        <w:t xml:space="preserve">Harmonized tariff-based incentives and public procurement targets to stimulate initial demand. </w:t>
      </w:r>
    </w:p>
    <w:p w14:paraId="3F4A2848" w14:textId="77777777" w:rsidR="00FF0B63" w:rsidRPr="00FF0B63" w:rsidRDefault="00FF0B63" w:rsidP="00FF0B63">
      <w:pPr>
        <w:rPr>
          <w:b/>
          <w:bCs/>
        </w:rPr>
      </w:pPr>
      <w:r w:rsidRPr="00FF0B63">
        <w:rPr>
          <w:b/>
          <w:bCs/>
        </w:rPr>
        <w:t>Pillar 7: Just Transition, Gender Inclusion, and Capacity Development</w:t>
      </w:r>
    </w:p>
    <w:p w14:paraId="1AF832BE" w14:textId="77777777" w:rsidR="00FF0B63" w:rsidRPr="00FF0B63" w:rsidRDefault="00FF0B63" w:rsidP="00FF0B63">
      <w:pPr>
        <w:numPr>
          <w:ilvl w:val="0"/>
          <w:numId w:val="7"/>
        </w:numPr>
      </w:pPr>
      <w:r w:rsidRPr="00FF0B63">
        <w:rPr>
          <w:b/>
          <w:bCs/>
        </w:rPr>
        <w:t>Focus:</w:t>
      </w:r>
      <w:r w:rsidRPr="00FF0B63">
        <w:t xml:space="preserve"> Inclusive socio-economic development and workforce readiness. </w:t>
      </w:r>
    </w:p>
    <w:p w14:paraId="3EBF5BAB" w14:textId="77777777" w:rsidR="00FF0B63" w:rsidRPr="00FF0B63" w:rsidRDefault="00FF0B63" w:rsidP="00FF0B63">
      <w:pPr>
        <w:numPr>
          <w:ilvl w:val="0"/>
          <w:numId w:val="7"/>
        </w:numPr>
      </w:pPr>
      <w:r w:rsidRPr="00FF0B63">
        <w:rPr>
          <w:b/>
          <w:bCs/>
        </w:rPr>
        <w:t>Analytical Drivers:</w:t>
      </w:r>
    </w:p>
    <w:p w14:paraId="4E2C953F" w14:textId="77777777" w:rsidR="00FF0B63" w:rsidRPr="00FF0B63" w:rsidRDefault="00FF0B63" w:rsidP="00FF0B63">
      <w:pPr>
        <w:numPr>
          <w:ilvl w:val="1"/>
          <w:numId w:val="7"/>
        </w:numPr>
      </w:pPr>
      <w:r w:rsidRPr="00FF0B63">
        <w:t xml:space="preserve">Livelihood impacts on informal transport workers (e.g., boda-boda riders, informal operators). </w:t>
      </w:r>
    </w:p>
    <w:p w14:paraId="1F6681D5" w14:textId="77777777" w:rsidR="00FF0B63" w:rsidRPr="00FF0B63" w:rsidRDefault="00FF0B63" w:rsidP="00FF0B63">
      <w:pPr>
        <w:numPr>
          <w:ilvl w:val="1"/>
          <w:numId w:val="7"/>
        </w:numPr>
      </w:pPr>
      <w:r w:rsidRPr="00FF0B63">
        <w:t xml:space="preserve">Gender equality, youth entrepreneurship, and accessibility for Persons with Disabilities (PWDs). </w:t>
      </w:r>
    </w:p>
    <w:p w14:paraId="3A8F8A17" w14:textId="77777777" w:rsidR="00FF0B63" w:rsidRPr="00FF0B63" w:rsidRDefault="00FF0B63" w:rsidP="00FF0B63">
      <w:pPr>
        <w:numPr>
          <w:ilvl w:val="1"/>
          <w:numId w:val="7"/>
        </w:numPr>
      </w:pPr>
      <w:r w:rsidRPr="00FF0B63">
        <w:t xml:space="preserve">Workforce upskilling programs for technicians, engineers, power utilities, and safety inspectors. </w:t>
      </w:r>
    </w:p>
    <w:p w14:paraId="30857605" w14:textId="77777777" w:rsidR="002A7A1A" w:rsidRDefault="002A7A1A"/>
    <w:p w14:paraId="65509FBC" w14:textId="77777777" w:rsidR="00880B52" w:rsidRDefault="00880B52" w:rsidP="00880B52">
      <w:pPr>
        <w:rPr>
          <w:b/>
          <w:bCs/>
        </w:rPr>
      </w:pPr>
    </w:p>
    <w:p w14:paraId="5267DF1F" w14:textId="77777777" w:rsidR="00104D0E" w:rsidRDefault="00104D0E" w:rsidP="00880B52">
      <w:pPr>
        <w:rPr>
          <w:b/>
          <w:bCs/>
        </w:rPr>
      </w:pPr>
    </w:p>
    <w:p w14:paraId="4D0F75C6" w14:textId="77777777" w:rsidR="00104D0E" w:rsidRDefault="00104D0E" w:rsidP="00880B52">
      <w:pPr>
        <w:rPr>
          <w:b/>
          <w:bCs/>
        </w:rPr>
      </w:pPr>
    </w:p>
    <w:p w14:paraId="7E0F8E8C" w14:textId="77777777" w:rsidR="00104D0E" w:rsidRDefault="00104D0E" w:rsidP="00880B52">
      <w:pPr>
        <w:rPr>
          <w:b/>
          <w:bCs/>
        </w:rPr>
      </w:pPr>
    </w:p>
    <w:p w14:paraId="681DB6EC" w14:textId="77777777" w:rsidR="00104D0E" w:rsidRDefault="00104D0E" w:rsidP="00880B52">
      <w:pPr>
        <w:rPr>
          <w:b/>
          <w:bCs/>
        </w:rPr>
      </w:pPr>
    </w:p>
    <w:p w14:paraId="1EF27E03" w14:textId="77777777" w:rsidR="00104D0E" w:rsidRDefault="00104D0E" w:rsidP="00880B52">
      <w:pPr>
        <w:rPr>
          <w:b/>
          <w:bCs/>
        </w:rPr>
      </w:pPr>
    </w:p>
    <w:p w14:paraId="3BDDBB79" w14:textId="77777777" w:rsidR="00104D0E" w:rsidRDefault="00104D0E" w:rsidP="00880B52">
      <w:pPr>
        <w:rPr>
          <w:b/>
          <w:bCs/>
        </w:rPr>
      </w:pPr>
    </w:p>
    <w:p w14:paraId="462ED8CB" w14:textId="77777777" w:rsidR="00104D0E" w:rsidRDefault="00104D0E" w:rsidP="00880B52">
      <w:pPr>
        <w:rPr>
          <w:b/>
          <w:bCs/>
        </w:rPr>
      </w:pPr>
    </w:p>
    <w:p w14:paraId="3D1423C7" w14:textId="77777777" w:rsidR="00104D0E" w:rsidRDefault="00104D0E" w:rsidP="00880B52">
      <w:pPr>
        <w:rPr>
          <w:b/>
          <w:bCs/>
        </w:rPr>
      </w:pPr>
    </w:p>
    <w:p w14:paraId="3F7BB89E" w14:textId="77777777" w:rsidR="00104D0E" w:rsidRDefault="00104D0E" w:rsidP="00880B52">
      <w:pPr>
        <w:rPr>
          <w:b/>
          <w:bCs/>
        </w:rPr>
      </w:pPr>
    </w:p>
    <w:p w14:paraId="5A691871" w14:textId="77777777" w:rsidR="00104D0E" w:rsidRDefault="00104D0E" w:rsidP="00880B52">
      <w:pPr>
        <w:rPr>
          <w:b/>
          <w:bCs/>
        </w:rPr>
      </w:pPr>
    </w:p>
    <w:p w14:paraId="5FC0B066" w14:textId="77777777" w:rsidR="00104D0E" w:rsidRDefault="00104D0E" w:rsidP="00880B52">
      <w:pPr>
        <w:rPr>
          <w:b/>
          <w:bCs/>
        </w:rPr>
      </w:pPr>
    </w:p>
    <w:p w14:paraId="19E5C318" w14:textId="77777777" w:rsidR="00104D0E" w:rsidRDefault="00104D0E" w:rsidP="00880B52">
      <w:pPr>
        <w:rPr>
          <w:b/>
          <w:bCs/>
        </w:rPr>
      </w:pPr>
    </w:p>
    <w:p w14:paraId="38DA563A" w14:textId="4D5A3D12" w:rsidR="00880B52" w:rsidRPr="00880B52" w:rsidRDefault="00880B52" w:rsidP="00104D0E">
      <w:pPr>
        <w:pStyle w:val="Heading1"/>
      </w:pPr>
      <w:r w:rsidRPr="00880B52">
        <w:lastRenderedPageBreak/>
        <w:t>3. Multi-Level Assessment Matrix</w:t>
      </w:r>
    </w:p>
    <w:p w14:paraId="2B2AAF23" w14:textId="77777777" w:rsidR="00880B52" w:rsidRDefault="00880B52" w:rsidP="00880B52">
      <w:r w:rsidRPr="00880B52">
        <w:t xml:space="preserve">To maintain consistency across all eight Partner States, the analysis will evaluate each pillar across four distinct structural tiers: </w:t>
      </w:r>
    </w:p>
    <w:p w14:paraId="368936DF" w14:textId="77777777" w:rsidR="00880B52" w:rsidRPr="00880B52" w:rsidRDefault="00880B52" w:rsidP="00880B52"/>
    <w:tbl>
      <w:tblPr>
        <w:tblStyle w:val="GridTable2"/>
        <w:tblW w:w="0" w:type="auto"/>
        <w:tblLook w:val="04A0" w:firstRow="1" w:lastRow="0" w:firstColumn="1" w:lastColumn="0" w:noHBand="0" w:noVBand="1"/>
      </w:tblPr>
      <w:tblGrid>
        <w:gridCol w:w="3116"/>
        <w:gridCol w:w="3117"/>
        <w:gridCol w:w="3117"/>
      </w:tblGrid>
      <w:tr w:rsidR="00880B52" w14:paraId="425A0278" w14:textId="77777777" w:rsidTr="00880B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6EB753D" w14:textId="77777777" w:rsidR="00880B52" w:rsidRPr="00880B52" w:rsidRDefault="00880B52" w:rsidP="00880B52">
            <w:pPr>
              <w:rPr>
                <w:rFonts w:cstheme="minorHAnsi"/>
                <w:b w:val="0"/>
                <w:bCs w:val="0"/>
              </w:rPr>
            </w:pPr>
            <w:r w:rsidRPr="00880B52">
              <w:rPr>
                <w:rStyle w:val="Strong"/>
                <w:rFonts w:cstheme="minorHAnsi"/>
                <w:b/>
                <w:bCs/>
              </w:rPr>
              <w:t>Structural Tier</w:t>
            </w:r>
          </w:p>
          <w:p w14:paraId="0FDCD650" w14:textId="77777777" w:rsidR="00880B52" w:rsidRDefault="00880B52"/>
        </w:tc>
        <w:tc>
          <w:tcPr>
            <w:tcW w:w="3117" w:type="dxa"/>
          </w:tcPr>
          <w:p w14:paraId="2616823F" w14:textId="3FBEFBC7" w:rsidR="00880B52" w:rsidRPr="00880B52" w:rsidRDefault="00880B52">
            <w:pPr>
              <w:cnfStyle w:val="100000000000" w:firstRow="1" w:lastRow="0" w:firstColumn="0" w:lastColumn="0" w:oddVBand="0" w:evenVBand="0" w:oddHBand="0" w:evenHBand="0" w:firstRowFirstColumn="0" w:firstRowLastColumn="0" w:lastRowFirstColumn="0" w:lastRowLastColumn="0"/>
            </w:pPr>
            <w:r w:rsidRPr="00880B52">
              <w:t>Scope &amp; Analytical Focus</w:t>
            </w:r>
          </w:p>
        </w:tc>
        <w:tc>
          <w:tcPr>
            <w:tcW w:w="3117" w:type="dxa"/>
          </w:tcPr>
          <w:p w14:paraId="488F73CB" w14:textId="760E21B2" w:rsidR="00880B52" w:rsidRPr="00880B52" w:rsidRDefault="00880B52">
            <w:pPr>
              <w:cnfStyle w:val="100000000000" w:firstRow="1" w:lastRow="0" w:firstColumn="0" w:lastColumn="0" w:oddVBand="0" w:evenVBand="0" w:oddHBand="0" w:evenHBand="0" w:firstRowFirstColumn="0" w:firstRowLastColumn="0" w:lastRowFirstColumn="0" w:lastRowLastColumn="0"/>
            </w:pPr>
            <w:r w:rsidRPr="00880B52">
              <w:t>Primary Data / Analytical Output</w:t>
            </w:r>
          </w:p>
        </w:tc>
      </w:tr>
      <w:tr w:rsidR="00880B52" w14:paraId="75D75C57" w14:textId="77777777" w:rsidTr="00880B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21D99A0" w14:textId="6DC399D6" w:rsidR="00880B52" w:rsidRPr="00880B52" w:rsidRDefault="00880B52">
            <w:r w:rsidRPr="00880B52">
              <w:t>1. Regional / REC Level</w:t>
            </w:r>
          </w:p>
        </w:tc>
        <w:tc>
          <w:tcPr>
            <w:tcW w:w="3117" w:type="dxa"/>
          </w:tcPr>
          <w:p w14:paraId="060CDF64" w14:textId="61046318" w:rsidR="00880B52" w:rsidRPr="00880B52" w:rsidRDefault="00880B52" w:rsidP="00880B52">
            <w:pPr>
              <w:cnfStyle w:val="000000100000" w:firstRow="0" w:lastRow="0" w:firstColumn="0" w:lastColumn="0" w:oddVBand="0" w:evenVBand="0" w:oddHBand="1" w:evenHBand="0" w:firstRowFirstColumn="0" w:firstRowLastColumn="0" w:lastRowFirstColumn="0" w:lastRowLastColumn="0"/>
            </w:pPr>
            <w:r w:rsidRPr="00880B52">
              <w:t xml:space="preserve">EAC integration rules, cross-border customs, tariff </w:t>
            </w:r>
            <w:r w:rsidRPr="00880B52">
              <w:t>harmonization</w:t>
            </w:r>
            <w:r w:rsidRPr="00880B52">
              <w:t xml:space="preserve">, and regional transport corridors. </w:t>
            </w:r>
          </w:p>
          <w:p w14:paraId="149B5569" w14:textId="77777777" w:rsidR="00880B52" w:rsidRDefault="00880B52">
            <w:pPr>
              <w:cnfStyle w:val="000000100000" w:firstRow="0" w:lastRow="0" w:firstColumn="0" w:lastColumn="0" w:oddVBand="0" w:evenVBand="0" w:oddHBand="1" w:evenHBand="0" w:firstRowFirstColumn="0" w:firstRowLastColumn="0" w:lastRowFirstColumn="0" w:lastRowLastColumn="0"/>
            </w:pPr>
          </w:p>
        </w:tc>
        <w:tc>
          <w:tcPr>
            <w:tcW w:w="3117" w:type="dxa"/>
          </w:tcPr>
          <w:p w14:paraId="26285F29" w14:textId="6E4F6285" w:rsidR="00880B52" w:rsidRDefault="00880B52">
            <w:pPr>
              <w:cnfStyle w:val="000000100000" w:firstRow="0" w:lastRow="0" w:firstColumn="0" w:lastColumn="0" w:oddVBand="0" w:evenVBand="0" w:oddHBand="1" w:evenHBand="0" w:firstRowFirstColumn="0" w:firstRowLastColumn="0" w:lastRowFirstColumn="0" w:lastRowLastColumn="0"/>
            </w:pPr>
            <w:r w:rsidRPr="00880B52">
              <w:t>Regional gap analysis, harmonized policy directives, corridor electrification plans</w:t>
            </w:r>
            <w:r>
              <w:t>.</w:t>
            </w:r>
          </w:p>
        </w:tc>
      </w:tr>
      <w:tr w:rsidR="00880B52" w14:paraId="42BA7A18" w14:textId="77777777" w:rsidTr="00880B52">
        <w:tc>
          <w:tcPr>
            <w:cnfStyle w:val="001000000000" w:firstRow="0" w:lastRow="0" w:firstColumn="1" w:lastColumn="0" w:oddVBand="0" w:evenVBand="0" w:oddHBand="0" w:evenHBand="0" w:firstRowFirstColumn="0" w:firstRowLastColumn="0" w:lastRowFirstColumn="0" w:lastRowLastColumn="0"/>
            <w:tcW w:w="3116" w:type="dxa"/>
          </w:tcPr>
          <w:p w14:paraId="61FE7B80" w14:textId="465E869A" w:rsidR="00880B52" w:rsidRPr="00880B52" w:rsidRDefault="00880B52">
            <w:r w:rsidRPr="00880B52">
              <w:t>2. National Governance</w:t>
            </w:r>
          </w:p>
        </w:tc>
        <w:tc>
          <w:tcPr>
            <w:tcW w:w="3117" w:type="dxa"/>
          </w:tcPr>
          <w:p w14:paraId="0ED7F850" w14:textId="77777777" w:rsidR="00880B52" w:rsidRPr="00880B52" w:rsidRDefault="00880B52" w:rsidP="00880B52">
            <w:pPr>
              <w:cnfStyle w:val="000000000000" w:firstRow="0" w:lastRow="0" w:firstColumn="0" w:lastColumn="0" w:oddVBand="0" w:evenVBand="0" w:oddHBand="0" w:evenHBand="0" w:firstRowFirstColumn="0" w:firstRowLastColumn="0" w:lastRowFirstColumn="0" w:lastRowLastColumn="0"/>
            </w:pPr>
            <w:r w:rsidRPr="00880B52">
              <w:t xml:space="preserve">National energy plans, tax regimes, transport policies, national standards bodies, and utility mandates. </w:t>
            </w:r>
          </w:p>
          <w:p w14:paraId="7AD4CE1D" w14:textId="77777777" w:rsidR="00880B52" w:rsidRDefault="00880B52" w:rsidP="00880B52">
            <w:pPr>
              <w:jc w:val="center"/>
              <w:cnfStyle w:val="000000000000" w:firstRow="0" w:lastRow="0" w:firstColumn="0" w:lastColumn="0" w:oddVBand="0" w:evenVBand="0" w:oddHBand="0" w:evenHBand="0" w:firstRowFirstColumn="0" w:firstRowLastColumn="0" w:lastRowFirstColumn="0" w:lastRowLastColumn="0"/>
            </w:pPr>
          </w:p>
        </w:tc>
        <w:tc>
          <w:tcPr>
            <w:tcW w:w="3117" w:type="dxa"/>
          </w:tcPr>
          <w:p w14:paraId="50F42EF6" w14:textId="04D23CA5" w:rsidR="00880B52" w:rsidRDefault="00880B52">
            <w:pPr>
              <w:cnfStyle w:val="000000000000" w:firstRow="0" w:lastRow="0" w:firstColumn="0" w:lastColumn="0" w:oddVBand="0" w:evenVBand="0" w:oddHBand="0" w:evenHBand="0" w:firstRowFirstColumn="0" w:firstRowLastColumn="0" w:lastRowFirstColumn="0" w:lastRowLastColumn="0"/>
            </w:pPr>
            <w:r w:rsidRPr="00880B52">
              <w:t>Baseline assessment profiles for all 8 Partner States.</w:t>
            </w:r>
          </w:p>
        </w:tc>
      </w:tr>
      <w:tr w:rsidR="00880B52" w14:paraId="49A87D6F" w14:textId="77777777" w:rsidTr="00880B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6EAC5AF" w14:textId="1D5BCAE7" w:rsidR="00880B52" w:rsidRPr="00880B52" w:rsidRDefault="00880B52">
            <w:r w:rsidRPr="00880B52">
              <w:t>3. Commercial / Market</w:t>
            </w:r>
          </w:p>
        </w:tc>
        <w:tc>
          <w:tcPr>
            <w:tcW w:w="3117" w:type="dxa"/>
          </w:tcPr>
          <w:p w14:paraId="77AE91AE" w14:textId="45B49D92" w:rsidR="00880B52" w:rsidRDefault="00880B52">
            <w:pPr>
              <w:cnfStyle w:val="000000100000" w:firstRow="0" w:lastRow="0" w:firstColumn="0" w:lastColumn="0" w:oddVBand="0" w:evenVBand="0" w:oddHBand="1" w:evenHBand="0" w:firstRowFirstColumn="0" w:firstRowLastColumn="0" w:lastRowFirstColumn="0" w:lastRowLastColumn="0"/>
            </w:pPr>
            <w:r w:rsidRPr="00880B52">
              <w:t>EV manufacturers, assemblers, Charge Point Operators (CPOs), battery swappers, commercial banks</w:t>
            </w:r>
          </w:p>
        </w:tc>
        <w:tc>
          <w:tcPr>
            <w:tcW w:w="3117" w:type="dxa"/>
          </w:tcPr>
          <w:p w14:paraId="7F17A882" w14:textId="2C262ADD" w:rsidR="00880B52" w:rsidRDefault="00880B52">
            <w:pPr>
              <w:cnfStyle w:val="000000100000" w:firstRow="0" w:lastRow="0" w:firstColumn="0" w:lastColumn="0" w:oddVBand="0" w:evenVBand="0" w:oddHBand="1" w:evenHBand="0" w:firstRowFirstColumn="0" w:firstRowLastColumn="0" w:lastRowFirstColumn="0" w:lastRowLastColumn="0"/>
            </w:pPr>
            <w:r w:rsidRPr="00880B52">
              <w:t>TCO models, supply chain ecosystem maps, private sector barrier analyses.</w:t>
            </w:r>
          </w:p>
        </w:tc>
      </w:tr>
      <w:tr w:rsidR="00880B52" w14:paraId="7591E02F" w14:textId="77777777" w:rsidTr="00880B52">
        <w:tc>
          <w:tcPr>
            <w:cnfStyle w:val="001000000000" w:firstRow="0" w:lastRow="0" w:firstColumn="1" w:lastColumn="0" w:oddVBand="0" w:evenVBand="0" w:oddHBand="0" w:evenHBand="0" w:firstRowFirstColumn="0" w:firstRowLastColumn="0" w:lastRowFirstColumn="0" w:lastRowLastColumn="0"/>
            <w:tcW w:w="3116" w:type="dxa"/>
          </w:tcPr>
          <w:p w14:paraId="5FE0EF0D" w14:textId="0F55B683" w:rsidR="00880B52" w:rsidRPr="00880B52" w:rsidRDefault="00880B52">
            <w:r w:rsidRPr="00880B52">
              <w:t>4. Grassroots &amp; Environmenta</w:t>
            </w:r>
            <w:r w:rsidRPr="00880B52">
              <w:t>l</w:t>
            </w:r>
          </w:p>
        </w:tc>
        <w:tc>
          <w:tcPr>
            <w:tcW w:w="3117" w:type="dxa"/>
          </w:tcPr>
          <w:p w14:paraId="533FBCDC" w14:textId="19986F4E" w:rsidR="00880B52" w:rsidRDefault="00880B52">
            <w:pPr>
              <w:cnfStyle w:val="000000000000" w:firstRow="0" w:lastRow="0" w:firstColumn="0" w:lastColumn="0" w:oddVBand="0" w:evenVBand="0" w:oddHBand="0" w:evenHBand="0" w:firstRowFirstColumn="0" w:firstRowLastColumn="0" w:lastRowFirstColumn="0" w:lastRowLastColumn="0"/>
            </w:pPr>
            <w:r w:rsidRPr="00880B52">
              <w:t>Informal transport operators, end-users, local communities, waste management pathways</w:t>
            </w:r>
          </w:p>
        </w:tc>
        <w:tc>
          <w:tcPr>
            <w:tcW w:w="3117" w:type="dxa"/>
          </w:tcPr>
          <w:p w14:paraId="4F3D166B" w14:textId="437FAF08" w:rsidR="00880B52" w:rsidRDefault="00880B52">
            <w:pPr>
              <w:cnfStyle w:val="000000000000" w:firstRow="0" w:lastRow="0" w:firstColumn="0" w:lastColumn="0" w:oddVBand="0" w:evenVBand="0" w:oddHBand="0" w:evenHBand="0" w:firstRowFirstColumn="0" w:firstRowLastColumn="0" w:lastRowFirstColumn="0" w:lastRowLastColumn="0"/>
            </w:pPr>
            <w:r w:rsidRPr="00880B52">
              <w:t>Just transition strategies, environmental impact matrices, skill gap profiles.</w:t>
            </w:r>
          </w:p>
        </w:tc>
      </w:tr>
    </w:tbl>
    <w:p w14:paraId="003A108F" w14:textId="77777777" w:rsidR="00880B52" w:rsidRDefault="00880B52"/>
    <w:p w14:paraId="44CBB1B2" w14:textId="5953F862" w:rsidR="00880B52" w:rsidRDefault="00880B52"/>
    <w:p w14:paraId="056C9EAC" w14:textId="77777777" w:rsidR="00880B52" w:rsidRDefault="00880B52">
      <w:r>
        <w:br w:type="page"/>
      </w:r>
    </w:p>
    <w:p w14:paraId="4C64FD3D" w14:textId="1AD973CD" w:rsidR="00880B52" w:rsidRDefault="00611903" w:rsidP="00104D0E">
      <w:pPr>
        <w:pStyle w:val="Heading1"/>
      </w:pPr>
      <w:r w:rsidRPr="00611903">
        <w:lastRenderedPageBreak/>
        <w:t>4. Methodology and Operationalization Workflow</w:t>
      </w:r>
    </w:p>
    <w:p w14:paraId="3800C009" w14:textId="4A859339" w:rsidR="00611903" w:rsidRDefault="00611903">
      <w:pPr>
        <w:rPr>
          <w:b/>
          <w:bCs/>
          <w:color w:val="000000" w:themeColor="text1"/>
        </w:rPr>
      </w:pPr>
      <w:r>
        <w:rPr>
          <w:b/>
          <w:bCs/>
          <w:noProof/>
          <w:color w:val="000000" w:themeColor="text1"/>
        </w:rPr>
        <mc:AlternateContent>
          <mc:Choice Requires="wps">
            <w:drawing>
              <wp:anchor distT="0" distB="0" distL="114300" distR="114300" simplePos="0" relativeHeight="251659264" behindDoc="0" locked="0" layoutInCell="1" allowOverlap="1" wp14:anchorId="016DD870" wp14:editId="060570E3">
                <wp:simplePos x="0" y="0"/>
                <wp:positionH relativeFrom="column">
                  <wp:posOffset>-647700</wp:posOffset>
                </wp:positionH>
                <wp:positionV relativeFrom="paragraph">
                  <wp:posOffset>121285</wp:posOffset>
                </wp:positionV>
                <wp:extent cx="5762625" cy="1323975"/>
                <wp:effectExtent l="0" t="0" r="28575" b="28575"/>
                <wp:wrapNone/>
                <wp:docPr id="2090547503" name="Rectangle 1"/>
                <wp:cNvGraphicFramePr/>
                <a:graphic xmlns:a="http://schemas.openxmlformats.org/drawingml/2006/main">
                  <a:graphicData uri="http://schemas.microsoft.com/office/word/2010/wordprocessingShape">
                    <wps:wsp>
                      <wps:cNvSpPr/>
                      <wps:spPr>
                        <a:xfrm>
                          <a:off x="0" y="0"/>
                          <a:ext cx="5762625" cy="13239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C4479BE" w14:textId="4079691B" w:rsidR="00611903" w:rsidRPr="00611903" w:rsidRDefault="00611903" w:rsidP="00611903">
                            <w:pPr>
                              <w:rPr>
                                <w:b/>
                                <w:bCs/>
                              </w:rPr>
                            </w:pPr>
                            <w:r w:rsidRPr="00611903">
                              <w:rPr>
                                <w:b/>
                                <w:bCs/>
                              </w:rPr>
                              <w:t xml:space="preserve">1. DATA INPUTS &amp; DIAGNOSTICS </w:t>
                            </w:r>
                            <w:r>
                              <w:rPr>
                                <w:b/>
                                <w:bCs/>
                              </w:rPr>
                              <w:t>:</w:t>
                            </w:r>
                          </w:p>
                          <w:p w14:paraId="41AE385F" w14:textId="584A7E69" w:rsidR="00611903" w:rsidRDefault="00611903" w:rsidP="00611903">
                            <w:pPr>
                              <w:pStyle w:val="ListParagraph"/>
                              <w:numPr>
                                <w:ilvl w:val="0"/>
                                <w:numId w:val="8"/>
                              </w:numPr>
                            </w:pPr>
                            <w:r w:rsidRPr="00611903">
                              <w:t xml:space="preserve">Primary: Stakeholder surveys, bilateral consultations, TWG workshops </w:t>
                            </w:r>
                          </w:p>
                          <w:p w14:paraId="01DA262D" w14:textId="11B3CA73" w:rsidR="00611903" w:rsidRDefault="00611903" w:rsidP="00611903">
                            <w:pPr>
                              <w:pStyle w:val="ListParagraph"/>
                              <w:numPr>
                                <w:ilvl w:val="0"/>
                                <w:numId w:val="8"/>
                              </w:numPr>
                            </w:pPr>
                            <w:r w:rsidRPr="00611903">
                              <w:t xml:space="preserve">Secondary: National energy data, trade flows, EV registry databases, legal texts </w:t>
                            </w:r>
                          </w:p>
                          <w:p w14:paraId="54DE39CD" w14:textId="6D0500A9" w:rsidR="00611903" w:rsidRDefault="00611903" w:rsidP="00611903">
                            <w:pPr>
                              <w:pStyle w:val="ListParagraph"/>
                              <w:numPr>
                                <w:ilvl w:val="0"/>
                                <w:numId w:val="8"/>
                              </w:numPr>
                            </w:pPr>
                            <w:r w:rsidRPr="00611903">
                              <w:t>Global Benchmarking: Lessons from global RECs and similar emerging markets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6DD870" id="Rectangle 1" o:spid="_x0000_s1026" style="position:absolute;margin-left:-51pt;margin-top:9.55pt;width:453.75pt;height:10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" fillcolor="black [3200]" strokecolor="black [480]" strokeweight="1pt">
                <v:textbox>
                  <w:txbxContent>
                    <w:p w14:paraId="3C4479BE" w14:textId="4079691B" w:rsidR="00611903" w:rsidRPr="00611903" w:rsidRDefault="00611903" w:rsidP="00611903">
                      <w:pPr>
                        <w:rPr>
                          <w:b/>
                          <w:bCs/>
                        </w:rPr>
                      </w:pPr>
                      <w:r w:rsidRPr="00611903">
                        <w:rPr>
                          <w:b/>
                          <w:bCs/>
                        </w:rPr>
                        <w:t xml:space="preserve">1. DATA INPUTS &amp; DIAGNOSTICS </w:t>
                      </w:r>
                      <w:r>
                        <w:rPr>
                          <w:b/>
                          <w:bCs/>
                        </w:rPr>
                        <w:t>:</w:t>
                      </w:r>
                    </w:p>
                    <w:p w14:paraId="41AE385F" w14:textId="584A7E69" w:rsidR="00611903" w:rsidRDefault="00611903" w:rsidP="00611903">
                      <w:pPr>
                        <w:pStyle w:val="ListParagraph"/>
                        <w:numPr>
                          <w:ilvl w:val="0"/>
                          <w:numId w:val="8"/>
                        </w:numPr>
                      </w:pPr>
                      <w:r w:rsidRPr="00611903">
                        <w:t xml:space="preserve">Primary: Stakeholder surveys, bilateral consultations, TWG workshops </w:t>
                      </w:r>
                    </w:p>
                    <w:p w14:paraId="01DA262D" w14:textId="11B3CA73" w:rsidR="00611903" w:rsidRDefault="00611903" w:rsidP="00611903">
                      <w:pPr>
                        <w:pStyle w:val="ListParagraph"/>
                        <w:numPr>
                          <w:ilvl w:val="0"/>
                          <w:numId w:val="8"/>
                        </w:numPr>
                      </w:pPr>
                      <w:r w:rsidRPr="00611903">
                        <w:t xml:space="preserve">Secondary: National energy data, trade flows, EV registry databases, legal texts </w:t>
                      </w:r>
                    </w:p>
                    <w:p w14:paraId="54DE39CD" w14:textId="6D0500A9" w:rsidR="00611903" w:rsidRDefault="00611903" w:rsidP="00611903">
                      <w:pPr>
                        <w:pStyle w:val="ListParagraph"/>
                        <w:numPr>
                          <w:ilvl w:val="0"/>
                          <w:numId w:val="8"/>
                        </w:numPr>
                      </w:pPr>
                      <w:r w:rsidRPr="00611903">
                        <w:t>Global Benchmarking: Lessons from global RECs and similar emerging markets</w:t>
                      </w:r>
                    </w:p>
                  </w:txbxContent>
                </v:textbox>
              </v:rect>
            </w:pict>
          </mc:Fallback>
        </mc:AlternateContent>
      </w:r>
    </w:p>
    <w:p w14:paraId="5227DF13" w14:textId="28CC94B4" w:rsidR="00611903" w:rsidRDefault="00046C6E">
      <w:pPr>
        <w:rPr>
          <w:b/>
          <w:bCs/>
          <w:color w:val="000000" w:themeColor="text1"/>
        </w:rPr>
      </w:pPr>
      <w:r>
        <w:rPr>
          <w:b/>
          <w:bCs/>
          <w:noProof/>
          <w:color w:val="000000" w:themeColor="text1"/>
        </w:rPr>
        <mc:AlternateContent>
          <mc:Choice Requires="wps">
            <w:drawing>
              <wp:anchor distT="0" distB="0" distL="114300" distR="114300" simplePos="0" relativeHeight="251662336" behindDoc="0" locked="0" layoutInCell="1" allowOverlap="1" wp14:anchorId="46A76141" wp14:editId="0F9D14E1">
                <wp:simplePos x="0" y="0"/>
                <wp:positionH relativeFrom="column">
                  <wp:posOffset>-666750</wp:posOffset>
                </wp:positionH>
                <wp:positionV relativeFrom="paragraph">
                  <wp:posOffset>4032885</wp:posOffset>
                </wp:positionV>
                <wp:extent cx="5905500" cy="1304925"/>
                <wp:effectExtent l="0" t="0" r="19050" b="28575"/>
                <wp:wrapNone/>
                <wp:docPr id="283327560" name="Rectangle 5"/>
                <wp:cNvGraphicFramePr/>
                <a:graphic xmlns:a="http://schemas.openxmlformats.org/drawingml/2006/main">
                  <a:graphicData uri="http://schemas.microsoft.com/office/word/2010/wordprocessingShape">
                    <wps:wsp>
                      <wps:cNvSpPr/>
                      <wps:spPr>
                        <a:xfrm>
                          <a:off x="0" y="0"/>
                          <a:ext cx="5905500" cy="13049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8291AAD" w14:textId="2DEF369C" w:rsidR="00046C6E" w:rsidRPr="00046C6E" w:rsidRDefault="00046C6E" w:rsidP="00046C6E">
                            <w:pPr>
                              <w:rPr>
                                <w:b/>
                                <w:bCs/>
                              </w:rPr>
                            </w:pPr>
                            <w:r w:rsidRPr="00046C6E">
                              <w:rPr>
                                <w:b/>
                                <w:bCs/>
                              </w:rPr>
                              <w:t xml:space="preserve">3.STRATEGIC OUTPUT DELIVERY </w:t>
                            </w:r>
                            <w:r w:rsidRPr="00046C6E">
                              <w:rPr>
                                <w:b/>
                                <w:bCs/>
                              </w:rPr>
                              <w:t>:</w:t>
                            </w:r>
                          </w:p>
                          <w:p w14:paraId="5B3901BC" w14:textId="35F907BB" w:rsidR="00046C6E" w:rsidRDefault="00046C6E" w:rsidP="00046C6E">
                            <w:pPr>
                              <w:pStyle w:val="ListParagraph"/>
                              <w:numPr>
                                <w:ilvl w:val="0"/>
                                <w:numId w:val="13"/>
                              </w:numPr>
                            </w:pPr>
                            <w:r w:rsidRPr="00046C6E">
                              <w:t>Regional E-Mobility Policy &amp; Strategy Framework</w:t>
                            </w:r>
                          </w:p>
                          <w:p w14:paraId="07DCDF0A" w14:textId="443962EB" w:rsidR="00046C6E" w:rsidRDefault="00046C6E" w:rsidP="00046C6E">
                            <w:pPr>
                              <w:pStyle w:val="ListParagraph"/>
                              <w:numPr>
                                <w:ilvl w:val="0"/>
                                <w:numId w:val="13"/>
                              </w:numPr>
                            </w:pPr>
                            <w:r w:rsidRPr="00046C6E">
                              <w:t xml:space="preserve">Phased Implementation Roadmap &amp; Investment Strategy </w:t>
                            </w:r>
                          </w:p>
                          <w:p w14:paraId="2D425A02" w14:textId="7EF28E1A" w:rsidR="00046C6E" w:rsidRDefault="00046C6E" w:rsidP="00046C6E">
                            <w:pPr>
                              <w:pStyle w:val="ListParagraph"/>
                              <w:numPr>
                                <w:ilvl w:val="0"/>
                                <w:numId w:val="13"/>
                              </w:numPr>
                            </w:pPr>
                            <w:r w:rsidRPr="00046C6E">
                              <w:t>Regional Monitoring, Evaluation, and Learning (MEL) Framework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A76141" id="Rectangle 5" o:spid="_x0000_s1027" style="position:absolute;margin-left:-52.5pt;margin-top:317.55pt;width:465pt;height:102.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" fillcolor="black [3200]" strokecolor="black [480]" strokeweight="1pt">
                <v:textbox>
                  <w:txbxContent>
                    <w:p w14:paraId="08291AAD" w14:textId="2DEF369C" w:rsidR="00046C6E" w:rsidRPr="00046C6E" w:rsidRDefault="00046C6E" w:rsidP="00046C6E">
                      <w:pPr>
                        <w:rPr>
                          <w:b/>
                          <w:bCs/>
                        </w:rPr>
                      </w:pPr>
                      <w:r w:rsidRPr="00046C6E">
                        <w:rPr>
                          <w:b/>
                          <w:bCs/>
                        </w:rPr>
                        <w:t xml:space="preserve">3.STRATEGIC OUTPUT DELIVERY </w:t>
                      </w:r>
                      <w:r w:rsidRPr="00046C6E">
                        <w:rPr>
                          <w:b/>
                          <w:bCs/>
                        </w:rPr>
                        <w:t>:</w:t>
                      </w:r>
                    </w:p>
                    <w:p w14:paraId="5B3901BC" w14:textId="35F907BB" w:rsidR="00046C6E" w:rsidRDefault="00046C6E" w:rsidP="00046C6E">
                      <w:pPr>
                        <w:pStyle w:val="ListParagraph"/>
                        <w:numPr>
                          <w:ilvl w:val="0"/>
                          <w:numId w:val="13"/>
                        </w:numPr>
                      </w:pPr>
                      <w:r w:rsidRPr="00046C6E">
                        <w:t>Regional E-Mobility Policy &amp; Strategy Framework</w:t>
                      </w:r>
                    </w:p>
                    <w:p w14:paraId="07DCDF0A" w14:textId="443962EB" w:rsidR="00046C6E" w:rsidRDefault="00046C6E" w:rsidP="00046C6E">
                      <w:pPr>
                        <w:pStyle w:val="ListParagraph"/>
                        <w:numPr>
                          <w:ilvl w:val="0"/>
                          <w:numId w:val="13"/>
                        </w:numPr>
                      </w:pPr>
                      <w:r w:rsidRPr="00046C6E">
                        <w:t xml:space="preserve">Phased Implementation Roadmap &amp; Investment Strategy </w:t>
                      </w:r>
                    </w:p>
                    <w:p w14:paraId="2D425A02" w14:textId="7EF28E1A" w:rsidR="00046C6E" w:rsidRDefault="00046C6E" w:rsidP="00046C6E">
                      <w:pPr>
                        <w:pStyle w:val="ListParagraph"/>
                        <w:numPr>
                          <w:ilvl w:val="0"/>
                          <w:numId w:val="13"/>
                        </w:numPr>
                      </w:pPr>
                      <w:r w:rsidRPr="00046C6E">
                        <w:t>Regional Monitoring, Evaluation, and Learning (MEL) Framework</w:t>
                      </w:r>
                    </w:p>
                  </w:txbxContent>
                </v:textbox>
              </v:rect>
            </w:pict>
          </mc:Fallback>
        </mc:AlternateContent>
      </w:r>
      <w:r>
        <w:rPr>
          <w:b/>
          <w:bCs/>
          <w:noProof/>
          <w:color w:val="000000" w:themeColor="text1"/>
        </w:rPr>
        <mc:AlternateContent>
          <mc:Choice Requires="wps">
            <w:drawing>
              <wp:anchor distT="0" distB="0" distL="114300" distR="114300" simplePos="0" relativeHeight="251661312" behindDoc="0" locked="0" layoutInCell="1" allowOverlap="1" wp14:anchorId="45D32F1F" wp14:editId="2295D9B5">
                <wp:simplePos x="0" y="0"/>
                <wp:positionH relativeFrom="column">
                  <wp:posOffset>-628650</wp:posOffset>
                </wp:positionH>
                <wp:positionV relativeFrom="paragraph">
                  <wp:posOffset>1880234</wp:posOffset>
                </wp:positionV>
                <wp:extent cx="5800725" cy="1381125"/>
                <wp:effectExtent l="0" t="0" r="28575" b="28575"/>
                <wp:wrapNone/>
                <wp:docPr id="1559720740" name="Rectangle 3"/>
                <wp:cNvGraphicFramePr/>
                <a:graphic xmlns:a="http://schemas.openxmlformats.org/drawingml/2006/main">
                  <a:graphicData uri="http://schemas.microsoft.com/office/word/2010/wordprocessingShape">
                    <wps:wsp>
                      <wps:cNvSpPr/>
                      <wps:spPr>
                        <a:xfrm>
                          <a:off x="0" y="0"/>
                          <a:ext cx="5800725" cy="13811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F69E47B" w14:textId="36D1B97B" w:rsidR="00611903" w:rsidRPr="00611903" w:rsidRDefault="00611903" w:rsidP="00611903">
                            <w:pPr>
                              <w:rPr>
                                <w:b/>
                                <w:bCs/>
                              </w:rPr>
                            </w:pPr>
                            <w:r w:rsidRPr="00611903">
                              <w:rPr>
                                <w:b/>
                                <w:bCs/>
                              </w:rPr>
                              <w:t xml:space="preserve">2. ANALYTICAL PROCESSING </w:t>
                            </w:r>
                            <w:r w:rsidRPr="00611903">
                              <w:rPr>
                                <w:b/>
                                <w:bCs/>
                              </w:rPr>
                              <w:t>:</w:t>
                            </w:r>
                          </w:p>
                          <w:p w14:paraId="35B7E978" w14:textId="553D9B75" w:rsidR="00611903" w:rsidRDefault="00611903" w:rsidP="00046C6E">
                            <w:pPr>
                              <w:pStyle w:val="ListParagraph"/>
                              <w:numPr>
                                <w:ilvl w:val="0"/>
                                <w:numId w:val="14"/>
                              </w:numPr>
                            </w:pPr>
                            <w:r>
                              <w:t xml:space="preserve">TCO &amp; Parity Modeling (ICE vs. EV across segments) </w:t>
                            </w:r>
                          </w:p>
                          <w:p w14:paraId="25A1D364" w14:textId="5B3CCA3A" w:rsidR="00611903" w:rsidRDefault="00611903" w:rsidP="00046C6E">
                            <w:pPr>
                              <w:pStyle w:val="ListParagraph"/>
                              <w:numPr>
                                <w:ilvl w:val="0"/>
                                <w:numId w:val="14"/>
                              </w:numPr>
                            </w:pPr>
                            <w:r>
                              <w:t xml:space="preserve">Power Grid Capacity &amp; Renewable Integration Simulations </w:t>
                            </w:r>
                          </w:p>
                          <w:p w14:paraId="37B2B7DC" w14:textId="1CF4597D" w:rsidR="00611903" w:rsidRDefault="00611903" w:rsidP="00046C6E">
                            <w:pPr>
                              <w:pStyle w:val="ListParagraph"/>
                              <w:numPr>
                                <w:ilvl w:val="0"/>
                                <w:numId w:val="14"/>
                              </w:numPr>
                            </w:pPr>
                            <w:r>
                              <w:t xml:space="preserve">Value Chain &amp; Mineral Resource Potential Mapping </w:t>
                            </w:r>
                          </w:p>
                          <w:p w14:paraId="4BF9851A" w14:textId="471A5E96" w:rsidR="00611903" w:rsidRDefault="00611903" w:rsidP="00046C6E">
                            <w:pPr>
                              <w:pStyle w:val="ListParagraph"/>
                              <w:numPr>
                                <w:ilvl w:val="0"/>
                                <w:numId w:val="14"/>
                              </w:numPr>
                            </w:pPr>
                            <w:r>
                              <w:t>Tariff &amp; Regulatory Barrier Gap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D32F1F" id="Rectangle 3" o:spid="_x0000_s1028" style="position:absolute;margin-left:-49.5pt;margin-top:148.05pt;width:456.75pt;height:108.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" fillcolor="black [3200]" strokecolor="black [480]" strokeweight="1pt">
                <v:textbox>
                  <w:txbxContent>
                    <w:p w14:paraId="4F69E47B" w14:textId="36D1B97B" w:rsidR="00611903" w:rsidRPr="00611903" w:rsidRDefault="00611903" w:rsidP="00611903">
                      <w:pPr>
                        <w:rPr>
                          <w:b/>
                          <w:bCs/>
                        </w:rPr>
                      </w:pPr>
                      <w:r w:rsidRPr="00611903">
                        <w:rPr>
                          <w:b/>
                          <w:bCs/>
                        </w:rPr>
                        <w:t xml:space="preserve">2. ANALYTICAL PROCESSING </w:t>
                      </w:r>
                      <w:r w:rsidRPr="00611903">
                        <w:rPr>
                          <w:b/>
                          <w:bCs/>
                        </w:rPr>
                        <w:t>:</w:t>
                      </w:r>
                    </w:p>
                    <w:p w14:paraId="35B7E978" w14:textId="553D9B75" w:rsidR="00611903" w:rsidRDefault="00611903" w:rsidP="00046C6E">
                      <w:pPr>
                        <w:pStyle w:val="ListParagraph"/>
                        <w:numPr>
                          <w:ilvl w:val="0"/>
                          <w:numId w:val="14"/>
                        </w:numPr>
                      </w:pPr>
                      <w:r>
                        <w:t xml:space="preserve">TCO &amp; Parity Modeling (ICE vs. EV across segments) </w:t>
                      </w:r>
                    </w:p>
                    <w:p w14:paraId="25A1D364" w14:textId="5B3CCA3A" w:rsidR="00611903" w:rsidRDefault="00611903" w:rsidP="00046C6E">
                      <w:pPr>
                        <w:pStyle w:val="ListParagraph"/>
                        <w:numPr>
                          <w:ilvl w:val="0"/>
                          <w:numId w:val="14"/>
                        </w:numPr>
                      </w:pPr>
                      <w:r>
                        <w:t xml:space="preserve">Power Grid Capacity &amp; Renewable Integration Simulations </w:t>
                      </w:r>
                    </w:p>
                    <w:p w14:paraId="37B2B7DC" w14:textId="1CF4597D" w:rsidR="00611903" w:rsidRDefault="00611903" w:rsidP="00046C6E">
                      <w:pPr>
                        <w:pStyle w:val="ListParagraph"/>
                        <w:numPr>
                          <w:ilvl w:val="0"/>
                          <w:numId w:val="14"/>
                        </w:numPr>
                      </w:pPr>
                      <w:r>
                        <w:t xml:space="preserve">Value Chain &amp; Mineral Resource Potential Mapping </w:t>
                      </w:r>
                    </w:p>
                    <w:p w14:paraId="4BF9851A" w14:textId="471A5E96" w:rsidR="00611903" w:rsidRDefault="00611903" w:rsidP="00046C6E">
                      <w:pPr>
                        <w:pStyle w:val="ListParagraph"/>
                        <w:numPr>
                          <w:ilvl w:val="0"/>
                          <w:numId w:val="14"/>
                        </w:numPr>
                      </w:pPr>
                      <w:r>
                        <w:t>Tariff &amp; Regulatory Barrier Gap Analysis</w:t>
                      </w:r>
                    </w:p>
                  </w:txbxContent>
                </v:textbox>
              </v:rect>
            </w:pict>
          </mc:Fallback>
        </mc:AlternateContent>
      </w:r>
      <w:r>
        <w:rPr>
          <w:b/>
          <w:bCs/>
          <w:noProof/>
          <w:color w:val="000000" w:themeColor="text1"/>
        </w:rPr>
        <mc:AlternateContent>
          <mc:Choice Requires="wps">
            <w:drawing>
              <wp:anchor distT="0" distB="0" distL="114300" distR="114300" simplePos="0" relativeHeight="251664384" behindDoc="0" locked="0" layoutInCell="1" allowOverlap="1" wp14:anchorId="30D77299" wp14:editId="35A074CF">
                <wp:simplePos x="0" y="0"/>
                <wp:positionH relativeFrom="column">
                  <wp:posOffset>2047875</wp:posOffset>
                </wp:positionH>
                <wp:positionV relativeFrom="paragraph">
                  <wp:posOffset>3261360</wp:posOffset>
                </wp:positionV>
                <wp:extent cx="381000" cy="762000"/>
                <wp:effectExtent l="19050" t="0" r="38100" b="38100"/>
                <wp:wrapNone/>
                <wp:docPr id="855873530" name="Arrow: Down 7"/>
                <wp:cNvGraphicFramePr/>
                <a:graphic xmlns:a="http://schemas.openxmlformats.org/drawingml/2006/main">
                  <a:graphicData uri="http://schemas.microsoft.com/office/word/2010/wordprocessingShape">
                    <wps:wsp>
                      <wps:cNvSpPr/>
                      <wps:spPr>
                        <a:xfrm>
                          <a:off x="0" y="0"/>
                          <a:ext cx="381000" cy="762000"/>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9FD0D3D"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7" o:spid="_x0000_s1026" type="#_x0000_t67" style="position:absolute;margin-left:161.25pt;margin-top:256.8pt;width:30pt;height:60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" fillcolor="white [3201]" strokecolor="#70ad47 [3209]" strokeweight="1pt"/>
            </w:pict>
          </mc:Fallback>
        </mc:AlternateContent>
      </w:r>
      <w:r>
        <w:rPr>
          <w:b/>
          <w:bCs/>
          <w:noProof/>
          <w:color w:val="000000" w:themeColor="text1"/>
        </w:rPr>
        <mc:AlternateContent>
          <mc:Choice Requires="wps">
            <w:drawing>
              <wp:anchor distT="0" distB="0" distL="114300" distR="114300" simplePos="0" relativeHeight="251663360" behindDoc="0" locked="0" layoutInCell="1" allowOverlap="1" wp14:anchorId="5D9676A9" wp14:editId="042791EE">
                <wp:simplePos x="0" y="0"/>
                <wp:positionH relativeFrom="column">
                  <wp:posOffset>2000250</wp:posOffset>
                </wp:positionH>
                <wp:positionV relativeFrom="paragraph">
                  <wp:posOffset>1137285</wp:posOffset>
                </wp:positionV>
                <wp:extent cx="361950" cy="742950"/>
                <wp:effectExtent l="19050" t="0" r="19050" b="38100"/>
                <wp:wrapNone/>
                <wp:docPr id="273939626" name="Arrow: Down 6"/>
                <wp:cNvGraphicFramePr/>
                <a:graphic xmlns:a="http://schemas.openxmlformats.org/drawingml/2006/main">
                  <a:graphicData uri="http://schemas.microsoft.com/office/word/2010/wordprocessingShape">
                    <wps:wsp>
                      <wps:cNvSpPr/>
                      <wps:spPr>
                        <a:xfrm>
                          <a:off x="0" y="0"/>
                          <a:ext cx="361950" cy="742950"/>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A777132" id="Arrow: Down 6" o:spid="_x0000_s1026" type="#_x0000_t67" style="position:absolute;margin-left:157.5pt;margin-top:89.55pt;width:28.5pt;height:58.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" adj="16338" fillcolor="white [3201]" strokecolor="#70ad47 [3209]" strokeweight="1pt"/>
            </w:pict>
          </mc:Fallback>
        </mc:AlternateContent>
      </w:r>
    </w:p>
    <w:p w14:paraId="1632B4DC" w14:textId="77777777" w:rsidR="00046C6E" w:rsidRPr="00046C6E" w:rsidRDefault="00046C6E" w:rsidP="00046C6E"/>
    <w:p w14:paraId="6C7D7A11" w14:textId="77777777" w:rsidR="00046C6E" w:rsidRPr="00046C6E" w:rsidRDefault="00046C6E" w:rsidP="00046C6E"/>
    <w:p w14:paraId="142BD77E" w14:textId="77777777" w:rsidR="00046C6E" w:rsidRPr="00046C6E" w:rsidRDefault="00046C6E" w:rsidP="00046C6E"/>
    <w:p w14:paraId="4208421B" w14:textId="77777777" w:rsidR="00046C6E" w:rsidRPr="00046C6E" w:rsidRDefault="00046C6E" w:rsidP="00046C6E"/>
    <w:p w14:paraId="1F494E54" w14:textId="77777777" w:rsidR="00046C6E" w:rsidRPr="00046C6E" w:rsidRDefault="00046C6E" w:rsidP="00046C6E"/>
    <w:p w14:paraId="159BE21A" w14:textId="77777777" w:rsidR="00046C6E" w:rsidRPr="00046C6E" w:rsidRDefault="00046C6E" w:rsidP="00046C6E"/>
    <w:p w14:paraId="159DB006" w14:textId="77777777" w:rsidR="00046C6E" w:rsidRPr="00046C6E" w:rsidRDefault="00046C6E" w:rsidP="00046C6E"/>
    <w:p w14:paraId="2B125B19" w14:textId="77777777" w:rsidR="00046C6E" w:rsidRPr="00046C6E" w:rsidRDefault="00046C6E" w:rsidP="00046C6E"/>
    <w:p w14:paraId="261B8B8D" w14:textId="77777777" w:rsidR="00046C6E" w:rsidRDefault="00046C6E" w:rsidP="00046C6E">
      <w:pPr>
        <w:rPr>
          <w:b/>
          <w:bCs/>
          <w:color w:val="000000" w:themeColor="text1"/>
        </w:rPr>
      </w:pPr>
    </w:p>
    <w:p w14:paraId="76D495E6" w14:textId="54877DEF" w:rsidR="00046C6E" w:rsidRDefault="00046C6E" w:rsidP="00046C6E">
      <w:pPr>
        <w:tabs>
          <w:tab w:val="left" w:pos="1740"/>
        </w:tabs>
      </w:pPr>
      <w:r>
        <w:tab/>
      </w:r>
    </w:p>
    <w:p w14:paraId="36031CE2" w14:textId="77777777" w:rsidR="00046C6E" w:rsidRPr="00046C6E" w:rsidRDefault="00046C6E" w:rsidP="00046C6E"/>
    <w:p w14:paraId="7EECAEB3" w14:textId="77777777" w:rsidR="00046C6E" w:rsidRPr="00046C6E" w:rsidRDefault="00046C6E" w:rsidP="00046C6E"/>
    <w:p w14:paraId="15EDE7D8" w14:textId="77777777" w:rsidR="00046C6E" w:rsidRPr="00046C6E" w:rsidRDefault="00046C6E" w:rsidP="00046C6E"/>
    <w:p w14:paraId="61852966" w14:textId="77777777" w:rsidR="00046C6E" w:rsidRPr="00046C6E" w:rsidRDefault="00046C6E" w:rsidP="00046C6E"/>
    <w:p w14:paraId="1E72D23F" w14:textId="77777777" w:rsidR="00046C6E" w:rsidRPr="00046C6E" w:rsidRDefault="00046C6E" w:rsidP="00046C6E"/>
    <w:p w14:paraId="195DB88D" w14:textId="77777777" w:rsidR="00046C6E" w:rsidRPr="00046C6E" w:rsidRDefault="00046C6E" w:rsidP="00046C6E"/>
    <w:p w14:paraId="6125EBE0" w14:textId="77777777" w:rsidR="00046C6E" w:rsidRDefault="00046C6E" w:rsidP="00046C6E"/>
    <w:p w14:paraId="7D14E3BD" w14:textId="3CE655B6" w:rsidR="00046C6E" w:rsidRDefault="00046C6E" w:rsidP="00046C6E">
      <w:pPr>
        <w:tabs>
          <w:tab w:val="left" w:pos="960"/>
        </w:tabs>
      </w:pPr>
      <w:r>
        <w:tab/>
      </w:r>
    </w:p>
    <w:p w14:paraId="6B72EE72" w14:textId="77777777" w:rsidR="00046C6E" w:rsidRDefault="00046C6E">
      <w:r>
        <w:br w:type="page"/>
      </w:r>
    </w:p>
    <w:p w14:paraId="613E585C" w14:textId="77777777" w:rsidR="00046C6E" w:rsidRPr="00046C6E" w:rsidRDefault="00046C6E" w:rsidP="00104D0E">
      <w:pPr>
        <w:pStyle w:val="Heading1"/>
      </w:pPr>
      <w:r w:rsidRPr="00046C6E">
        <w:lastRenderedPageBreak/>
        <w:t>5. Implementation Phasing Matrix</w:t>
      </w:r>
    </w:p>
    <w:p w14:paraId="2FD09F29" w14:textId="77777777" w:rsidR="00046C6E" w:rsidRPr="00046C6E" w:rsidRDefault="00046C6E" w:rsidP="00046C6E">
      <w:pPr>
        <w:tabs>
          <w:tab w:val="left" w:pos="960"/>
        </w:tabs>
      </w:pPr>
      <w:r w:rsidRPr="00046C6E">
        <w:t xml:space="preserve">The strategy and action plan recommendations will be categorized into three distinct implementation timeframes: </w:t>
      </w:r>
    </w:p>
    <w:p w14:paraId="7176A449" w14:textId="77777777" w:rsidR="00046C6E" w:rsidRPr="00046C6E" w:rsidRDefault="00046C6E" w:rsidP="00046C6E">
      <w:pPr>
        <w:numPr>
          <w:ilvl w:val="0"/>
          <w:numId w:val="15"/>
        </w:numPr>
        <w:tabs>
          <w:tab w:val="left" w:pos="960"/>
        </w:tabs>
      </w:pPr>
      <w:r w:rsidRPr="00046C6E">
        <w:rPr>
          <w:b/>
          <w:bCs/>
        </w:rPr>
        <w:t>Short-Term Phase (0–2 Years):</w:t>
      </w:r>
    </w:p>
    <w:p w14:paraId="6F896DCB" w14:textId="018D339E" w:rsidR="00046C6E" w:rsidRPr="00046C6E" w:rsidRDefault="00046C6E" w:rsidP="00046C6E">
      <w:pPr>
        <w:numPr>
          <w:ilvl w:val="1"/>
          <w:numId w:val="15"/>
        </w:numPr>
        <w:tabs>
          <w:tab w:val="left" w:pos="960"/>
        </w:tabs>
      </w:pPr>
      <w:r w:rsidRPr="00046C6E">
        <w:t>Harmonization of core EV charging and battery safety standards</w:t>
      </w:r>
      <w:r>
        <w:t>.</w:t>
      </w:r>
    </w:p>
    <w:p w14:paraId="0645E688" w14:textId="2D31D174" w:rsidR="00046C6E" w:rsidRPr="00046C6E" w:rsidRDefault="00046C6E" w:rsidP="00046C6E">
      <w:pPr>
        <w:numPr>
          <w:ilvl w:val="1"/>
          <w:numId w:val="15"/>
        </w:numPr>
        <w:tabs>
          <w:tab w:val="left" w:pos="960"/>
        </w:tabs>
      </w:pPr>
      <w:r w:rsidRPr="00046C6E">
        <w:t>Implementation of initial EAC tariff-based incentives and duty adjustments</w:t>
      </w:r>
      <w:r>
        <w:t>.</w:t>
      </w:r>
    </w:p>
    <w:p w14:paraId="42A9A488" w14:textId="002466CC" w:rsidR="00046C6E" w:rsidRPr="00046C6E" w:rsidRDefault="00046C6E" w:rsidP="00046C6E">
      <w:pPr>
        <w:numPr>
          <w:ilvl w:val="1"/>
          <w:numId w:val="15"/>
        </w:numPr>
        <w:tabs>
          <w:tab w:val="left" w:pos="960"/>
        </w:tabs>
      </w:pPr>
      <w:r w:rsidRPr="00046C6E">
        <w:t>Pilot cross-border EV corridor projects and utility grid integration frameworks</w:t>
      </w:r>
      <w:r>
        <w:t>.</w:t>
      </w:r>
    </w:p>
    <w:p w14:paraId="0119C6EF" w14:textId="363CB441" w:rsidR="00046C6E" w:rsidRPr="00046C6E" w:rsidRDefault="00046C6E" w:rsidP="00046C6E">
      <w:pPr>
        <w:numPr>
          <w:ilvl w:val="1"/>
          <w:numId w:val="15"/>
        </w:numPr>
        <w:tabs>
          <w:tab w:val="left" w:pos="960"/>
        </w:tabs>
      </w:pPr>
      <w:r w:rsidRPr="00046C6E">
        <w:t>Establishment of baseline Monitoring, Evaluation, and Learning (MEL) metrics.</w:t>
      </w:r>
    </w:p>
    <w:p w14:paraId="54F163EA" w14:textId="77777777" w:rsidR="00046C6E" w:rsidRPr="00046C6E" w:rsidRDefault="00046C6E" w:rsidP="00046C6E">
      <w:pPr>
        <w:numPr>
          <w:ilvl w:val="0"/>
          <w:numId w:val="15"/>
        </w:numPr>
        <w:tabs>
          <w:tab w:val="left" w:pos="960"/>
        </w:tabs>
      </w:pPr>
      <w:r w:rsidRPr="00046C6E">
        <w:rPr>
          <w:b/>
          <w:bCs/>
        </w:rPr>
        <w:t>Medium-Term Phase (3–5 Years):</w:t>
      </w:r>
    </w:p>
    <w:p w14:paraId="4B92DE7A" w14:textId="5622FE3F" w:rsidR="00046C6E" w:rsidRPr="00046C6E" w:rsidRDefault="00046C6E" w:rsidP="00046C6E">
      <w:pPr>
        <w:numPr>
          <w:ilvl w:val="1"/>
          <w:numId w:val="15"/>
        </w:numPr>
        <w:tabs>
          <w:tab w:val="left" w:pos="960"/>
        </w:tabs>
      </w:pPr>
      <w:r w:rsidRPr="00046C6E">
        <w:t>Development of regional battery assembly hubs and mineral processing value chains.</w:t>
      </w:r>
    </w:p>
    <w:p w14:paraId="5C6DC4C9" w14:textId="1045ABB3" w:rsidR="00046C6E" w:rsidRPr="00046C6E" w:rsidRDefault="00046C6E" w:rsidP="00046C6E">
      <w:pPr>
        <w:numPr>
          <w:ilvl w:val="1"/>
          <w:numId w:val="15"/>
        </w:numPr>
        <w:tabs>
          <w:tab w:val="left" w:pos="960"/>
        </w:tabs>
      </w:pPr>
      <w:r w:rsidRPr="00046C6E">
        <w:t>Expansion of solar-powered and off-grid charging infrastructure.</w:t>
      </w:r>
    </w:p>
    <w:p w14:paraId="7A234462" w14:textId="2AD4C2D4" w:rsidR="00046C6E" w:rsidRPr="00046C6E" w:rsidRDefault="00046C6E" w:rsidP="00046C6E">
      <w:pPr>
        <w:numPr>
          <w:ilvl w:val="1"/>
          <w:numId w:val="15"/>
        </w:numPr>
        <w:tabs>
          <w:tab w:val="left" w:pos="960"/>
        </w:tabs>
      </w:pPr>
      <w:r w:rsidRPr="00046C6E">
        <w:t>Operationalization of regional blended finance facilities and public procurement quotas.</w:t>
      </w:r>
    </w:p>
    <w:p w14:paraId="36035CFC" w14:textId="77777777" w:rsidR="00046C6E" w:rsidRPr="00046C6E" w:rsidRDefault="00046C6E" w:rsidP="00046C6E">
      <w:pPr>
        <w:numPr>
          <w:ilvl w:val="0"/>
          <w:numId w:val="15"/>
        </w:numPr>
        <w:tabs>
          <w:tab w:val="left" w:pos="960"/>
        </w:tabs>
      </w:pPr>
      <w:r w:rsidRPr="00046C6E">
        <w:rPr>
          <w:b/>
          <w:bCs/>
        </w:rPr>
        <w:t>Long-Term Phase (6–10 Years):</w:t>
      </w:r>
    </w:p>
    <w:p w14:paraId="3A131347" w14:textId="0B9DF369" w:rsidR="00046C6E" w:rsidRPr="00046C6E" w:rsidRDefault="00046C6E" w:rsidP="00046C6E">
      <w:pPr>
        <w:numPr>
          <w:ilvl w:val="1"/>
          <w:numId w:val="15"/>
        </w:numPr>
        <w:tabs>
          <w:tab w:val="left" w:pos="960"/>
        </w:tabs>
      </w:pPr>
      <w:r w:rsidRPr="00046C6E">
        <w:t>Full cross-border transport corridor interoperability across all Partner States.</w:t>
      </w:r>
    </w:p>
    <w:p w14:paraId="08D75B92" w14:textId="562991AE" w:rsidR="00046C6E" w:rsidRPr="00046C6E" w:rsidRDefault="00046C6E" w:rsidP="00046C6E">
      <w:pPr>
        <w:numPr>
          <w:ilvl w:val="1"/>
          <w:numId w:val="15"/>
        </w:numPr>
        <w:tabs>
          <w:tab w:val="left" w:pos="960"/>
        </w:tabs>
      </w:pPr>
      <w:r w:rsidRPr="00046C6E">
        <w:t>Matured secondary-use battery markets and regional recycling facilities.</w:t>
      </w:r>
    </w:p>
    <w:p w14:paraId="48E09C2C" w14:textId="120BAD23" w:rsidR="00046C6E" w:rsidRPr="00046C6E" w:rsidRDefault="00046C6E" w:rsidP="00046C6E">
      <w:pPr>
        <w:numPr>
          <w:ilvl w:val="1"/>
          <w:numId w:val="15"/>
        </w:numPr>
        <w:tabs>
          <w:tab w:val="left" w:pos="960"/>
        </w:tabs>
      </w:pPr>
      <w:r w:rsidRPr="00046C6E">
        <w:t>High proportion of localized assembly and component manufacturing.</w:t>
      </w:r>
    </w:p>
    <w:p w14:paraId="5C762E98" w14:textId="77777777" w:rsidR="00046C6E" w:rsidRPr="00046C6E" w:rsidRDefault="00046C6E" w:rsidP="00046C6E">
      <w:pPr>
        <w:tabs>
          <w:tab w:val="left" w:pos="960"/>
        </w:tabs>
      </w:pPr>
    </w:p>
    <w:sectPr w:rsidR="00046C6E" w:rsidRPr="00046C6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49647" w14:textId="77777777" w:rsidR="0051427A" w:rsidRDefault="0051427A" w:rsidP="00046C6E">
      <w:pPr>
        <w:spacing w:after="0" w:line="240" w:lineRule="auto"/>
      </w:pPr>
      <w:r>
        <w:separator/>
      </w:r>
    </w:p>
  </w:endnote>
  <w:endnote w:type="continuationSeparator" w:id="0">
    <w:p w14:paraId="07443C09" w14:textId="77777777" w:rsidR="0051427A" w:rsidRDefault="0051427A" w:rsidP="00046C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F98C9" w14:textId="77777777" w:rsidR="0051427A" w:rsidRDefault="0051427A" w:rsidP="00046C6E">
      <w:pPr>
        <w:spacing w:after="0" w:line="240" w:lineRule="auto"/>
      </w:pPr>
      <w:r>
        <w:separator/>
      </w:r>
    </w:p>
  </w:footnote>
  <w:footnote w:type="continuationSeparator" w:id="0">
    <w:p w14:paraId="2D79B2C2" w14:textId="77777777" w:rsidR="0051427A" w:rsidRDefault="0051427A" w:rsidP="00046C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35BF"/>
    <w:multiLevelType w:val="multilevel"/>
    <w:tmpl w:val="36FCE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A60CE"/>
    <w:multiLevelType w:val="hybridMultilevel"/>
    <w:tmpl w:val="645E0780"/>
    <w:lvl w:ilvl="0" w:tplc="54BE7BBC">
      <w:numFmt w:val="bullet"/>
      <w:lvlText w:val=""/>
      <w:lvlJc w:val="left"/>
      <w:pPr>
        <w:ind w:left="420" w:hanging="360"/>
      </w:pPr>
      <w:rPr>
        <w:rFonts w:ascii="Symbol" w:eastAsiaTheme="minorHAnsi" w:hAnsi="Symbol"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 w15:restartNumberingAfterBreak="0">
    <w:nsid w:val="0D657C82"/>
    <w:multiLevelType w:val="multilevel"/>
    <w:tmpl w:val="CB5E6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31F51"/>
    <w:multiLevelType w:val="hybridMultilevel"/>
    <w:tmpl w:val="24C27210"/>
    <w:lvl w:ilvl="0" w:tplc="EC8EBBA2">
      <w:numFmt w:val="bullet"/>
      <w:lvlText w:val=""/>
      <w:lvlJc w:val="left"/>
      <w:pPr>
        <w:ind w:left="780" w:hanging="360"/>
      </w:pPr>
      <w:rPr>
        <w:rFonts w:ascii="Symbol" w:eastAsiaTheme="minorHAnsi" w:hAnsi="Symbol" w:cstheme="minorBidi"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1D755B0B"/>
    <w:multiLevelType w:val="multilevel"/>
    <w:tmpl w:val="225C9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430ADD"/>
    <w:multiLevelType w:val="hybridMultilevel"/>
    <w:tmpl w:val="09963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A81CD3"/>
    <w:multiLevelType w:val="multilevel"/>
    <w:tmpl w:val="1196F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FB4B86"/>
    <w:multiLevelType w:val="multilevel"/>
    <w:tmpl w:val="24009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F241F5"/>
    <w:multiLevelType w:val="hybridMultilevel"/>
    <w:tmpl w:val="F0882964"/>
    <w:lvl w:ilvl="0" w:tplc="EC8EBBA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1875D2"/>
    <w:multiLevelType w:val="hybridMultilevel"/>
    <w:tmpl w:val="91169FC4"/>
    <w:lvl w:ilvl="0" w:tplc="EC8EBBA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F43E7A"/>
    <w:multiLevelType w:val="multilevel"/>
    <w:tmpl w:val="003C3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5C7589"/>
    <w:multiLevelType w:val="hybridMultilevel"/>
    <w:tmpl w:val="C7942ADC"/>
    <w:lvl w:ilvl="0" w:tplc="54BE7BBC">
      <w:numFmt w:val="bullet"/>
      <w:lvlText w:val=""/>
      <w:lvlJc w:val="left"/>
      <w:pPr>
        <w:ind w:left="4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817B2E"/>
    <w:multiLevelType w:val="hybridMultilevel"/>
    <w:tmpl w:val="C6C28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D17456"/>
    <w:multiLevelType w:val="multilevel"/>
    <w:tmpl w:val="C2548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2200E5"/>
    <w:multiLevelType w:val="multilevel"/>
    <w:tmpl w:val="14602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6597692">
    <w:abstractNumId w:val="2"/>
  </w:num>
  <w:num w:numId="2" w16cid:durableId="165442607">
    <w:abstractNumId w:val="13"/>
  </w:num>
  <w:num w:numId="3" w16cid:durableId="1159005515">
    <w:abstractNumId w:val="0"/>
  </w:num>
  <w:num w:numId="4" w16cid:durableId="161161122">
    <w:abstractNumId w:val="7"/>
  </w:num>
  <w:num w:numId="5" w16cid:durableId="27074174">
    <w:abstractNumId w:val="10"/>
  </w:num>
  <w:num w:numId="6" w16cid:durableId="676153552">
    <w:abstractNumId w:val="14"/>
  </w:num>
  <w:num w:numId="7" w16cid:durableId="753429290">
    <w:abstractNumId w:val="4"/>
  </w:num>
  <w:num w:numId="8" w16cid:durableId="1079055159">
    <w:abstractNumId w:val="12"/>
  </w:num>
  <w:num w:numId="9" w16cid:durableId="2032485978">
    <w:abstractNumId w:val="5"/>
  </w:num>
  <w:num w:numId="10" w16cid:durableId="728266333">
    <w:abstractNumId w:val="1"/>
  </w:num>
  <w:num w:numId="11" w16cid:durableId="1196767617">
    <w:abstractNumId w:val="11"/>
  </w:num>
  <w:num w:numId="12" w16cid:durableId="1977104840">
    <w:abstractNumId w:val="8"/>
  </w:num>
  <w:num w:numId="13" w16cid:durableId="556622242">
    <w:abstractNumId w:val="9"/>
  </w:num>
  <w:num w:numId="14" w16cid:durableId="109404029">
    <w:abstractNumId w:val="3"/>
  </w:num>
  <w:num w:numId="15" w16cid:durableId="3999059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B63"/>
    <w:rsid w:val="00046C6E"/>
    <w:rsid w:val="00104D0E"/>
    <w:rsid w:val="002A7A1A"/>
    <w:rsid w:val="003608EA"/>
    <w:rsid w:val="0051427A"/>
    <w:rsid w:val="00611903"/>
    <w:rsid w:val="008533E5"/>
    <w:rsid w:val="00880B52"/>
    <w:rsid w:val="00B87C06"/>
    <w:rsid w:val="00BB42F6"/>
    <w:rsid w:val="00C02E91"/>
    <w:rsid w:val="00D648D9"/>
    <w:rsid w:val="00FF0B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5ED89"/>
  <w15:chartTrackingRefBased/>
  <w15:docId w15:val="{A145A811-08D4-4C0D-B3E5-F403D83F2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4D0E"/>
    <w:pPr>
      <w:keepNext/>
      <w:keepLines/>
      <w:spacing w:before="360" w:after="80"/>
      <w:outlineLvl w:val="0"/>
    </w:pPr>
    <w:rPr>
      <w:rFonts w:asciiTheme="majorHAnsi" w:eastAsiaTheme="majorEastAsia" w:hAnsiTheme="majorHAnsi" w:cstheme="majorBidi"/>
      <w:b/>
      <w:color w:val="000000" w:themeColor="text1"/>
      <w:sz w:val="40"/>
      <w:szCs w:val="40"/>
    </w:rPr>
  </w:style>
  <w:style w:type="paragraph" w:styleId="Heading2">
    <w:name w:val="heading 2"/>
    <w:basedOn w:val="Normal"/>
    <w:next w:val="Normal"/>
    <w:link w:val="Heading2Char"/>
    <w:uiPriority w:val="9"/>
    <w:semiHidden/>
    <w:unhideWhenUsed/>
    <w:qFormat/>
    <w:rsid w:val="00FF0B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0B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0B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0B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0B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0B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0B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0B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D0E"/>
    <w:rPr>
      <w:rFonts w:asciiTheme="majorHAnsi" w:eastAsiaTheme="majorEastAsia" w:hAnsiTheme="majorHAnsi" w:cstheme="majorBidi"/>
      <w:b/>
      <w:color w:val="000000" w:themeColor="text1"/>
      <w:sz w:val="40"/>
      <w:szCs w:val="40"/>
    </w:rPr>
  </w:style>
  <w:style w:type="character" w:customStyle="1" w:styleId="Heading2Char">
    <w:name w:val="Heading 2 Char"/>
    <w:basedOn w:val="DefaultParagraphFont"/>
    <w:link w:val="Heading2"/>
    <w:uiPriority w:val="9"/>
    <w:semiHidden/>
    <w:rsid w:val="00FF0B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0B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0B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0B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0B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0B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0B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0B63"/>
    <w:rPr>
      <w:rFonts w:eastAsiaTheme="majorEastAsia" w:cstheme="majorBidi"/>
      <w:color w:val="272727" w:themeColor="text1" w:themeTint="D8"/>
    </w:rPr>
  </w:style>
  <w:style w:type="paragraph" w:styleId="Title">
    <w:name w:val="Title"/>
    <w:basedOn w:val="Normal"/>
    <w:next w:val="Normal"/>
    <w:link w:val="TitleChar"/>
    <w:uiPriority w:val="10"/>
    <w:qFormat/>
    <w:rsid w:val="00FF0B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0B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0B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0B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0B63"/>
    <w:pPr>
      <w:spacing w:before="160"/>
      <w:jc w:val="center"/>
    </w:pPr>
    <w:rPr>
      <w:i/>
      <w:iCs/>
      <w:color w:val="404040" w:themeColor="text1" w:themeTint="BF"/>
    </w:rPr>
  </w:style>
  <w:style w:type="character" w:customStyle="1" w:styleId="QuoteChar">
    <w:name w:val="Quote Char"/>
    <w:basedOn w:val="DefaultParagraphFont"/>
    <w:link w:val="Quote"/>
    <w:uiPriority w:val="29"/>
    <w:rsid w:val="00FF0B63"/>
    <w:rPr>
      <w:i/>
      <w:iCs/>
      <w:color w:val="404040" w:themeColor="text1" w:themeTint="BF"/>
    </w:rPr>
  </w:style>
  <w:style w:type="paragraph" w:styleId="ListParagraph">
    <w:name w:val="List Paragraph"/>
    <w:basedOn w:val="Normal"/>
    <w:uiPriority w:val="34"/>
    <w:qFormat/>
    <w:rsid w:val="00FF0B63"/>
    <w:pPr>
      <w:ind w:left="720"/>
      <w:contextualSpacing/>
    </w:pPr>
  </w:style>
  <w:style w:type="character" w:styleId="IntenseEmphasis">
    <w:name w:val="Intense Emphasis"/>
    <w:basedOn w:val="DefaultParagraphFont"/>
    <w:uiPriority w:val="21"/>
    <w:qFormat/>
    <w:rsid w:val="00FF0B63"/>
    <w:rPr>
      <w:i/>
      <w:iCs/>
      <w:color w:val="2F5496" w:themeColor="accent1" w:themeShade="BF"/>
    </w:rPr>
  </w:style>
  <w:style w:type="paragraph" w:styleId="IntenseQuote">
    <w:name w:val="Intense Quote"/>
    <w:basedOn w:val="Normal"/>
    <w:next w:val="Normal"/>
    <w:link w:val="IntenseQuoteChar"/>
    <w:uiPriority w:val="30"/>
    <w:qFormat/>
    <w:rsid w:val="00FF0B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0B63"/>
    <w:rPr>
      <w:i/>
      <w:iCs/>
      <w:color w:val="2F5496" w:themeColor="accent1" w:themeShade="BF"/>
    </w:rPr>
  </w:style>
  <w:style w:type="character" w:styleId="IntenseReference">
    <w:name w:val="Intense Reference"/>
    <w:basedOn w:val="DefaultParagraphFont"/>
    <w:uiPriority w:val="32"/>
    <w:qFormat/>
    <w:rsid w:val="00FF0B63"/>
    <w:rPr>
      <w:b/>
      <w:bCs/>
      <w:smallCaps/>
      <w:color w:val="2F5496" w:themeColor="accent1" w:themeShade="BF"/>
      <w:spacing w:val="5"/>
    </w:rPr>
  </w:style>
  <w:style w:type="table" w:styleId="TableGrid">
    <w:name w:val="Table Grid"/>
    <w:basedOn w:val="TableNormal"/>
    <w:uiPriority w:val="39"/>
    <w:rsid w:val="00880B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80B52"/>
    <w:rPr>
      <w:b/>
      <w:bCs/>
    </w:rPr>
  </w:style>
  <w:style w:type="table" w:styleId="PlainTable4">
    <w:name w:val="Plain Table 4"/>
    <w:basedOn w:val="TableNormal"/>
    <w:uiPriority w:val="44"/>
    <w:rsid w:val="00880B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80B5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2">
    <w:name w:val="Grid Table 2"/>
    <w:basedOn w:val="TableNormal"/>
    <w:uiPriority w:val="47"/>
    <w:rsid w:val="00880B5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046C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6C6E"/>
  </w:style>
  <w:style w:type="paragraph" w:styleId="Footer">
    <w:name w:val="footer"/>
    <w:basedOn w:val="Normal"/>
    <w:link w:val="FooterChar"/>
    <w:uiPriority w:val="99"/>
    <w:unhideWhenUsed/>
    <w:rsid w:val="00046C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6C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7</Pages>
  <Words>1009</Words>
  <Characters>5752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Nyangweso</dc:creator>
  <cp:keywords/>
  <dc:description/>
  <cp:lastModifiedBy>Kenneth Nyangweso</cp:lastModifiedBy>
  <cp:revision>2</cp:revision>
  <dcterms:created xsi:type="dcterms:W3CDTF">2026-09-28T11:01:00Z</dcterms:created>
  <dcterms:modified xsi:type="dcterms:W3CDTF">2026-09-28T11:49:00Z</dcterms:modified>
</cp:coreProperties>
</file>