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408D" w14:textId="7EBAC830" w:rsidR="002A7A1A" w:rsidRDefault="000E469D" w:rsidP="000E469D">
      <w:pPr>
        <w:pStyle w:val="Title"/>
      </w:pPr>
      <w:r>
        <w:t>DATASET DESCRIPTION SUMMARY:</w:t>
      </w:r>
    </w:p>
    <w:p w14:paraId="108BA942" w14:textId="77777777" w:rsidR="000E469D" w:rsidRDefault="000E469D" w:rsidP="000E469D"/>
    <w:tbl>
      <w:tblPr>
        <w:tblStyle w:val="TableGrid"/>
        <w:tblW w:w="10890" w:type="dxa"/>
        <w:tblInd w:w="-365" w:type="dxa"/>
        <w:tblLook w:val="04A0" w:firstRow="1" w:lastRow="0" w:firstColumn="1" w:lastColumn="0" w:noHBand="0" w:noVBand="1"/>
      </w:tblPr>
      <w:tblGrid>
        <w:gridCol w:w="1238"/>
        <w:gridCol w:w="3955"/>
        <w:gridCol w:w="3036"/>
        <w:gridCol w:w="2661"/>
      </w:tblGrid>
      <w:tr w:rsidR="000E469D" w14:paraId="7C09B900" w14:textId="77777777" w:rsidTr="00780247">
        <w:tc>
          <w:tcPr>
            <w:tcW w:w="1238" w:type="dxa"/>
          </w:tcPr>
          <w:p w14:paraId="03406FB3" w14:textId="44A3A46D" w:rsidR="000E469D" w:rsidRDefault="000E469D" w:rsidP="000E469D">
            <w:pPr>
              <w:pStyle w:val="Heading1"/>
            </w:pPr>
            <w:r>
              <w:t>No.</w:t>
            </w:r>
          </w:p>
        </w:tc>
        <w:tc>
          <w:tcPr>
            <w:tcW w:w="3955" w:type="dxa"/>
          </w:tcPr>
          <w:p w14:paraId="5A09DE86" w14:textId="0172C8D2" w:rsidR="000E469D" w:rsidRDefault="000E469D" w:rsidP="000E469D">
            <w:pPr>
              <w:pStyle w:val="Heading1"/>
            </w:pPr>
            <w:r>
              <w:t>Title</w:t>
            </w:r>
          </w:p>
        </w:tc>
        <w:tc>
          <w:tcPr>
            <w:tcW w:w="3036" w:type="dxa"/>
          </w:tcPr>
          <w:p w14:paraId="47AA92DF" w14:textId="23CE3A8E" w:rsidR="000E469D" w:rsidRDefault="000E469D" w:rsidP="000E469D">
            <w:pPr>
              <w:pStyle w:val="Heading1"/>
            </w:pPr>
            <w:r>
              <w:t>Description</w:t>
            </w:r>
          </w:p>
        </w:tc>
        <w:tc>
          <w:tcPr>
            <w:tcW w:w="2661" w:type="dxa"/>
          </w:tcPr>
          <w:p w14:paraId="75D15DD5" w14:textId="7FCF8822" w:rsidR="000E469D" w:rsidRDefault="000E469D" w:rsidP="000E469D">
            <w:pPr>
              <w:pStyle w:val="Heading1"/>
            </w:pPr>
            <w:r>
              <w:t>Role in the Project</w:t>
            </w:r>
          </w:p>
        </w:tc>
      </w:tr>
      <w:tr w:rsidR="000E469D" w14:paraId="2560B91C" w14:textId="77777777" w:rsidTr="00780247">
        <w:tc>
          <w:tcPr>
            <w:tcW w:w="1238" w:type="dxa"/>
          </w:tcPr>
          <w:p w14:paraId="1C0B2253" w14:textId="2A762FB6" w:rsidR="000E469D" w:rsidRDefault="000E469D" w:rsidP="000E469D">
            <w:r>
              <w:t>1.</w:t>
            </w:r>
          </w:p>
        </w:tc>
        <w:tc>
          <w:tcPr>
            <w:tcW w:w="3955" w:type="dxa"/>
          </w:tcPr>
          <w:p w14:paraId="72307E3A" w14:textId="7CA01BE4" w:rsidR="000E469D" w:rsidRPr="000E469D" w:rsidRDefault="000E469D" w:rsidP="000E469D">
            <w:pPr>
              <w:rPr>
                <w:b/>
                <w:bCs/>
              </w:rPr>
            </w:pPr>
            <w:r w:rsidRPr="000E469D">
              <w:rPr>
                <w:b/>
                <w:bCs/>
              </w:rPr>
              <w:t>countries</w:t>
            </w:r>
          </w:p>
        </w:tc>
        <w:tc>
          <w:tcPr>
            <w:tcW w:w="3036" w:type="dxa"/>
          </w:tcPr>
          <w:p w14:paraId="49675A20" w14:textId="196BB569" w:rsidR="000E469D" w:rsidRDefault="000E469D" w:rsidP="000E469D">
            <w:r w:rsidRPr="000E469D">
              <w:t>Dimension table listing 8 EAC Partner States with ISO codes, accession years, population, GDP, and currency fields.</w:t>
            </w:r>
          </w:p>
        </w:tc>
        <w:tc>
          <w:tcPr>
            <w:tcW w:w="2661" w:type="dxa"/>
          </w:tcPr>
          <w:p w14:paraId="1CF95C90" w14:textId="3DF6C9FB" w:rsidR="000E469D" w:rsidRDefault="000E469D" w:rsidP="000E469D">
            <w:r w:rsidRPr="000E469D">
              <w:t>Acts as the foundational anchor table/spine holding the entire relational database together for cross-country queries.</w:t>
            </w:r>
          </w:p>
        </w:tc>
      </w:tr>
      <w:tr w:rsidR="000E469D" w14:paraId="0D934D60" w14:textId="77777777" w:rsidTr="00780247">
        <w:tc>
          <w:tcPr>
            <w:tcW w:w="1238" w:type="dxa"/>
          </w:tcPr>
          <w:p w14:paraId="0AAA34E0" w14:textId="7F69227C" w:rsidR="000E469D" w:rsidRDefault="000E469D" w:rsidP="000E469D">
            <w:r>
              <w:t>2.</w:t>
            </w:r>
          </w:p>
        </w:tc>
        <w:tc>
          <w:tcPr>
            <w:tcW w:w="3955" w:type="dxa"/>
          </w:tcPr>
          <w:p w14:paraId="3EBB36B6" w14:textId="605D09D0" w:rsidR="000E469D" w:rsidRPr="000E469D" w:rsidRDefault="000E469D" w:rsidP="000E469D">
            <w:pPr>
              <w:rPr>
                <w:rFonts w:cstheme="minorHAnsi"/>
                <w:b/>
                <w:bCs/>
              </w:rPr>
            </w:pPr>
            <w:r w:rsidRPr="000E469D">
              <w:rPr>
                <w:rFonts w:cstheme="minorHAnsi"/>
                <w:b/>
                <w:bCs/>
              </w:rPr>
              <w:t>market_fleet</w:t>
            </w:r>
          </w:p>
        </w:tc>
        <w:tc>
          <w:tcPr>
            <w:tcW w:w="3036" w:type="dxa"/>
          </w:tcPr>
          <w:p w14:paraId="2F2ECCF1" w14:textId="007DE39C" w:rsidR="000E469D" w:rsidRDefault="000E469D" w:rsidP="000E469D">
            <w:r w:rsidRPr="000E469D">
              <w:t>Verified electric vehicle registration data broken down by country, year, vehicle segment, propulsion type, and data confidence</w:t>
            </w:r>
            <w:r>
              <w:t>.</w:t>
            </w:r>
          </w:p>
        </w:tc>
        <w:tc>
          <w:tcPr>
            <w:tcW w:w="2661" w:type="dxa"/>
          </w:tcPr>
          <w:p w14:paraId="317917D0" w14:textId="2E6D7977" w:rsidR="000E469D" w:rsidRDefault="000E469D" w:rsidP="000E469D">
            <w:r w:rsidRPr="000E469D">
              <w:t>Provides the quantitative baseline against which all progress targets, recommendations, and adoption targets are calibrated.</w:t>
            </w:r>
          </w:p>
        </w:tc>
      </w:tr>
      <w:tr w:rsidR="000E469D" w14:paraId="01237621" w14:textId="77777777" w:rsidTr="00780247">
        <w:tc>
          <w:tcPr>
            <w:tcW w:w="1238" w:type="dxa"/>
          </w:tcPr>
          <w:p w14:paraId="670C01F0" w14:textId="41DF1DF9" w:rsidR="000E469D" w:rsidRDefault="000E469D" w:rsidP="000E469D">
            <w:r>
              <w:t xml:space="preserve">3. </w:t>
            </w:r>
          </w:p>
        </w:tc>
        <w:tc>
          <w:tcPr>
            <w:tcW w:w="3955" w:type="dxa"/>
          </w:tcPr>
          <w:p w14:paraId="52B33884" w14:textId="5795D573" w:rsidR="000E469D" w:rsidRPr="000E469D" w:rsidRDefault="000E469D" w:rsidP="000E469D">
            <w:pPr>
              <w:rPr>
                <w:rFonts w:cstheme="minorHAnsi"/>
                <w:b/>
                <w:bCs/>
              </w:rPr>
            </w:pPr>
            <w:r w:rsidRPr="000E469D">
              <w:rPr>
                <w:rFonts w:cstheme="minorHAnsi"/>
                <w:b/>
                <w:bCs/>
              </w:rPr>
              <w:t>policy_inventory</w:t>
            </w:r>
          </w:p>
        </w:tc>
        <w:tc>
          <w:tcPr>
            <w:tcW w:w="3036" w:type="dxa"/>
          </w:tcPr>
          <w:p w14:paraId="408C021C" w14:textId="3FD64AA8" w:rsidR="000E469D" w:rsidRDefault="000E469D" w:rsidP="000E469D">
            <w:r w:rsidRPr="000E469D">
              <w:t>Comprehensive collection of e-mobility policy instruments across all eight EAC states including fiscal incentives and regulatory statuses.</w:t>
            </w:r>
          </w:p>
        </w:tc>
        <w:tc>
          <w:tcPr>
            <w:tcW w:w="2661" w:type="dxa"/>
          </w:tcPr>
          <w:p w14:paraId="5639C410" w14:textId="2C47665D" w:rsidR="000E469D" w:rsidRDefault="000E469D" w:rsidP="000E469D">
            <w:r w:rsidRPr="000E469D">
              <w:t>Serves as the technical foundation for the policy matrix deliverable and supports comparative analysis of regional regulatory approaches.</w:t>
            </w:r>
          </w:p>
        </w:tc>
      </w:tr>
      <w:tr w:rsidR="000E469D" w14:paraId="33E293CC" w14:textId="77777777" w:rsidTr="00780247">
        <w:tc>
          <w:tcPr>
            <w:tcW w:w="1238" w:type="dxa"/>
          </w:tcPr>
          <w:p w14:paraId="48777B12" w14:textId="56CF26C1" w:rsidR="000E469D" w:rsidRDefault="000E469D" w:rsidP="000E469D">
            <w:r>
              <w:t xml:space="preserve">4. </w:t>
            </w:r>
          </w:p>
        </w:tc>
        <w:tc>
          <w:tcPr>
            <w:tcW w:w="3955" w:type="dxa"/>
          </w:tcPr>
          <w:p w14:paraId="2AB94C64" w14:textId="139E1754" w:rsidR="000E469D" w:rsidRPr="000E469D" w:rsidRDefault="000E469D" w:rsidP="000E469D">
            <w:pPr>
              <w:rPr>
                <w:b/>
                <w:bCs/>
              </w:rPr>
            </w:pPr>
            <w:r w:rsidRPr="000E469D">
              <w:rPr>
                <w:b/>
                <w:bCs/>
              </w:rPr>
              <w:t>fiscal_tariffs</w:t>
            </w:r>
          </w:p>
        </w:tc>
        <w:tc>
          <w:tcPr>
            <w:tcW w:w="3036" w:type="dxa"/>
          </w:tcPr>
          <w:p w14:paraId="21B45805" w14:textId="33C1A4AA" w:rsidR="000E469D" w:rsidRDefault="000E469D" w:rsidP="000E469D">
            <w:r w:rsidRPr="000E469D">
              <w:t>Comparative duty and VAT rates applied to internal combustion engine (ICE) vehicles versus electric vehicles across EAC states</w:t>
            </w:r>
          </w:p>
        </w:tc>
        <w:tc>
          <w:tcPr>
            <w:tcW w:w="2661" w:type="dxa"/>
          </w:tcPr>
          <w:p w14:paraId="55510DDF" w14:textId="518D14F8" w:rsidR="000E469D" w:rsidRDefault="000E469D" w:rsidP="000E469D">
            <w:r w:rsidRPr="000E469D">
              <w:t>Underpins the tariff harmonization recommendation and directly feeds into cost-benefit modeling for expanding the regional EV market.</w:t>
            </w:r>
          </w:p>
          <w:p w14:paraId="1EA17A6E" w14:textId="77777777" w:rsidR="000E469D" w:rsidRPr="000E469D" w:rsidRDefault="000E469D" w:rsidP="000E469D"/>
        </w:tc>
      </w:tr>
      <w:tr w:rsidR="000E469D" w14:paraId="711A11C4" w14:textId="77777777" w:rsidTr="00780247">
        <w:tc>
          <w:tcPr>
            <w:tcW w:w="1238" w:type="dxa"/>
          </w:tcPr>
          <w:p w14:paraId="164CB7AD" w14:textId="6E2908BF" w:rsidR="000E469D" w:rsidRDefault="000E469D" w:rsidP="000E469D">
            <w:r>
              <w:t xml:space="preserve">5. </w:t>
            </w:r>
          </w:p>
        </w:tc>
        <w:tc>
          <w:tcPr>
            <w:tcW w:w="3955" w:type="dxa"/>
          </w:tcPr>
          <w:p w14:paraId="182F3507" w14:textId="17B244A0" w:rsidR="000E469D" w:rsidRPr="000B64AB" w:rsidRDefault="000B64AB" w:rsidP="000E469D">
            <w:pPr>
              <w:rPr>
                <w:b/>
                <w:bCs/>
              </w:rPr>
            </w:pPr>
            <w:r w:rsidRPr="000B64AB">
              <w:rPr>
                <w:b/>
                <w:bCs/>
              </w:rPr>
              <w:t>power_system</w:t>
            </w:r>
          </w:p>
        </w:tc>
        <w:tc>
          <w:tcPr>
            <w:tcW w:w="3036" w:type="dxa"/>
          </w:tcPr>
          <w:p w14:paraId="66120477" w14:textId="5CDD8913" w:rsidR="000E469D" w:rsidRDefault="000B64AB" w:rsidP="000E469D">
            <w:r w:rsidRPr="000B64AB">
              <w:t>Grid capacity, fuel mix splits, access rates, peak demand, reserve margins, and grid carbon intensity for each EAC state.</w:t>
            </w:r>
          </w:p>
        </w:tc>
        <w:tc>
          <w:tcPr>
            <w:tcW w:w="2661" w:type="dxa"/>
          </w:tcPr>
          <w:p w14:paraId="5C42288A" w14:textId="2CED2F94" w:rsidR="000E469D" w:rsidRDefault="000B64AB" w:rsidP="000E469D">
            <w:r w:rsidRPr="000B64AB">
              <w:t>Provides the power-sector readiness assessment, renewable energy integration analysis, and emissions-reduction quantifications.</w:t>
            </w:r>
          </w:p>
        </w:tc>
      </w:tr>
      <w:tr w:rsidR="000E469D" w14:paraId="1AAA406E" w14:textId="77777777" w:rsidTr="00780247">
        <w:tc>
          <w:tcPr>
            <w:tcW w:w="1238" w:type="dxa"/>
          </w:tcPr>
          <w:p w14:paraId="10289207" w14:textId="0F510FE4" w:rsidR="000E469D" w:rsidRDefault="000B64AB" w:rsidP="000E469D">
            <w:r>
              <w:lastRenderedPageBreak/>
              <w:t xml:space="preserve">6. </w:t>
            </w:r>
          </w:p>
        </w:tc>
        <w:tc>
          <w:tcPr>
            <w:tcW w:w="3955" w:type="dxa"/>
          </w:tcPr>
          <w:p w14:paraId="7F76D9E6" w14:textId="3A1279E9" w:rsidR="000E469D" w:rsidRPr="000B64AB" w:rsidRDefault="000B64AB" w:rsidP="000E469D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0B64AB">
              <w:rPr>
                <w:b/>
                <w:bCs/>
              </w:rPr>
              <w:t xml:space="preserve">inancing </w:t>
            </w:r>
          </w:p>
        </w:tc>
        <w:tc>
          <w:tcPr>
            <w:tcW w:w="3036" w:type="dxa"/>
          </w:tcPr>
          <w:p w14:paraId="0D925813" w14:textId="3E85FC3A" w:rsidR="000E469D" w:rsidRDefault="000B64AB" w:rsidP="000E469D">
            <w:r w:rsidRPr="000B64AB">
              <w:t>Catalogue of concessional finance, blended finance, guarantees, and pay-as-you-go (PAYG) mechanisms supporting e-mobility.</w:t>
            </w:r>
          </w:p>
        </w:tc>
        <w:tc>
          <w:tcPr>
            <w:tcW w:w="2661" w:type="dxa"/>
          </w:tcPr>
          <w:p w14:paraId="42498CC5" w14:textId="67A4F222" w:rsidR="000E469D" w:rsidRDefault="000B64AB" w:rsidP="000E469D">
            <w:r w:rsidRPr="000B64AB">
              <w:t>Provides the financing landscape assessment and directly supports investment de-risking recommendations for future projects.</w:t>
            </w:r>
          </w:p>
        </w:tc>
      </w:tr>
      <w:tr w:rsidR="000E469D" w14:paraId="4C08D704" w14:textId="77777777" w:rsidTr="00780247">
        <w:tc>
          <w:tcPr>
            <w:tcW w:w="1238" w:type="dxa"/>
          </w:tcPr>
          <w:p w14:paraId="10766DCB" w14:textId="7B968239" w:rsidR="000E469D" w:rsidRDefault="000B64AB" w:rsidP="000E469D">
            <w:r>
              <w:t>7.</w:t>
            </w:r>
          </w:p>
        </w:tc>
        <w:tc>
          <w:tcPr>
            <w:tcW w:w="3955" w:type="dxa"/>
          </w:tcPr>
          <w:p w14:paraId="2A5EB035" w14:textId="56CC064E" w:rsidR="000E469D" w:rsidRPr="000B64AB" w:rsidRDefault="000B64AB" w:rsidP="000E469D">
            <w:pPr>
              <w:rPr>
                <w:b/>
                <w:bCs/>
              </w:rPr>
            </w:pPr>
            <w:r w:rsidRPr="000B64AB">
              <w:rPr>
                <w:b/>
                <w:bCs/>
              </w:rPr>
              <w:t>industrial_value_chain</w:t>
            </w:r>
          </w:p>
        </w:tc>
        <w:tc>
          <w:tcPr>
            <w:tcW w:w="3036" w:type="dxa"/>
          </w:tcPr>
          <w:p w14:paraId="0D9AA238" w14:textId="66E7F093" w:rsidR="000E469D" w:rsidRDefault="000B64AB" w:rsidP="000E469D">
            <w:r w:rsidRPr="000B64AB">
              <w:t>Tracked snapshot of companies active in e-mobility value chain stages (assembly, battery, recycling) with capacity and employment figures.</w:t>
            </w:r>
          </w:p>
        </w:tc>
        <w:tc>
          <w:tcPr>
            <w:tcW w:w="2661" w:type="dxa"/>
          </w:tcPr>
          <w:p w14:paraId="004E0455" w14:textId="58494761" w:rsidR="000E469D" w:rsidRDefault="00B71921" w:rsidP="000E469D">
            <w:r w:rsidRPr="00B71921">
              <w:t>Provides the industrial capacity baseline and supports the development of regional supply chain and value chain strategies.</w:t>
            </w:r>
          </w:p>
        </w:tc>
      </w:tr>
      <w:tr w:rsidR="000E469D" w14:paraId="3C45D2E9" w14:textId="77777777" w:rsidTr="00780247">
        <w:tc>
          <w:tcPr>
            <w:tcW w:w="1238" w:type="dxa"/>
          </w:tcPr>
          <w:p w14:paraId="0A2D9FC1" w14:textId="74415755" w:rsidR="000E469D" w:rsidRDefault="00B71921" w:rsidP="000E469D">
            <w:r>
              <w:t>8.</w:t>
            </w:r>
          </w:p>
        </w:tc>
        <w:tc>
          <w:tcPr>
            <w:tcW w:w="3955" w:type="dxa"/>
          </w:tcPr>
          <w:p w14:paraId="1356752D" w14:textId="1DD48BC8" w:rsidR="000E469D" w:rsidRDefault="00B71921" w:rsidP="000E469D">
            <w:r w:rsidRPr="00B71921">
              <w:rPr>
                <w:b/>
                <w:bCs/>
              </w:rPr>
              <w:t>battery_eol</w:t>
            </w:r>
          </w:p>
        </w:tc>
        <w:tc>
          <w:tcPr>
            <w:tcW w:w="3036" w:type="dxa"/>
          </w:tcPr>
          <w:p w14:paraId="76D9EC74" w14:textId="6A97D626" w:rsidR="000E469D" w:rsidRDefault="00B71921" w:rsidP="000E469D">
            <w:r w:rsidRPr="00B71921">
              <w:t>Battery end-of-life data organized by chemistry, volume, collection rates, facility counts, and regulatory status across key states.</w:t>
            </w:r>
          </w:p>
        </w:tc>
        <w:tc>
          <w:tcPr>
            <w:tcW w:w="2661" w:type="dxa"/>
          </w:tcPr>
          <w:p w14:paraId="21510552" w14:textId="7D567437" w:rsidR="000E469D" w:rsidRDefault="00B71921" w:rsidP="000E469D">
            <w:r w:rsidRPr="00B71921">
              <w:t>Provides the circular economy assessment and supports the formulation of environmental safeguard recommendations.</w:t>
            </w:r>
          </w:p>
        </w:tc>
      </w:tr>
      <w:tr w:rsidR="000E469D" w14:paraId="6C720E28" w14:textId="77777777" w:rsidTr="00780247">
        <w:tc>
          <w:tcPr>
            <w:tcW w:w="1238" w:type="dxa"/>
          </w:tcPr>
          <w:p w14:paraId="5DB9105B" w14:textId="739EF260" w:rsidR="000E469D" w:rsidRDefault="00B71921" w:rsidP="000E469D">
            <w:r>
              <w:t>9.</w:t>
            </w:r>
          </w:p>
        </w:tc>
        <w:tc>
          <w:tcPr>
            <w:tcW w:w="3955" w:type="dxa"/>
          </w:tcPr>
          <w:p w14:paraId="1FB5597D" w14:textId="34481AFF" w:rsidR="000E469D" w:rsidRPr="00B71921" w:rsidRDefault="00B71921" w:rsidP="000E469D">
            <w:pPr>
              <w:rPr>
                <w:b/>
                <w:bCs/>
              </w:rPr>
            </w:pPr>
            <w:r w:rsidRPr="00B71921">
              <w:rPr>
                <w:b/>
                <w:bCs/>
              </w:rPr>
              <w:t>country_qualitative</w:t>
            </w:r>
          </w:p>
        </w:tc>
        <w:tc>
          <w:tcPr>
            <w:tcW w:w="3036" w:type="dxa"/>
          </w:tcPr>
          <w:p w14:paraId="0B36CF81" w14:textId="20587ED2" w:rsidR="000E469D" w:rsidRDefault="00B71921" w:rsidP="000E469D">
            <w:r w:rsidRPr="00B71921">
              <w:t>Qualitative profile for five data-scarce EAC states capturing market stage, infrastructure status, primary segments, and main barriers.</w:t>
            </w:r>
          </w:p>
        </w:tc>
        <w:tc>
          <w:tcPr>
            <w:tcW w:w="2661" w:type="dxa"/>
          </w:tcPr>
          <w:p w14:paraId="50C33917" w14:textId="1C44A5AF" w:rsidR="000E469D" w:rsidRPr="00B71921" w:rsidRDefault="00B71921" w:rsidP="000E469D">
            <w:r w:rsidRPr="00B71921">
              <w:t>Provides qualitative context for data-scarce countries and acts as the explicit justification for data system recommendations.</w:t>
            </w:r>
          </w:p>
        </w:tc>
      </w:tr>
      <w:tr w:rsidR="000E469D" w14:paraId="5C71B933" w14:textId="77777777" w:rsidTr="00780247">
        <w:tc>
          <w:tcPr>
            <w:tcW w:w="1238" w:type="dxa"/>
          </w:tcPr>
          <w:p w14:paraId="6E95F676" w14:textId="7647510F" w:rsidR="000E469D" w:rsidRDefault="00B71921" w:rsidP="000E469D">
            <w:r>
              <w:t>10.</w:t>
            </w:r>
          </w:p>
        </w:tc>
        <w:tc>
          <w:tcPr>
            <w:tcW w:w="3955" w:type="dxa"/>
          </w:tcPr>
          <w:p w14:paraId="0A1CF64B" w14:textId="187E1144" w:rsidR="000E469D" w:rsidRPr="00B71921" w:rsidRDefault="00B71921" w:rsidP="000E469D">
            <w:pPr>
              <w:rPr>
                <w:b/>
                <w:bCs/>
              </w:rPr>
            </w:pPr>
            <w:r w:rsidRPr="00B71921">
              <w:rPr>
                <w:b/>
                <w:bCs/>
              </w:rPr>
              <w:t>ev_charging_infrastructure</w:t>
            </w:r>
          </w:p>
        </w:tc>
        <w:tc>
          <w:tcPr>
            <w:tcW w:w="3036" w:type="dxa"/>
          </w:tcPr>
          <w:p w14:paraId="1421649B" w14:textId="6F682A94" w:rsidR="000E469D" w:rsidRDefault="00B71921" w:rsidP="000E469D">
            <w:r w:rsidRPr="00B71921">
              <w:t>Mapping of EV charging stations across East Africa tracking locations, providers, charger protocols, pricing, and up-time metrics.</w:t>
            </w:r>
          </w:p>
        </w:tc>
        <w:tc>
          <w:tcPr>
            <w:tcW w:w="2661" w:type="dxa"/>
          </w:tcPr>
          <w:p w14:paraId="601D3B1D" w14:textId="04CC3C12" w:rsidR="000E469D" w:rsidRDefault="00B71921" w:rsidP="000E469D">
            <w:r w:rsidRPr="00B71921">
              <w:t>Supplies foundational data for regional spatial modeling, network gap assessments, and border-corridor route planning strategies</w:t>
            </w:r>
          </w:p>
        </w:tc>
      </w:tr>
      <w:tr w:rsidR="000E469D" w14:paraId="6357F720" w14:textId="77777777" w:rsidTr="00780247">
        <w:tc>
          <w:tcPr>
            <w:tcW w:w="1238" w:type="dxa"/>
          </w:tcPr>
          <w:p w14:paraId="11DAC86D" w14:textId="32885EC1" w:rsidR="000E469D" w:rsidRDefault="008A0EA4" w:rsidP="000E469D">
            <w:r>
              <w:t xml:space="preserve">11. </w:t>
            </w:r>
          </w:p>
        </w:tc>
        <w:tc>
          <w:tcPr>
            <w:tcW w:w="3955" w:type="dxa"/>
          </w:tcPr>
          <w:p w14:paraId="1147AA7C" w14:textId="486C539B" w:rsidR="000E469D" w:rsidRDefault="008A0EA4" w:rsidP="000E469D">
            <w:r w:rsidRPr="008A0EA4">
              <w:rPr>
                <w:b/>
                <w:bCs/>
              </w:rPr>
              <w:t>Fuel_motorcycle_daily_operations</w:t>
            </w:r>
          </w:p>
        </w:tc>
        <w:tc>
          <w:tcPr>
            <w:tcW w:w="3036" w:type="dxa"/>
          </w:tcPr>
          <w:p w14:paraId="056402F5" w14:textId="07C96CB7" w:rsidR="000E469D" w:rsidRDefault="008A0EA4" w:rsidP="000E469D">
            <w:r w:rsidRPr="008A0EA4">
              <w:t>Historical daily operational logs tracking boda-boda driver telematics alongside operational, financial, and fuel consumption parameters.</w:t>
            </w:r>
          </w:p>
        </w:tc>
        <w:tc>
          <w:tcPr>
            <w:tcW w:w="2661" w:type="dxa"/>
          </w:tcPr>
          <w:p w14:paraId="68D23569" w14:textId="1BDC64AB" w:rsidR="000E469D" w:rsidRDefault="008A0EA4" w:rsidP="000E469D">
            <w:r w:rsidRPr="008A0EA4">
              <w:t>Supplies foundational operational data required to build macroeconomic financial models, driver income simulations, and fleet transitions.</w:t>
            </w:r>
          </w:p>
        </w:tc>
      </w:tr>
      <w:tr w:rsidR="000E469D" w14:paraId="46352B2A" w14:textId="77777777" w:rsidTr="00780247">
        <w:tc>
          <w:tcPr>
            <w:tcW w:w="1238" w:type="dxa"/>
          </w:tcPr>
          <w:p w14:paraId="40B07BBD" w14:textId="79117A72" w:rsidR="000E469D" w:rsidRDefault="008A0EA4" w:rsidP="000E469D">
            <w:r>
              <w:t>12.</w:t>
            </w:r>
          </w:p>
        </w:tc>
        <w:tc>
          <w:tcPr>
            <w:tcW w:w="3955" w:type="dxa"/>
          </w:tcPr>
          <w:p w14:paraId="4D87D7D4" w14:textId="44449728" w:rsidR="000E469D" w:rsidRPr="008A0EA4" w:rsidRDefault="008A0EA4" w:rsidP="000E469D">
            <w:pPr>
              <w:rPr>
                <w:b/>
                <w:bCs/>
              </w:rPr>
            </w:pPr>
            <w:r w:rsidRPr="008A0EA4">
              <w:rPr>
                <w:b/>
                <w:bCs/>
              </w:rPr>
              <w:t>Fuel_motorcycle_trip_operations</w:t>
            </w:r>
          </w:p>
        </w:tc>
        <w:tc>
          <w:tcPr>
            <w:tcW w:w="3036" w:type="dxa"/>
          </w:tcPr>
          <w:p w14:paraId="6F6FB582" w14:textId="5D7F7054" w:rsidR="000E469D" w:rsidRDefault="007E738B" w:rsidP="000E469D">
            <w:r w:rsidRPr="007E738B">
              <w:t>GPS-tracked trip-level segment data for electric motorcycle riders in Nairobi capturing timestamps, distance, and speed metrics</w:t>
            </w:r>
          </w:p>
        </w:tc>
        <w:tc>
          <w:tcPr>
            <w:tcW w:w="2661" w:type="dxa"/>
          </w:tcPr>
          <w:p w14:paraId="2B931FBC" w14:textId="75726D2F" w:rsidR="000E469D" w:rsidRDefault="007E738B" w:rsidP="000E469D">
            <w:r>
              <w:t>P</w:t>
            </w:r>
            <w:r w:rsidRPr="007E738B">
              <w:t>rovides the behavioral evidence base for the 2W/3W segment to support operational cost modeling and charging network design.</w:t>
            </w:r>
          </w:p>
        </w:tc>
      </w:tr>
      <w:tr w:rsidR="000E469D" w14:paraId="791FA00A" w14:textId="77777777" w:rsidTr="00780247">
        <w:tc>
          <w:tcPr>
            <w:tcW w:w="1238" w:type="dxa"/>
          </w:tcPr>
          <w:p w14:paraId="00C5C91F" w14:textId="31E77D73" w:rsidR="000E469D" w:rsidRDefault="007E738B" w:rsidP="000E469D">
            <w:r>
              <w:lastRenderedPageBreak/>
              <w:t>13.</w:t>
            </w:r>
          </w:p>
        </w:tc>
        <w:tc>
          <w:tcPr>
            <w:tcW w:w="3955" w:type="dxa"/>
          </w:tcPr>
          <w:p w14:paraId="3EC15C17" w14:textId="7C9ACB1C" w:rsidR="000E469D" w:rsidRPr="007E738B" w:rsidRDefault="007E738B" w:rsidP="000E469D">
            <w:pPr>
              <w:rPr>
                <w:b/>
                <w:bCs/>
              </w:rPr>
            </w:pPr>
            <w:r w:rsidRPr="007E738B">
              <w:rPr>
                <w:b/>
                <w:bCs/>
              </w:rPr>
              <w:t>Electric_motorcycle_daily_operations</w:t>
            </w:r>
          </w:p>
        </w:tc>
        <w:tc>
          <w:tcPr>
            <w:tcW w:w="3036" w:type="dxa"/>
          </w:tcPr>
          <w:p w14:paraId="1AF6B02E" w14:textId="2DBEB261" w:rsidR="000E469D" w:rsidRDefault="007E738B" w:rsidP="000E469D">
            <w:r w:rsidRPr="007E738B">
              <w:t>Daily aggregated operational and financial metrics combining rider distance, road durations, revenue, maintenance, and charging energy costs.</w:t>
            </w:r>
          </w:p>
        </w:tc>
        <w:tc>
          <w:tcPr>
            <w:tcW w:w="2661" w:type="dxa"/>
          </w:tcPr>
          <w:p w14:paraId="04D1A124" w14:textId="4D458B8A" w:rsidR="000E469D" w:rsidRDefault="007E738B" w:rsidP="000E469D">
            <w:r w:rsidRPr="007E738B">
              <w:t>Serves as the commercial viability assessment for evaluating unit economics, business model comparisons, and operator affordability.</w:t>
            </w:r>
          </w:p>
        </w:tc>
      </w:tr>
      <w:tr w:rsidR="000E469D" w14:paraId="0476E8C7" w14:textId="77777777" w:rsidTr="00780247">
        <w:tc>
          <w:tcPr>
            <w:tcW w:w="1238" w:type="dxa"/>
          </w:tcPr>
          <w:p w14:paraId="4D4BA827" w14:textId="1B603952" w:rsidR="000E469D" w:rsidRDefault="007E738B" w:rsidP="000E469D">
            <w:r>
              <w:t>14.</w:t>
            </w:r>
          </w:p>
        </w:tc>
        <w:tc>
          <w:tcPr>
            <w:tcW w:w="3955" w:type="dxa"/>
          </w:tcPr>
          <w:p w14:paraId="6A7EB835" w14:textId="3CBE693B" w:rsidR="000E469D" w:rsidRDefault="007E738B" w:rsidP="000E469D">
            <w:r w:rsidRPr="007E738B">
              <w:rPr>
                <w:b/>
                <w:bCs/>
              </w:rPr>
              <w:t>Electric_motorcycle_trip_data</w:t>
            </w:r>
          </w:p>
        </w:tc>
        <w:tc>
          <w:tcPr>
            <w:tcW w:w="3036" w:type="dxa"/>
          </w:tcPr>
          <w:p w14:paraId="1A6DB381" w14:textId="6C41343E" w:rsidR="000E469D" w:rsidRDefault="007E738B" w:rsidP="000E469D">
            <w:r w:rsidRPr="007E738B">
              <w:t>High-resolution micro-level trip segment dataset detailing exact route paths, spatial coordinates, timestamps, and speed profiles</w:t>
            </w:r>
          </w:p>
        </w:tc>
        <w:tc>
          <w:tcPr>
            <w:tcW w:w="2661" w:type="dxa"/>
          </w:tcPr>
          <w:p w14:paraId="7D8C2511" w14:textId="48F601EA" w:rsidR="000E469D" w:rsidRDefault="007E738B" w:rsidP="000E469D">
            <w:r w:rsidRPr="007E738B">
              <w:t>Serves as the primary spatial and operational analytics engine for infrastructure location selection and utility grid load profiling.</w:t>
            </w:r>
          </w:p>
        </w:tc>
      </w:tr>
      <w:tr w:rsidR="000E469D" w14:paraId="74ABE488" w14:textId="77777777" w:rsidTr="00780247">
        <w:tc>
          <w:tcPr>
            <w:tcW w:w="1238" w:type="dxa"/>
          </w:tcPr>
          <w:p w14:paraId="60CCC779" w14:textId="77EEC67D" w:rsidR="000E469D" w:rsidRDefault="007E738B" w:rsidP="000E469D">
            <w:r>
              <w:t>15.</w:t>
            </w:r>
          </w:p>
        </w:tc>
        <w:tc>
          <w:tcPr>
            <w:tcW w:w="3955" w:type="dxa"/>
          </w:tcPr>
          <w:p w14:paraId="2B0D5B1A" w14:textId="1BC98A90" w:rsidR="000E469D" w:rsidRPr="007E738B" w:rsidRDefault="007E738B" w:rsidP="000E469D">
            <w:pPr>
              <w:rPr>
                <w:b/>
                <w:bCs/>
              </w:rPr>
            </w:pPr>
            <w:r w:rsidRPr="007E738B">
              <w:rPr>
                <w:b/>
                <w:bCs/>
              </w:rPr>
              <w:t>Main Sheet (Africa EV Readiness)</w:t>
            </w:r>
          </w:p>
        </w:tc>
        <w:tc>
          <w:tcPr>
            <w:tcW w:w="3036" w:type="dxa"/>
          </w:tcPr>
          <w:p w14:paraId="3A6CCEBC" w14:textId="381B3C39" w:rsidR="000E469D" w:rsidRDefault="007E738B" w:rsidP="000E469D">
            <w:r w:rsidRPr="007E738B">
              <w:t>Master repository aggregating 16 readiness and impact indicator scores across all 54 African nations</w:t>
            </w:r>
          </w:p>
        </w:tc>
        <w:tc>
          <w:tcPr>
            <w:tcW w:w="2661" w:type="dxa"/>
          </w:tcPr>
          <w:p w14:paraId="7B43D76A" w14:textId="2C167E56" w:rsidR="000E469D" w:rsidRDefault="007E738B" w:rsidP="000E469D">
            <w:r w:rsidRPr="007E738B">
              <w:t>Acts as the primary underlying database feeding all summary rankings, benchmarking figures, and strategic report frameworks.</w:t>
            </w:r>
          </w:p>
        </w:tc>
      </w:tr>
      <w:tr w:rsidR="000E469D" w14:paraId="5C0A11B0" w14:textId="77777777" w:rsidTr="00780247">
        <w:tc>
          <w:tcPr>
            <w:tcW w:w="1238" w:type="dxa"/>
          </w:tcPr>
          <w:p w14:paraId="016B2C52" w14:textId="5DD53CA1" w:rsidR="000E469D" w:rsidRDefault="007E738B" w:rsidP="000E469D">
            <w:r>
              <w:t>16.</w:t>
            </w:r>
          </w:p>
        </w:tc>
        <w:tc>
          <w:tcPr>
            <w:tcW w:w="3955" w:type="dxa"/>
          </w:tcPr>
          <w:p w14:paraId="07900375" w14:textId="50F60B4B" w:rsidR="000E469D" w:rsidRPr="007E738B" w:rsidRDefault="007E738B" w:rsidP="000E469D">
            <w:pPr>
              <w:rPr>
                <w:b/>
                <w:bCs/>
              </w:rPr>
            </w:pPr>
            <w:r w:rsidRPr="007E738B">
              <w:rPr>
                <w:b/>
                <w:bCs/>
              </w:rPr>
              <w:t>EV Incentives</w:t>
            </w:r>
          </w:p>
        </w:tc>
        <w:tc>
          <w:tcPr>
            <w:tcW w:w="3036" w:type="dxa"/>
          </w:tcPr>
          <w:p w14:paraId="3AE165CA" w14:textId="29A1E4D4" w:rsidR="000E469D" w:rsidRDefault="007E738B" w:rsidP="000E469D">
            <w:r w:rsidRPr="007E738B">
              <w:t>Inventory of legislative and regulatory incentives adopted by national and sub-national African governments through 2023.</w:t>
            </w:r>
          </w:p>
        </w:tc>
        <w:tc>
          <w:tcPr>
            <w:tcW w:w="2661" w:type="dxa"/>
          </w:tcPr>
          <w:p w14:paraId="740AC3E5" w14:textId="0F097D36" w:rsidR="000E469D" w:rsidRDefault="007E738B" w:rsidP="000E469D">
            <w:r w:rsidRPr="007E738B">
              <w:t>Supplies qualitative evidence for the Enabling Policies indicator component within the master Readiness score</w:t>
            </w:r>
          </w:p>
        </w:tc>
      </w:tr>
      <w:tr w:rsidR="000E469D" w14:paraId="710A55DB" w14:textId="77777777" w:rsidTr="00780247">
        <w:tc>
          <w:tcPr>
            <w:tcW w:w="1238" w:type="dxa"/>
          </w:tcPr>
          <w:p w14:paraId="0955838D" w14:textId="00C172C5" w:rsidR="000E469D" w:rsidRDefault="007E738B" w:rsidP="000E469D">
            <w:r>
              <w:t>17.</w:t>
            </w:r>
          </w:p>
        </w:tc>
        <w:tc>
          <w:tcPr>
            <w:tcW w:w="3955" w:type="dxa"/>
          </w:tcPr>
          <w:p w14:paraId="30A4804E" w14:textId="3BFEFA7F" w:rsidR="000E469D" w:rsidRPr="007E738B" w:rsidRDefault="007E738B" w:rsidP="000E469D">
            <w:pPr>
              <w:rPr>
                <w:b/>
                <w:bCs/>
              </w:rPr>
            </w:pPr>
            <w:r w:rsidRPr="007E738B">
              <w:rPr>
                <w:b/>
                <w:bCs/>
              </w:rPr>
              <w:t>Additional Generation For 30% E</w:t>
            </w:r>
          </w:p>
        </w:tc>
        <w:tc>
          <w:tcPr>
            <w:tcW w:w="3036" w:type="dxa"/>
          </w:tcPr>
          <w:p w14:paraId="31DB0023" w14:textId="3792C83B" w:rsidR="000E469D" w:rsidRDefault="007E738B" w:rsidP="000E469D">
            <w:r w:rsidRPr="007E738B">
              <w:t>Quantitative modeling of additional electricity generation and grid capacity expansion factor requirements for a 30% EV target.</w:t>
            </w:r>
          </w:p>
        </w:tc>
        <w:tc>
          <w:tcPr>
            <w:tcW w:w="2661" w:type="dxa"/>
          </w:tcPr>
          <w:p w14:paraId="39A1035A" w14:textId="266719E7" w:rsidR="000E469D" w:rsidRDefault="007E738B" w:rsidP="000E469D">
            <w:r w:rsidRPr="007E738B">
              <w:t>Direct input into the Grid Infrastructure component evaluations of the baseline Readiness Score.</w:t>
            </w:r>
          </w:p>
        </w:tc>
      </w:tr>
      <w:tr w:rsidR="000E469D" w14:paraId="10F002CF" w14:textId="77777777" w:rsidTr="00780247">
        <w:tc>
          <w:tcPr>
            <w:tcW w:w="1238" w:type="dxa"/>
          </w:tcPr>
          <w:p w14:paraId="348C9B4F" w14:textId="3FA88578" w:rsidR="000E469D" w:rsidRDefault="007E738B" w:rsidP="000E469D">
            <w:r>
              <w:t>18.</w:t>
            </w:r>
          </w:p>
        </w:tc>
        <w:tc>
          <w:tcPr>
            <w:tcW w:w="3955" w:type="dxa"/>
          </w:tcPr>
          <w:p w14:paraId="112EFD25" w14:textId="72FEDE59" w:rsidR="000E469D" w:rsidRDefault="007E738B" w:rsidP="000E469D">
            <w:r w:rsidRPr="007E738B">
              <w:rPr>
                <w:b/>
                <w:bCs/>
              </w:rPr>
              <w:t>Grid Reliability</w:t>
            </w:r>
          </w:p>
        </w:tc>
        <w:tc>
          <w:tcPr>
            <w:tcW w:w="3036" w:type="dxa"/>
          </w:tcPr>
          <w:p w14:paraId="52B226F1" w14:textId="5E9893C2" w:rsidR="000E469D" w:rsidRDefault="007E738B" w:rsidP="000E469D">
            <w:r w:rsidRPr="007E738B">
              <w:t>Data capturing electrical grid stability, outage frequencies, and annual interruption durations across African nations</w:t>
            </w:r>
          </w:p>
        </w:tc>
        <w:tc>
          <w:tcPr>
            <w:tcW w:w="2661" w:type="dxa"/>
          </w:tcPr>
          <w:p w14:paraId="178CD5BA" w14:textId="45268021" w:rsidR="000E469D" w:rsidRDefault="007E738B" w:rsidP="000E469D">
            <w:r w:rsidRPr="007E738B">
              <w:t>Serves as a core sub-indicator for power infrastructure quality evaluations within the technical Readiness scoring.</w:t>
            </w:r>
          </w:p>
        </w:tc>
      </w:tr>
      <w:tr w:rsidR="000E469D" w14:paraId="6596108D" w14:textId="77777777" w:rsidTr="00780247">
        <w:tc>
          <w:tcPr>
            <w:tcW w:w="1238" w:type="dxa"/>
          </w:tcPr>
          <w:p w14:paraId="62A8888D" w14:textId="7534FC87" w:rsidR="000E469D" w:rsidRDefault="007E738B" w:rsidP="000E469D">
            <w:r>
              <w:t>19.</w:t>
            </w:r>
          </w:p>
        </w:tc>
        <w:tc>
          <w:tcPr>
            <w:tcW w:w="3955" w:type="dxa"/>
          </w:tcPr>
          <w:p w14:paraId="768B82C1" w14:textId="5A18DDD1" w:rsidR="000E469D" w:rsidRDefault="007E738B" w:rsidP="000E469D">
            <w:r w:rsidRPr="007E738B">
              <w:rPr>
                <w:b/>
                <w:bCs/>
              </w:rPr>
              <w:t>Current Rate of Motorization</w:t>
            </w:r>
          </w:p>
        </w:tc>
        <w:tc>
          <w:tcPr>
            <w:tcW w:w="3036" w:type="dxa"/>
          </w:tcPr>
          <w:p w14:paraId="612417C7" w14:textId="1385C47A" w:rsidR="000E469D" w:rsidRDefault="00EF2754" w:rsidP="00EF2754">
            <w:r w:rsidRPr="00EF2754">
              <w:t>Country-level vehicle ownership density figures per capita across Africa benchmarked as of 2016.</w:t>
            </w:r>
          </w:p>
        </w:tc>
        <w:tc>
          <w:tcPr>
            <w:tcW w:w="2661" w:type="dxa"/>
          </w:tcPr>
          <w:p w14:paraId="40B11C43" w14:textId="23F33228" w:rsidR="000E469D" w:rsidRDefault="00EF2754" w:rsidP="000E469D">
            <w:r w:rsidRPr="00EF2754">
              <w:t>Feeds directly into the Market scale category metrics of the finalized Readiness index</w:t>
            </w:r>
          </w:p>
        </w:tc>
      </w:tr>
      <w:tr w:rsidR="000E469D" w14:paraId="346E1D20" w14:textId="77777777" w:rsidTr="00780247">
        <w:tc>
          <w:tcPr>
            <w:tcW w:w="1238" w:type="dxa"/>
          </w:tcPr>
          <w:p w14:paraId="4905E5BC" w14:textId="3FBE4FC1" w:rsidR="000E469D" w:rsidRDefault="00EF2754" w:rsidP="000E469D">
            <w:r>
              <w:t>20.</w:t>
            </w:r>
          </w:p>
        </w:tc>
        <w:tc>
          <w:tcPr>
            <w:tcW w:w="3955" w:type="dxa"/>
          </w:tcPr>
          <w:p w14:paraId="024B4873" w14:textId="0BA508C8" w:rsidR="000E469D" w:rsidRPr="00EF2754" w:rsidRDefault="00EF2754" w:rsidP="000E469D">
            <w:pPr>
              <w:rPr>
                <w:b/>
                <w:bCs/>
              </w:rPr>
            </w:pPr>
            <w:r w:rsidRPr="00EF2754">
              <w:rPr>
                <w:b/>
                <w:bCs/>
              </w:rPr>
              <w:t>Electricity Regulatory Index</w:t>
            </w:r>
          </w:p>
        </w:tc>
        <w:tc>
          <w:tcPr>
            <w:tcW w:w="3036" w:type="dxa"/>
          </w:tcPr>
          <w:p w14:paraId="1D270D84" w14:textId="3F969F06" w:rsidR="000E469D" w:rsidRDefault="00EF2754" w:rsidP="000E469D">
            <w:r w:rsidRPr="00EF2754">
              <w:t xml:space="preserve">Evaluation of power sector regulatory maturity and </w:t>
            </w:r>
            <w:r w:rsidRPr="00EF2754">
              <w:lastRenderedPageBreak/>
              <w:t>governance framework indicators based on African Development Bank metrics</w:t>
            </w:r>
          </w:p>
        </w:tc>
        <w:tc>
          <w:tcPr>
            <w:tcW w:w="2661" w:type="dxa"/>
          </w:tcPr>
          <w:p w14:paraId="7E3E3B19" w14:textId="6E67C996" w:rsidR="000E469D" w:rsidRDefault="00EF2754" w:rsidP="000E469D">
            <w:r w:rsidRPr="00EF2754">
              <w:lastRenderedPageBreak/>
              <w:t xml:space="preserve">Serves as a primary Power Sector Maturity </w:t>
            </w:r>
            <w:r w:rsidRPr="00EF2754">
              <w:lastRenderedPageBreak/>
              <w:t>sub-indicator utilized within the technical Readiness scoring index</w:t>
            </w:r>
          </w:p>
        </w:tc>
      </w:tr>
      <w:tr w:rsidR="000E469D" w14:paraId="764D13AE" w14:textId="77777777" w:rsidTr="00780247">
        <w:tc>
          <w:tcPr>
            <w:tcW w:w="1238" w:type="dxa"/>
          </w:tcPr>
          <w:p w14:paraId="7F6035F4" w14:textId="431DD234" w:rsidR="000E469D" w:rsidRDefault="00EF2754" w:rsidP="000E469D">
            <w:r>
              <w:lastRenderedPageBreak/>
              <w:t>21.</w:t>
            </w:r>
          </w:p>
        </w:tc>
        <w:tc>
          <w:tcPr>
            <w:tcW w:w="3955" w:type="dxa"/>
          </w:tcPr>
          <w:p w14:paraId="2902CFF9" w14:textId="61AD9D1F" w:rsidR="000E469D" w:rsidRPr="00EF2754" w:rsidRDefault="00EF2754" w:rsidP="000E469D">
            <w:pPr>
              <w:rPr>
                <w:b/>
                <w:bCs/>
              </w:rPr>
            </w:pPr>
            <w:r w:rsidRPr="00EF2754">
              <w:rPr>
                <w:b/>
                <w:bCs/>
              </w:rPr>
              <w:t>Relative Affordability</w:t>
            </w:r>
          </w:p>
        </w:tc>
        <w:tc>
          <w:tcPr>
            <w:tcW w:w="3036" w:type="dxa"/>
          </w:tcPr>
          <w:p w14:paraId="6BF14085" w14:textId="2A906899" w:rsidR="000E469D" w:rsidRDefault="00EF2754" w:rsidP="000E469D">
            <w:r w:rsidRPr="00EF2754">
              <w:t>Economic comparison evaluating the operational fuel cost per 100 miles of driving an EV versus a traditional ICE vehicle.</w:t>
            </w:r>
          </w:p>
        </w:tc>
        <w:tc>
          <w:tcPr>
            <w:tcW w:w="2661" w:type="dxa"/>
          </w:tcPr>
          <w:p w14:paraId="21452FF2" w14:textId="2DFBF7D4" w:rsidR="000E469D" w:rsidRDefault="00EF2754" w:rsidP="000E469D">
            <w:r w:rsidRPr="00EF2754">
              <w:t>Core metric used to evaluate the EV Affordability component within the foundational Readiness index.</w:t>
            </w:r>
          </w:p>
        </w:tc>
      </w:tr>
      <w:tr w:rsidR="000E469D" w14:paraId="02690C64" w14:textId="77777777" w:rsidTr="00780247">
        <w:tc>
          <w:tcPr>
            <w:tcW w:w="1238" w:type="dxa"/>
          </w:tcPr>
          <w:p w14:paraId="05F8DFF8" w14:textId="14D5A5C0" w:rsidR="000E469D" w:rsidRDefault="00EF2754" w:rsidP="000E469D">
            <w:r>
              <w:t>22.</w:t>
            </w:r>
          </w:p>
        </w:tc>
        <w:tc>
          <w:tcPr>
            <w:tcW w:w="3955" w:type="dxa"/>
          </w:tcPr>
          <w:p w14:paraId="37B4D3FB" w14:textId="67BE99BB" w:rsidR="000E469D" w:rsidRPr="00EF2754" w:rsidRDefault="00EF2754" w:rsidP="000E469D">
            <w:pPr>
              <w:rPr>
                <w:b/>
                <w:bCs/>
              </w:rPr>
            </w:pPr>
            <w:r w:rsidRPr="00EF2754">
              <w:rPr>
                <w:b/>
                <w:bCs/>
              </w:rPr>
              <w:t>Access to Finance</w:t>
            </w:r>
          </w:p>
        </w:tc>
        <w:tc>
          <w:tcPr>
            <w:tcW w:w="3036" w:type="dxa"/>
          </w:tcPr>
          <w:p w14:paraId="2F352870" w14:textId="085B821F" w:rsidR="000E469D" w:rsidRDefault="00EF2754" w:rsidP="000E469D">
            <w:r w:rsidRPr="00EF2754">
              <w:t>Financial inclusion metric tracking the percentage of adult populations with access to formal credit or mobile money services.</w:t>
            </w:r>
          </w:p>
        </w:tc>
        <w:tc>
          <w:tcPr>
            <w:tcW w:w="2661" w:type="dxa"/>
          </w:tcPr>
          <w:p w14:paraId="255D2BE1" w14:textId="6252D82B" w:rsidR="000E469D" w:rsidRDefault="00EF2754" w:rsidP="000E469D">
            <w:r w:rsidRPr="00EF2754">
              <w:t xml:space="preserve">Represents consumer financing feasibility parameters used within the </w:t>
            </w:r>
            <w:r w:rsidRPr="00EF2754">
              <w:t>macro-Readiness</w:t>
            </w:r>
            <w:r w:rsidRPr="00EF2754">
              <w:t xml:space="preserve"> dimension.</w:t>
            </w:r>
          </w:p>
        </w:tc>
      </w:tr>
      <w:tr w:rsidR="000E469D" w14:paraId="16835EA5" w14:textId="77777777" w:rsidTr="00780247">
        <w:tc>
          <w:tcPr>
            <w:tcW w:w="1238" w:type="dxa"/>
          </w:tcPr>
          <w:p w14:paraId="130D0DE8" w14:textId="29827AE8" w:rsidR="000E469D" w:rsidRDefault="00EF2754" w:rsidP="000E469D">
            <w:r>
              <w:t>23.</w:t>
            </w:r>
          </w:p>
        </w:tc>
        <w:tc>
          <w:tcPr>
            <w:tcW w:w="3955" w:type="dxa"/>
          </w:tcPr>
          <w:p w14:paraId="76DB2BE3" w14:textId="5D9823DD" w:rsidR="000E469D" w:rsidRPr="002E4030" w:rsidRDefault="002E4030" w:rsidP="000E469D">
            <w:pPr>
              <w:rPr>
                <w:b/>
                <w:bCs/>
              </w:rPr>
            </w:pPr>
            <w:r w:rsidRPr="002E4030">
              <w:rPr>
                <w:b/>
                <w:bCs/>
              </w:rPr>
              <w:t>Electricity Generated from Clean Energy</w:t>
            </w:r>
          </w:p>
        </w:tc>
        <w:tc>
          <w:tcPr>
            <w:tcW w:w="3036" w:type="dxa"/>
          </w:tcPr>
          <w:p w14:paraId="512F938F" w14:textId="4A603083" w:rsidR="000E469D" w:rsidRDefault="002E4030" w:rsidP="000E469D">
            <w:r w:rsidRPr="002E4030">
              <w:t>Breakdown of national power generation profiles highlighting renewable vs. fossil fuel generation percentage shares.</w:t>
            </w:r>
          </w:p>
        </w:tc>
        <w:tc>
          <w:tcPr>
            <w:tcW w:w="2661" w:type="dxa"/>
          </w:tcPr>
          <w:p w14:paraId="293CA49A" w14:textId="7D39180F" w:rsidR="000E469D" w:rsidRDefault="002E4030" w:rsidP="000E469D">
            <w:r w:rsidRPr="002E4030">
              <w:t>Key sub-indicator used to determine Climate impact scores within the environmental Impact scoring framework.</w:t>
            </w:r>
          </w:p>
        </w:tc>
      </w:tr>
      <w:tr w:rsidR="000E469D" w14:paraId="64B024F7" w14:textId="77777777" w:rsidTr="00780247">
        <w:tc>
          <w:tcPr>
            <w:tcW w:w="1238" w:type="dxa"/>
          </w:tcPr>
          <w:p w14:paraId="48D2AA58" w14:textId="5523ACA3" w:rsidR="000E469D" w:rsidRDefault="002E4030" w:rsidP="000E469D">
            <w:r>
              <w:t>24.</w:t>
            </w:r>
          </w:p>
        </w:tc>
        <w:tc>
          <w:tcPr>
            <w:tcW w:w="3955" w:type="dxa"/>
          </w:tcPr>
          <w:p w14:paraId="54DDD9F8" w14:textId="3BB19328" w:rsidR="000E469D" w:rsidRPr="002E4030" w:rsidRDefault="002E4030" w:rsidP="000E469D">
            <w:pPr>
              <w:rPr>
                <w:b/>
                <w:bCs/>
              </w:rPr>
            </w:pPr>
            <w:r w:rsidRPr="002E4030">
              <w:rPr>
                <w:b/>
                <w:bCs/>
              </w:rPr>
              <w:t>CO2 from Transportation</w:t>
            </w:r>
          </w:p>
        </w:tc>
        <w:tc>
          <w:tcPr>
            <w:tcW w:w="3036" w:type="dxa"/>
          </w:tcPr>
          <w:p w14:paraId="5DFFDD6D" w14:textId="14A52904" w:rsidR="000E469D" w:rsidRDefault="002E4030" w:rsidP="000E469D">
            <w:r w:rsidRPr="002E4030">
              <w:t>Sectoral emissions assessment tracking the proportion of total fuel combustion CO2 emissions produced by transport activities.</w:t>
            </w:r>
          </w:p>
        </w:tc>
        <w:tc>
          <w:tcPr>
            <w:tcW w:w="2661" w:type="dxa"/>
          </w:tcPr>
          <w:p w14:paraId="3BDE92BD" w14:textId="3151E16B" w:rsidR="000E469D" w:rsidRDefault="002E4030" w:rsidP="000E469D">
            <w:r w:rsidRPr="002E4030">
              <w:t>Forms the core climate metric for calculating transport decarbonization priorities within the overall Impact score.</w:t>
            </w:r>
          </w:p>
        </w:tc>
      </w:tr>
      <w:tr w:rsidR="000E469D" w14:paraId="5A0B4165" w14:textId="77777777" w:rsidTr="00780247">
        <w:tc>
          <w:tcPr>
            <w:tcW w:w="1238" w:type="dxa"/>
          </w:tcPr>
          <w:p w14:paraId="5486FC6F" w14:textId="3220A94C" w:rsidR="000E469D" w:rsidRDefault="002E4030" w:rsidP="000E469D">
            <w:r>
              <w:t>25.</w:t>
            </w:r>
          </w:p>
        </w:tc>
        <w:tc>
          <w:tcPr>
            <w:tcW w:w="3955" w:type="dxa"/>
          </w:tcPr>
          <w:p w14:paraId="598F0CF5" w14:textId="484C1AD7" w:rsidR="000E469D" w:rsidRPr="002E4030" w:rsidRDefault="002E4030" w:rsidP="000E469D">
            <w:pPr>
              <w:rPr>
                <w:b/>
                <w:bCs/>
              </w:rPr>
            </w:pPr>
            <w:r w:rsidRPr="002E4030">
              <w:rPr>
                <w:b/>
                <w:bCs/>
              </w:rPr>
              <w:t>Fossil Fuel Import Dependence</w:t>
            </w:r>
          </w:p>
        </w:tc>
        <w:tc>
          <w:tcPr>
            <w:tcW w:w="3036" w:type="dxa"/>
          </w:tcPr>
          <w:p w14:paraId="5FF0FCA7" w14:textId="501E941B" w:rsidR="000E469D" w:rsidRDefault="002E4030" w:rsidP="000E469D">
            <w:r w:rsidRPr="002E4030">
              <w:t>Macroeconomic trade exposure assessment measuring transport fuel import volumes relative to total net national consumption.</w:t>
            </w:r>
          </w:p>
        </w:tc>
        <w:tc>
          <w:tcPr>
            <w:tcW w:w="2661" w:type="dxa"/>
          </w:tcPr>
          <w:p w14:paraId="3B1970DA" w14:textId="185E77A4" w:rsidR="000E469D" w:rsidRDefault="002E4030" w:rsidP="000E469D">
            <w:r w:rsidRPr="002E4030">
              <w:t>Represents macroeconomic trade balance impacts and foreign exchange relief factors within the Financial Impact score.</w:t>
            </w:r>
          </w:p>
        </w:tc>
      </w:tr>
      <w:tr w:rsidR="000E469D" w14:paraId="50429DAE" w14:textId="77777777" w:rsidTr="00780247">
        <w:tc>
          <w:tcPr>
            <w:tcW w:w="1238" w:type="dxa"/>
          </w:tcPr>
          <w:p w14:paraId="7CD8B699" w14:textId="1BD2C686" w:rsidR="000E469D" w:rsidRDefault="002E4030" w:rsidP="000E469D">
            <w:r>
              <w:t>26.</w:t>
            </w:r>
          </w:p>
        </w:tc>
        <w:tc>
          <w:tcPr>
            <w:tcW w:w="3955" w:type="dxa"/>
          </w:tcPr>
          <w:p w14:paraId="20E215E7" w14:textId="49126D3A" w:rsidR="000E469D" w:rsidRPr="002E4030" w:rsidRDefault="002E4030" w:rsidP="000E469D">
            <w:pPr>
              <w:rPr>
                <w:b/>
                <w:bCs/>
              </w:rPr>
            </w:pPr>
            <w:r w:rsidRPr="002E4030">
              <w:rPr>
                <w:b/>
                <w:bCs/>
              </w:rPr>
              <w:t>Fossil Fuel Subsidy Burden</w:t>
            </w:r>
          </w:p>
        </w:tc>
        <w:tc>
          <w:tcPr>
            <w:tcW w:w="3036" w:type="dxa"/>
          </w:tcPr>
          <w:p w14:paraId="1C6EFE62" w14:textId="3D84C349" w:rsidR="000E469D" w:rsidRDefault="002E4030" w:rsidP="000E469D">
            <w:r w:rsidRPr="002E4030">
              <w:t>Fiscal evaluation quantifying the government budget burden of explicit gasoline and diesel consumer subsidies relative to national GDP.</w:t>
            </w:r>
          </w:p>
        </w:tc>
        <w:tc>
          <w:tcPr>
            <w:tcW w:w="2661" w:type="dxa"/>
          </w:tcPr>
          <w:p w14:paraId="6921C9AB" w14:textId="1C255B98" w:rsidR="000E469D" w:rsidRDefault="002E4030" w:rsidP="000E469D">
            <w:r w:rsidRPr="002E4030">
              <w:t>Direct financial input into evaluating public spending relief potential under the Financial Impact sub-category.</w:t>
            </w:r>
          </w:p>
        </w:tc>
      </w:tr>
      <w:tr w:rsidR="000E469D" w14:paraId="35234E63" w14:textId="77777777" w:rsidTr="00780247">
        <w:tc>
          <w:tcPr>
            <w:tcW w:w="1238" w:type="dxa"/>
          </w:tcPr>
          <w:p w14:paraId="26A80004" w14:textId="3845A1B6" w:rsidR="000E469D" w:rsidRDefault="002E4030" w:rsidP="000E469D">
            <w:r>
              <w:t>27.</w:t>
            </w:r>
          </w:p>
        </w:tc>
        <w:tc>
          <w:tcPr>
            <w:tcW w:w="3955" w:type="dxa"/>
          </w:tcPr>
          <w:p w14:paraId="16157132" w14:textId="4FDD4FA1" w:rsidR="000E469D" w:rsidRDefault="002E4030" w:rsidP="000E469D">
            <w:r w:rsidRPr="002E4030">
              <w:rPr>
                <w:b/>
                <w:bCs/>
              </w:rPr>
              <w:t>Utility Revenue Potential</w:t>
            </w:r>
          </w:p>
        </w:tc>
        <w:tc>
          <w:tcPr>
            <w:tcW w:w="3036" w:type="dxa"/>
          </w:tcPr>
          <w:p w14:paraId="4FA4598A" w14:textId="098CEB91" w:rsidR="000E469D" w:rsidRDefault="002E4030" w:rsidP="000E469D">
            <w:r w:rsidRPr="002E4030">
              <w:t>Econometric modeling estimating the additional annual gross revenue national power utilities would capture by electrifying 30% of transport.</w:t>
            </w:r>
          </w:p>
        </w:tc>
        <w:tc>
          <w:tcPr>
            <w:tcW w:w="2661" w:type="dxa"/>
          </w:tcPr>
          <w:p w14:paraId="6F0BDCD2" w14:textId="1FC2275A" w:rsidR="002E4030" w:rsidRPr="002E4030" w:rsidRDefault="002E4030" w:rsidP="002E4030">
            <w:r w:rsidRPr="002E4030">
              <w:t>Primary financial metric under Market Potential representing the state utility revenue upside in the Impact score.</w:t>
            </w:r>
          </w:p>
        </w:tc>
      </w:tr>
      <w:tr w:rsidR="000E469D" w14:paraId="6AB96C40" w14:textId="77777777" w:rsidTr="00780247">
        <w:tc>
          <w:tcPr>
            <w:tcW w:w="1238" w:type="dxa"/>
          </w:tcPr>
          <w:p w14:paraId="26830D99" w14:textId="40701CDB" w:rsidR="000E469D" w:rsidRDefault="002E4030" w:rsidP="000E469D">
            <w:r>
              <w:lastRenderedPageBreak/>
              <w:t>28.</w:t>
            </w:r>
          </w:p>
        </w:tc>
        <w:tc>
          <w:tcPr>
            <w:tcW w:w="3955" w:type="dxa"/>
          </w:tcPr>
          <w:p w14:paraId="0CAD7410" w14:textId="1DC20A9B" w:rsidR="000E469D" w:rsidRPr="002E4030" w:rsidRDefault="002E4030" w:rsidP="000E469D">
            <w:pPr>
              <w:rPr>
                <w:b/>
                <w:bCs/>
              </w:rPr>
            </w:pPr>
            <w:r w:rsidRPr="002E4030">
              <w:rPr>
                <w:b/>
                <w:bCs/>
              </w:rPr>
              <w:t>Projected Rate of Motorization</w:t>
            </w:r>
          </w:p>
        </w:tc>
        <w:tc>
          <w:tcPr>
            <w:tcW w:w="3036" w:type="dxa"/>
          </w:tcPr>
          <w:p w14:paraId="754A363E" w14:textId="5F4659BD" w:rsidR="000E469D" w:rsidRDefault="002E4030" w:rsidP="000E469D">
            <w:r w:rsidRPr="002E4030">
              <w:t>Long-term projections of vehicle ownership density per 1,000 people projected out to the year 2050 based on income models.</w:t>
            </w:r>
          </w:p>
        </w:tc>
        <w:tc>
          <w:tcPr>
            <w:tcW w:w="2661" w:type="dxa"/>
          </w:tcPr>
          <w:p w14:paraId="3B0FDDB6" w14:textId="798407B1" w:rsidR="000E469D" w:rsidRDefault="002E4030" w:rsidP="000E469D">
            <w:r w:rsidRPr="002E4030">
              <w:t>Key growth metric used to determine future vehicle volume targets under the Market Potential impact category.</w:t>
            </w:r>
          </w:p>
        </w:tc>
      </w:tr>
      <w:tr w:rsidR="000E469D" w14:paraId="512F8BB4" w14:textId="77777777" w:rsidTr="00780247">
        <w:tc>
          <w:tcPr>
            <w:tcW w:w="1238" w:type="dxa"/>
          </w:tcPr>
          <w:p w14:paraId="667ACAFC" w14:textId="17DEA37C" w:rsidR="000E469D" w:rsidRDefault="002E4030" w:rsidP="000E469D">
            <w:r>
              <w:t>29.</w:t>
            </w:r>
          </w:p>
        </w:tc>
        <w:tc>
          <w:tcPr>
            <w:tcW w:w="3955" w:type="dxa"/>
          </w:tcPr>
          <w:p w14:paraId="0FCA096E" w14:textId="4CB6E054" w:rsidR="000E469D" w:rsidRPr="002E4030" w:rsidRDefault="002E4030" w:rsidP="000E469D">
            <w:pPr>
              <w:rPr>
                <w:b/>
                <w:bCs/>
              </w:rPr>
            </w:pPr>
            <w:r w:rsidRPr="002E4030">
              <w:rPr>
                <w:b/>
                <w:bCs/>
              </w:rPr>
              <w:t>Readiness Total Scores</w:t>
            </w:r>
          </w:p>
        </w:tc>
        <w:tc>
          <w:tcPr>
            <w:tcW w:w="3036" w:type="dxa"/>
          </w:tcPr>
          <w:p w14:paraId="54D8794E" w14:textId="0F4114D6" w:rsidR="000E469D" w:rsidRDefault="002E4030" w:rsidP="000E469D">
            <w:r w:rsidRPr="002E4030">
              <w:t>Aggregated scoring table consolidating all 10 readiness sub-indicators across enabling policies, infrastructure, markets, and finance.</w:t>
            </w:r>
          </w:p>
        </w:tc>
        <w:tc>
          <w:tcPr>
            <w:tcW w:w="2661" w:type="dxa"/>
          </w:tcPr>
          <w:p w14:paraId="0FB295F5" w14:textId="6FEA168A" w:rsidR="000E469D" w:rsidRDefault="002E4030" w:rsidP="000E469D">
            <w:r w:rsidRPr="002E4030">
              <w:t>Serves as the official Readiness Index summary table used throughout the report's country profiles and tiering frameworks.</w:t>
            </w:r>
          </w:p>
        </w:tc>
      </w:tr>
      <w:tr w:rsidR="000E469D" w14:paraId="529E1277" w14:textId="77777777" w:rsidTr="00780247">
        <w:tc>
          <w:tcPr>
            <w:tcW w:w="1238" w:type="dxa"/>
          </w:tcPr>
          <w:p w14:paraId="280F5EF8" w14:textId="0C9AFD12" w:rsidR="000E469D" w:rsidRDefault="002E4030" w:rsidP="000E469D">
            <w:r>
              <w:t>30.</w:t>
            </w:r>
          </w:p>
        </w:tc>
        <w:tc>
          <w:tcPr>
            <w:tcW w:w="3955" w:type="dxa"/>
          </w:tcPr>
          <w:p w14:paraId="70BB1D1E" w14:textId="361386E8" w:rsidR="000E469D" w:rsidRPr="00780247" w:rsidRDefault="002E4030" w:rsidP="000E469D">
            <w:pPr>
              <w:rPr>
                <w:b/>
                <w:bCs/>
              </w:rPr>
            </w:pPr>
            <w:r w:rsidRPr="00780247">
              <w:rPr>
                <w:b/>
                <w:bCs/>
              </w:rPr>
              <w:t>Impact Total Scores</w:t>
            </w:r>
          </w:p>
        </w:tc>
        <w:tc>
          <w:tcPr>
            <w:tcW w:w="3036" w:type="dxa"/>
          </w:tcPr>
          <w:p w14:paraId="5558FD9C" w14:textId="4447426D" w:rsidR="000E469D" w:rsidRDefault="002E4030" w:rsidP="000E469D">
            <w:r w:rsidRPr="002E4030">
              <w:t>Aggregated scoring matrix consolidating all 7 impact indicators across climate benefits, public health, growth, and financial relief.</w:t>
            </w:r>
          </w:p>
        </w:tc>
        <w:tc>
          <w:tcPr>
            <w:tcW w:w="2661" w:type="dxa"/>
          </w:tcPr>
          <w:p w14:paraId="5206314C" w14:textId="43F487FF" w:rsidR="000E469D" w:rsidRDefault="00780247" w:rsidP="000E469D">
            <w:r w:rsidRPr="00780247">
              <w:t>Master Impact Index benchmark used to prioritize international climate finance allocation and development funding placement.</w:t>
            </w:r>
          </w:p>
        </w:tc>
      </w:tr>
      <w:tr w:rsidR="000E469D" w14:paraId="79400C75" w14:textId="77777777" w:rsidTr="00780247">
        <w:tc>
          <w:tcPr>
            <w:tcW w:w="1238" w:type="dxa"/>
          </w:tcPr>
          <w:p w14:paraId="1537419D" w14:textId="3022E962" w:rsidR="000E469D" w:rsidRDefault="00780247" w:rsidP="000E469D">
            <w:r>
              <w:t>31.</w:t>
            </w:r>
          </w:p>
        </w:tc>
        <w:tc>
          <w:tcPr>
            <w:tcW w:w="3955" w:type="dxa"/>
          </w:tcPr>
          <w:p w14:paraId="03DCEA79" w14:textId="20F62A27" w:rsidR="000E469D" w:rsidRPr="00780247" w:rsidRDefault="00780247" w:rsidP="000E469D">
            <w:pPr>
              <w:rPr>
                <w:b/>
                <w:bCs/>
              </w:rPr>
            </w:pPr>
            <w:r w:rsidRPr="00780247">
              <w:rPr>
                <w:b/>
                <w:bCs/>
              </w:rPr>
              <w:t>Readiness and Impact Combined S</w:t>
            </w:r>
          </w:p>
        </w:tc>
        <w:tc>
          <w:tcPr>
            <w:tcW w:w="3036" w:type="dxa"/>
          </w:tcPr>
          <w:p w14:paraId="4D1BCD8B" w14:textId="2E8E5EBB" w:rsidR="000E469D" w:rsidRDefault="00780247" w:rsidP="000E469D">
            <w:r w:rsidRPr="00780247">
              <w:t>Master index table combining Readiness and Impact metrics into equal-weighted averages to establish national priority quadrants.</w:t>
            </w:r>
          </w:p>
        </w:tc>
        <w:tc>
          <w:tcPr>
            <w:tcW w:w="2661" w:type="dxa"/>
          </w:tcPr>
          <w:p w14:paraId="3EA92011" w14:textId="0C607675" w:rsidR="000E469D" w:rsidRDefault="00780247" w:rsidP="000E469D">
            <w:r w:rsidRPr="00780247">
              <w:t>Primary synthesis deliverable of the database, underpinning all flagship report recommendations and country investment classifications.</w:t>
            </w:r>
          </w:p>
        </w:tc>
      </w:tr>
    </w:tbl>
    <w:p w14:paraId="7D1B6075" w14:textId="77777777" w:rsidR="000E469D" w:rsidRPr="000E469D" w:rsidRDefault="000E469D" w:rsidP="000E469D"/>
    <w:sectPr w:rsidR="000E469D" w:rsidRPr="000E4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9D"/>
    <w:rsid w:val="000B64AB"/>
    <w:rsid w:val="000E469D"/>
    <w:rsid w:val="002A7A1A"/>
    <w:rsid w:val="002E4030"/>
    <w:rsid w:val="003608EA"/>
    <w:rsid w:val="00645AD0"/>
    <w:rsid w:val="00780247"/>
    <w:rsid w:val="007E738B"/>
    <w:rsid w:val="008533E5"/>
    <w:rsid w:val="008A0EA4"/>
    <w:rsid w:val="00B71921"/>
    <w:rsid w:val="00B87C06"/>
    <w:rsid w:val="00BB42F6"/>
    <w:rsid w:val="00C02E91"/>
    <w:rsid w:val="00EF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3BEB"/>
  <w15:chartTrackingRefBased/>
  <w15:docId w15:val="{F35A3B18-889A-41C5-840B-EAFC3552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69D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69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69D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6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4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Nyangweso</dc:creator>
  <cp:keywords/>
  <dc:description/>
  <cp:lastModifiedBy>Kenneth Nyangweso</cp:lastModifiedBy>
  <cp:revision>2</cp:revision>
  <dcterms:created xsi:type="dcterms:W3CDTF">2026-09-29T09:15:00Z</dcterms:created>
  <dcterms:modified xsi:type="dcterms:W3CDTF">2026-09-29T09:15:00Z</dcterms:modified>
</cp:coreProperties>
</file>