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11916" w14:textId="77777777" w:rsidR="003F53AB" w:rsidRDefault="00000000">
      <w:pPr>
        <w:pStyle w:val="Heading1"/>
      </w:pPr>
      <w:bookmarkStart w:id="0" w:name="X715dc31777d1d7b45fd4f50dbfdabe9d007d979"/>
      <w:r>
        <w:t>Certify.ai: Response Framework for Marc McDonald’s Five Concerns</w:t>
      </w:r>
    </w:p>
    <w:p w14:paraId="4E2F2DFC" w14:textId="77777777" w:rsidR="003F53AB" w:rsidRDefault="00000000">
      <w:bookmarkStart w:id="1" w:name="Xcb0550f281a4a901eeaa6cfeecebda0abdd07e6"/>
      <w:r>
        <w:pict w14:anchorId="332AA642">
          <v:rect id="_x0000_i1060" style="width:0;height:1.5pt" o:hralign="center" o:hrstd="t" o:hr="t"/>
        </w:pict>
      </w:r>
    </w:p>
    <w:p w14:paraId="0303F784" w14:textId="77777777" w:rsidR="003F53AB" w:rsidRDefault="00000000">
      <w:pPr>
        <w:pStyle w:val="Heading2"/>
      </w:pPr>
      <w:bookmarkStart w:id="2" w:name="X4ad2e5a3ee5c4afd88461532bb75807104bad76"/>
      <w:bookmarkEnd w:id="1"/>
      <w:r>
        <w:t>Concern 1: ETS Resource Dependency / Investment Structure</w:t>
      </w:r>
    </w:p>
    <w:p w14:paraId="4A3B23B2" w14:textId="77777777" w:rsidR="003F53AB" w:rsidRDefault="00000000">
      <w:pPr>
        <w:pStyle w:val="FirstParagraph"/>
      </w:pPr>
      <w:r>
        <w:rPr>
          <w:b/>
          <w:bCs/>
        </w:rPr>
        <w:t>Marc’s concern:</w:t>
      </w:r>
      <w:r>
        <w:t xml:space="preserve"> “The model appears to require substantial ETS resources (credibility, psychometrics, delivery at scale, distribution), which is difficult to quantify without clearer product/market fit or different investment structure.”</w:t>
      </w:r>
    </w:p>
    <w:p w14:paraId="59D54BF7" w14:textId="77777777" w:rsidR="003F53AB" w:rsidRDefault="00000000">
      <w:pPr>
        <w:pStyle w:val="BodyText"/>
      </w:pPr>
      <w:r>
        <w:rPr>
          <w:b/>
          <w:bCs/>
        </w:rPr>
        <w:t>Answer:</w:t>
      </w:r>
    </w:p>
    <w:p w14:paraId="66D02D93" w14:textId="002DDF69" w:rsidR="003F53AB" w:rsidRDefault="00000000">
      <w:pPr>
        <w:pStyle w:val="BodyText"/>
      </w:pPr>
      <w:r>
        <w:t xml:space="preserve">ETS’s psychometric expertise and credibility are the core value-add – and Certify.ai is prepared to pay for them. Assessment development is a services engagement, work-for-hire, no different than what ETS does for any other client. Distribution through ETS channels (including Praxis) is compensated via revenue share tied to what those channels </w:t>
      </w:r>
      <w:proofErr w:type="gramStart"/>
      <w:r>
        <w:t>actually deliver</w:t>
      </w:r>
      <w:proofErr w:type="gramEnd"/>
      <w:r>
        <w:t>.</w:t>
      </w:r>
    </w:p>
    <w:p w14:paraId="5B71615A" w14:textId="6D292103" w:rsidR="003F53AB" w:rsidRDefault="00000000">
      <w:pPr>
        <w:pStyle w:val="BodyText"/>
      </w:pPr>
      <w:r>
        <w:t>ETS isn’t being asked to subsidize anything. It’s being asked to do what it does best, at fair market rates, with upside participation through distribution revenue</w:t>
      </w:r>
      <w:r w:rsidR="00476EFB">
        <w:t xml:space="preserve"> and appreciation of the ownership stake</w:t>
      </w:r>
      <w:r>
        <w:t>. There is nothing to quantify speculatively – it’s fee-for-service plus rev share.</w:t>
      </w:r>
    </w:p>
    <w:p w14:paraId="3F90F87B" w14:textId="77777777" w:rsidR="003F53AB" w:rsidRDefault="00000000">
      <w:r>
        <w:pict w14:anchorId="0638FE42">
          <v:rect id="_x0000_i1061" style="width:0;height:1.5pt" o:hralign="center" o:hrstd="t" o:hr="t"/>
        </w:pict>
      </w:r>
    </w:p>
    <w:p w14:paraId="379958A8" w14:textId="77777777" w:rsidR="003F53AB" w:rsidRDefault="00000000">
      <w:pPr>
        <w:pStyle w:val="Heading2"/>
      </w:pPr>
      <w:bookmarkStart w:id="3" w:name="Xbd40fed41b189c8d6f5785eca8fb1b831c80bcd"/>
      <w:bookmarkEnd w:id="2"/>
      <w:r>
        <w:t>Concern 2: GTM / Buyer Adoption Risk Absent State/District Requirements</w:t>
      </w:r>
    </w:p>
    <w:p w14:paraId="10EAF3EF" w14:textId="77777777" w:rsidR="003F53AB" w:rsidRDefault="00000000">
      <w:pPr>
        <w:pStyle w:val="FirstParagraph"/>
      </w:pPr>
      <w:r>
        <w:rPr>
          <w:b/>
          <w:bCs/>
        </w:rPr>
        <w:t>Marc’s concern:</w:t>
      </w:r>
      <w:r>
        <w:t xml:space="preserve"> “We have some concerns about the go-to-market and buyer adoption risks absent state/district requirements. We also need to define the value proposition for districts/schools.”</w:t>
      </w:r>
    </w:p>
    <w:p w14:paraId="209CD591" w14:textId="77777777" w:rsidR="003F53AB" w:rsidRDefault="00000000">
      <w:pPr>
        <w:pStyle w:val="BodyText"/>
      </w:pPr>
      <w:r>
        <w:rPr>
          <w:b/>
          <w:bCs/>
        </w:rPr>
        <w:t>Answer:</w:t>
      </w:r>
    </w:p>
    <w:p w14:paraId="3BB9E8ED" w14:textId="77777777" w:rsidR="003F53AB" w:rsidRDefault="00000000">
      <w:pPr>
        <w:pStyle w:val="BodyText"/>
      </w:pPr>
      <w:r>
        <w:t>The mandates already exist. We’re not waiting for them.</w:t>
      </w:r>
    </w:p>
    <w:p w14:paraId="6629B05A" w14:textId="77777777" w:rsidR="003F53AB" w:rsidRDefault="00000000">
      <w:pPr>
        <w:pStyle w:val="Heading3"/>
      </w:pPr>
      <w:bookmarkStart w:id="4" w:name="federal"/>
      <w:r>
        <w:t>Federal</w:t>
      </w:r>
    </w:p>
    <w:p w14:paraId="685F47E2" w14:textId="77777777" w:rsidR="003F53AB" w:rsidRDefault="00000000">
      <w:pPr>
        <w:pStyle w:val="Compact"/>
        <w:numPr>
          <w:ilvl w:val="0"/>
          <w:numId w:val="2"/>
        </w:numPr>
      </w:pPr>
      <w:r>
        <w:rPr>
          <w:b/>
          <w:bCs/>
        </w:rPr>
        <w:t>DOL AI Literacy Training Framework (TEN 07-25, Feb 2026)</w:t>
      </w:r>
      <w:r>
        <w:t xml:space="preserve"> – Federal standard defining AI literacy for the US workforce. WIOA-funded programs will align to this framework. (</w:t>
      </w:r>
      <w:hyperlink r:id="rId7">
        <w:r>
          <w:rPr>
            <w:rStyle w:val="Hyperlink"/>
          </w:rPr>
          <w:t>dol.gov/sites/dolgov/files/ETA/advisories/TEN/2025/TEN%2007-25</w:t>
        </w:r>
      </w:hyperlink>
      <w:r>
        <w:t>)</w:t>
      </w:r>
    </w:p>
    <w:p w14:paraId="2A55851D" w14:textId="77777777" w:rsidR="003F53AB" w:rsidRDefault="00000000">
      <w:pPr>
        <w:pStyle w:val="Compact"/>
        <w:numPr>
          <w:ilvl w:val="0"/>
          <w:numId w:val="2"/>
        </w:numPr>
      </w:pPr>
      <w:r>
        <w:rPr>
          <w:b/>
          <w:bCs/>
        </w:rPr>
        <w:t>EO 14277 – “Advancing US Leadership in AI Education for Youth”</w:t>
      </w:r>
      <w:r>
        <w:t xml:space="preserve"> – Directs agencies to prioritize AI education in K-12; establishes White House Task Force on AI Education. (</w:t>
      </w:r>
      <w:hyperlink r:id="rId8">
        <w:r>
          <w:rPr>
            <w:rStyle w:val="Hyperlink"/>
          </w:rPr>
          <w:t>whitehouse.gov</w:t>
        </w:r>
      </w:hyperlink>
      <w:r>
        <w:t>)</w:t>
      </w:r>
    </w:p>
    <w:p w14:paraId="2DE08579" w14:textId="77777777" w:rsidR="003F53AB" w:rsidRDefault="00000000">
      <w:pPr>
        <w:pStyle w:val="Compact"/>
        <w:numPr>
          <w:ilvl w:val="0"/>
          <w:numId w:val="2"/>
        </w:numPr>
      </w:pPr>
      <w:r>
        <w:rPr>
          <w:b/>
          <w:bCs/>
        </w:rPr>
        <w:t>Workforce Pell (live July 1, 2026)</w:t>
      </w:r>
      <w:r>
        <w:t xml:space="preserve"> – Short-term credential programs now eligible for federal financial aid. AI literacy certifications are exactly the type of program this was designed for.</w:t>
      </w:r>
    </w:p>
    <w:p w14:paraId="196D47EE" w14:textId="77777777" w:rsidR="003F53AB" w:rsidRDefault="00000000">
      <w:pPr>
        <w:pStyle w:val="Compact"/>
        <w:numPr>
          <w:ilvl w:val="0"/>
          <w:numId w:val="2"/>
        </w:numPr>
      </w:pPr>
      <w:r>
        <w:rPr>
          <w:b/>
          <w:bCs/>
        </w:rPr>
        <w:lastRenderedPageBreak/>
        <w:t>NSF: $11M for K-12 AI education</w:t>
      </w:r>
      <w:r>
        <w:t xml:space="preserve"> (March 2026) – Dedicated funding for age-appropriate AI education, literacy, and AI education technologies. (</w:t>
      </w:r>
      <w:hyperlink r:id="rId9">
        <w:r>
          <w:rPr>
            <w:rStyle w:val="Hyperlink"/>
          </w:rPr>
          <w:t>nsf.gov</w:t>
        </w:r>
      </w:hyperlink>
      <w:r>
        <w:t>)</w:t>
      </w:r>
    </w:p>
    <w:p w14:paraId="106D2831" w14:textId="77777777" w:rsidR="003F53AB" w:rsidRDefault="00000000">
      <w:pPr>
        <w:pStyle w:val="Compact"/>
        <w:numPr>
          <w:ilvl w:val="0"/>
          <w:numId w:val="2"/>
        </w:numPr>
      </w:pPr>
      <w:r>
        <w:rPr>
          <w:b/>
          <w:bCs/>
        </w:rPr>
        <w:t>AI Workforce Training Act (H.R. 7576)</w:t>
      </w:r>
      <w:r>
        <w:t xml:space="preserve"> – Bipartisan bill, 30% tax credit up to $2,500/employee for AI training. Starting 2026. (</w:t>
      </w:r>
      <w:hyperlink r:id="rId10">
        <w:r>
          <w:rPr>
            <w:rStyle w:val="Hyperlink"/>
          </w:rPr>
          <w:t>congress.gov</w:t>
        </w:r>
      </w:hyperlink>
      <w:r>
        <w:t>)</w:t>
      </w:r>
    </w:p>
    <w:p w14:paraId="46AB9227" w14:textId="77777777" w:rsidR="003F53AB" w:rsidRDefault="00000000">
      <w:pPr>
        <w:pStyle w:val="Compact"/>
        <w:numPr>
          <w:ilvl w:val="0"/>
          <w:numId w:val="2"/>
        </w:numPr>
      </w:pPr>
      <w:r>
        <w:rPr>
          <w:b/>
          <w:bCs/>
        </w:rPr>
        <w:t>Federal Merit Hiring Plan</w:t>
      </w:r>
      <w:r>
        <w:t xml:space="preserve"> – Agencies prohibited from using degrees as a knock-out factor if skills can be demonstrated. Creates direct demand for skill certifications.</w:t>
      </w:r>
    </w:p>
    <w:p w14:paraId="3F12BE68" w14:textId="77777777" w:rsidR="003F53AB" w:rsidRDefault="00000000">
      <w:pPr>
        <w:pStyle w:val="Compact"/>
        <w:numPr>
          <w:ilvl w:val="0"/>
          <w:numId w:val="2"/>
        </w:numPr>
      </w:pPr>
      <w:r>
        <w:rPr>
          <w:b/>
          <w:bCs/>
        </w:rPr>
        <w:t>DOL encouraged states/localities to use WIOA funds for AI workforce development</w:t>
      </w:r>
      <w:r>
        <w:t xml:space="preserve"> (Sep 2025). (</w:t>
      </w:r>
      <w:hyperlink r:id="rId11">
        <w:r>
          <w:rPr>
            <w:rStyle w:val="Hyperlink"/>
          </w:rPr>
          <w:t>naco.org</w:t>
        </w:r>
      </w:hyperlink>
      <w:r>
        <w:t>)</w:t>
      </w:r>
    </w:p>
    <w:p w14:paraId="4D1F6642" w14:textId="77777777" w:rsidR="003F53AB" w:rsidRDefault="00000000">
      <w:pPr>
        <w:pStyle w:val="Heading3"/>
      </w:pPr>
      <w:bookmarkStart w:id="5" w:name="Xbf4e47140545038f578ebace7c36f23b5baab5e"/>
      <w:bookmarkEnd w:id="4"/>
      <w:r>
        <w:t>State-Level Mandates and Funding (7 examples)</w:t>
      </w:r>
    </w:p>
    <w:p w14:paraId="48A2E0F2" w14:textId="77777777" w:rsidR="003F53AB" w:rsidRDefault="00000000">
      <w:pPr>
        <w:numPr>
          <w:ilvl w:val="0"/>
          <w:numId w:val="3"/>
        </w:numPr>
      </w:pPr>
      <w:r>
        <w:rPr>
          <w:b/>
          <w:bCs/>
        </w:rPr>
        <w:t>Ohio</w:t>
      </w:r>
      <w:r>
        <w:t xml:space="preserve"> – Law requires every public K-12 district to adopt a formal AI policy by July 1, 2026. State Dept. of Education and Workforce released a model policy. ~3,500 districts now need AI literacy tools and assessments. (</w:t>
      </w:r>
      <w:hyperlink r:id="rId12">
        <w:r>
          <w:rPr>
            <w:rStyle w:val="Hyperlink"/>
          </w:rPr>
          <w:t>education.ohio.gov</w:t>
        </w:r>
      </w:hyperlink>
      <w:r>
        <w:t>)</w:t>
      </w:r>
    </w:p>
    <w:p w14:paraId="2B9C7E21" w14:textId="77777777" w:rsidR="003F53AB" w:rsidRDefault="00000000">
      <w:pPr>
        <w:numPr>
          <w:ilvl w:val="0"/>
          <w:numId w:val="3"/>
        </w:numPr>
      </w:pPr>
      <w:r>
        <w:rPr>
          <w:b/>
          <w:bCs/>
        </w:rPr>
        <w:t>California</w:t>
      </w:r>
      <w:r>
        <w:t xml:space="preserve"> – AB 2876 (signed) requires AI literacy to be incorporated into math, science, and social science curriculum frameworks. AB 2487 (2025-26 session) directs community colleges to integrate AI literacy with a pilot program. California Education Learning Lab launched AI Challenge grants for public higher ed. (</w:t>
      </w:r>
      <w:hyperlink r:id="rId13">
        <w:r>
          <w:rPr>
            <w:rStyle w:val="Hyperlink"/>
          </w:rPr>
          <w:t>leginfo.legislature.ca.gov</w:t>
        </w:r>
      </w:hyperlink>
      <w:r>
        <w:t>)</w:t>
      </w:r>
    </w:p>
    <w:p w14:paraId="2D9F8624" w14:textId="77777777" w:rsidR="003F53AB" w:rsidRDefault="00000000">
      <w:pPr>
        <w:numPr>
          <w:ilvl w:val="0"/>
          <w:numId w:val="3"/>
        </w:numPr>
      </w:pPr>
      <w:r>
        <w:rPr>
          <w:b/>
          <w:bCs/>
        </w:rPr>
        <w:t>New York</w:t>
      </w:r>
      <w:r>
        <w:t xml:space="preserve"> – S7691 establishes an “AI Literacy Digital Equity Competitive Grant Program.” A7029 directs the Board of Regents to develop age-appropriate AI literacy content for every grade level, including assessment of student AI literacy competencies. NYC Public Schools (1.1M students) has a four-phase AI implementation plan running through June 2026. (</w:t>
      </w:r>
      <w:hyperlink r:id="rId14">
        <w:r>
          <w:rPr>
            <w:rStyle w:val="Hyperlink"/>
          </w:rPr>
          <w:t>nysenate.gov</w:t>
        </w:r>
      </w:hyperlink>
      <w:r>
        <w:t>)</w:t>
      </w:r>
    </w:p>
    <w:p w14:paraId="5BE9D7DC" w14:textId="77777777" w:rsidR="003F53AB" w:rsidRDefault="00000000">
      <w:pPr>
        <w:numPr>
          <w:ilvl w:val="0"/>
          <w:numId w:val="3"/>
        </w:numPr>
      </w:pPr>
      <w:r>
        <w:rPr>
          <w:b/>
          <w:bCs/>
        </w:rPr>
        <w:t>Tennessee</w:t>
      </w:r>
      <w:r>
        <w:t xml:space="preserve"> – SB 1711 (signed) required all public and charter school boards to establish AI policies. HB 531 would require the Dept. of Education to issue guidance on age-appropriate AI instruction and mandate curriculum integration with professional development. (</w:t>
      </w:r>
      <w:hyperlink r:id="rId15">
        <w:r>
          <w:rPr>
            <w:rStyle w:val="Hyperlink"/>
          </w:rPr>
          <w:t>govtech.com</w:t>
        </w:r>
      </w:hyperlink>
      <w:r>
        <w:t>)</w:t>
      </w:r>
    </w:p>
    <w:p w14:paraId="350B0962" w14:textId="77777777" w:rsidR="003F53AB" w:rsidRDefault="00000000">
      <w:pPr>
        <w:numPr>
          <w:ilvl w:val="0"/>
          <w:numId w:val="3"/>
        </w:numPr>
      </w:pPr>
      <w:r>
        <w:rPr>
          <w:b/>
          <w:bCs/>
        </w:rPr>
        <w:t>Alabama &amp; Georgia</w:t>
      </w:r>
      <w:r>
        <w:t xml:space="preserve"> – HB 332 (AL) and HB 487/SB 249 (GA) would embed AI concepts into graduation requirements through computer science education. These are graduation requirements, not electives. (</w:t>
      </w:r>
      <w:hyperlink r:id="rId16">
        <w:r>
          <w:rPr>
            <w:rStyle w:val="Hyperlink"/>
          </w:rPr>
          <w:t>ecs.org</w:t>
        </w:r>
      </w:hyperlink>
      <w:r>
        <w:t>)</w:t>
      </w:r>
    </w:p>
    <w:p w14:paraId="0373D51D" w14:textId="77777777" w:rsidR="003F53AB" w:rsidRDefault="00000000">
      <w:pPr>
        <w:numPr>
          <w:ilvl w:val="0"/>
          <w:numId w:val="3"/>
        </w:numPr>
      </w:pPr>
      <w:r>
        <w:rPr>
          <w:b/>
          <w:bCs/>
        </w:rPr>
        <w:t>Virginia</w:t>
      </w:r>
      <w:r>
        <w:t xml:space="preserve"> – SB 394 establishes a pilot program for practical AI use in public K-12, running through July 2030. SCHEV launched a Fund for Excellence and Innovation focused on “preparing students learning and working in an AI-forward world.” (</w:t>
      </w:r>
      <w:hyperlink r:id="rId17">
        <w:r>
          <w:rPr>
            <w:rStyle w:val="Hyperlink"/>
          </w:rPr>
          <w:t>schev.edu</w:t>
        </w:r>
      </w:hyperlink>
      <w:r>
        <w:t>)</w:t>
      </w:r>
    </w:p>
    <w:p w14:paraId="0DC36B37" w14:textId="77777777" w:rsidR="003F53AB" w:rsidRDefault="00000000">
      <w:pPr>
        <w:numPr>
          <w:ilvl w:val="0"/>
          <w:numId w:val="3"/>
        </w:numPr>
      </w:pPr>
      <w:r>
        <w:rPr>
          <w:b/>
          <w:bCs/>
        </w:rPr>
        <w:t>New Jersey</w:t>
      </w:r>
      <w:r>
        <w:t xml:space="preserve"> – Active state-funded “Artificial Intelligence Innovation in Education” competitive grant program (FY25 appropriation). (</w:t>
      </w:r>
      <w:hyperlink r:id="rId18">
        <w:r>
          <w:rPr>
            <w:rStyle w:val="Hyperlink"/>
          </w:rPr>
          <w:t>nj.gov</w:t>
        </w:r>
      </w:hyperlink>
      <w:r>
        <w:t>)</w:t>
      </w:r>
    </w:p>
    <w:p w14:paraId="1CF4E0DE" w14:textId="77777777" w:rsidR="003F53AB" w:rsidRDefault="00000000">
      <w:pPr>
        <w:pStyle w:val="FirstParagraph"/>
      </w:pPr>
      <w:r>
        <w:rPr>
          <w:b/>
          <w:bCs/>
        </w:rPr>
        <w:t>Plus:</w:t>
      </w:r>
      <w:r>
        <w:t xml:space="preserve"> Wisconsin awarded $7.3M for WisTRAIN workforce training grants covering AI sectors (applications open May 2026). 28+ states have published official AI guidance for K-12.</w:t>
      </w:r>
    </w:p>
    <w:p w14:paraId="79636DDA" w14:textId="77777777" w:rsidR="003F53AB" w:rsidRDefault="00000000">
      <w:pPr>
        <w:pStyle w:val="Heading3"/>
      </w:pPr>
      <w:bookmarkStart w:id="6" w:name="value-prop-for-districtsschools"/>
      <w:bookmarkEnd w:id="5"/>
      <w:r>
        <w:lastRenderedPageBreak/>
        <w:t>Value Prop for Districts/Schools</w:t>
      </w:r>
    </w:p>
    <w:p w14:paraId="767A2FCA" w14:textId="08F7CD60" w:rsidR="003F53AB" w:rsidRDefault="00000000">
      <w:pPr>
        <w:pStyle w:val="FirstParagraph"/>
      </w:pPr>
      <w:r>
        <w:t xml:space="preserve">Students need a portable, psychometrically validated credential that proves AI literacy – not a completion certificate from a free platform. At $10-20/student, Certify.ai is cheaper than most textbook supplements and comes with a credential </w:t>
      </w:r>
      <w:r w:rsidR="00476EFB">
        <w:t xml:space="preserve">(and demonstrable skills in the form of a portfolio of work product) </w:t>
      </w:r>
      <w:r>
        <w:t xml:space="preserve">that means something to colleges and employers. State ed agencies and workforce boards are the buyers; </w:t>
      </w:r>
      <w:r w:rsidR="00476EFB">
        <w:t xml:space="preserve">existing and coming </w:t>
      </w:r>
      <w:r>
        <w:t>federal dollars (WIOA, Perkins, NSF, Workforce Pell)</w:t>
      </w:r>
      <w:r w:rsidR="00476EFB">
        <w:t xml:space="preserve"> and state appropriations</w:t>
      </w:r>
      <w:r>
        <w:t xml:space="preserve"> are the funding </w:t>
      </w:r>
      <w:proofErr w:type="gramStart"/>
      <w:r>
        <w:t>mechanism</w:t>
      </w:r>
      <w:proofErr w:type="gramEnd"/>
      <w:r>
        <w:t>.</w:t>
      </w:r>
    </w:p>
    <w:p w14:paraId="4888524A" w14:textId="77777777" w:rsidR="003F53AB" w:rsidRDefault="00000000">
      <w:pPr>
        <w:pStyle w:val="Heading3"/>
      </w:pPr>
      <w:bookmarkStart w:id="7" w:name="international-context-secondary"/>
      <w:bookmarkEnd w:id="6"/>
      <w:r>
        <w:t>International Context (secondary)</w:t>
      </w:r>
    </w:p>
    <w:p w14:paraId="30C9CF1B" w14:textId="77777777" w:rsidR="003F53AB" w:rsidRDefault="00000000">
      <w:pPr>
        <w:pStyle w:val="FirstParagraph"/>
      </w:pPr>
      <w:r>
        <w:t>The EU AI Act Article 4 created a legal obligation for AI literacy training across every organization deploying AI in Europe (effective Feb 2, 2025; civil liability Aug 2, 2025). This is driving global employer demand and reinforces the US trajectory.</w:t>
      </w:r>
    </w:p>
    <w:p w14:paraId="491AF9B4" w14:textId="77777777" w:rsidR="003F53AB" w:rsidRDefault="00000000">
      <w:r>
        <w:pict w14:anchorId="537EDA01">
          <v:rect id="_x0000_i1062" style="width:0;height:1.5pt" o:hralign="center" o:hrstd="t" o:hr="t"/>
        </w:pict>
      </w:r>
    </w:p>
    <w:p w14:paraId="2AEA3F64" w14:textId="77777777" w:rsidR="003F53AB" w:rsidRDefault="00000000">
      <w:pPr>
        <w:pStyle w:val="Heading2"/>
      </w:pPr>
      <w:bookmarkStart w:id="8" w:name="concern-3-no-mvp"/>
      <w:bookmarkEnd w:id="3"/>
      <w:bookmarkEnd w:id="7"/>
      <w:r>
        <w:t>Concern 3: No MVP</w:t>
      </w:r>
    </w:p>
    <w:p w14:paraId="778EA05D" w14:textId="77777777" w:rsidR="003F53AB" w:rsidRDefault="00000000">
      <w:pPr>
        <w:pStyle w:val="FirstParagraph"/>
      </w:pPr>
      <w:r>
        <w:rPr>
          <w:b/>
          <w:bCs/>
        </w:rPr>
        <w:t>Marc’s concern:</w:t>
      </w:r>
      <w:r>
        <w:t xml:space="preserve"> “Without an MVP at this juncture, we would need to see a bit more on the product vision and the user experience that would make it unique in a crowded marketplace.”</w:t>
      </w:r>
    </w:p>
    <w:p w14:paraId="35AB031A" w14:textId="77777777" w:rsidR="003F53AB" w:rsidRDefault="00000000">
      <w:pPr>
        <w:pStyle w:val="BodyText"/>
      </w:pPr>
      <w:r>
        <w:rPr>
          <w:b/>
          <w:bCs/>
        </w:rPr>
        <w:t>Answer:</w:t>
      </w:r>
    </w:p>
    <w:p w14:paraId="7CA2C4E6" w14:textId="24B3D223" w:rsidR="003F53AB" w:rsidRDefault="00000000">
      <w:pPr>
        <w:pStyle w:val="BodyText"/>
      </w:pPr>
      <w:r>
        <w:t xml:space="preserve">Certify.ai </w:t>
      </w:r>
      <w:r w:rsidR="00476EFB">
        <w:t xml:space="preserve">can </w:t>
      </w:r>
      <w:proofErr w:type="gramStart"/>
      <w:r w:rsidR="00476EFB">
        <w:t>demo</w:t>
      </w:r>
      <w:proofErr w:type="gramEnd"/>
      <w:r w:rsidR="00476EFB">
        <w:t xml:space="preserve"> the</w:t>
      </w:r>
      <w:r>
        <w:t xml:space="preserve"> platform and training content for the labs.</w:t>
      </w:r>
    </w:p>
    <w:p w14:paraId="0B689E33" w14:textId="793F5EA2" w:rsidR="003F53AB" w:rsidRDefault="00000000">
      <w:pPr>
        <w:pStyle w:val="BodyText"/>
      </w:pPr>
      <w:r>
        <w:t xml:space="preserve">The </w:t>
      </w:r>
      <w:r w:rsidR="00476EFB">
        <w:t>continuous</w:t>
      </w:r>
      <w:r>
        <w:t xml:space="preserve"> assessment architecture developed internally at ETS</w:t>
      </w:r>
      <w:r w:rsidR="00476EFB">
        <w:t xml:space="preserve"> is also an asset</w:t>
      </w:r>
      <w:r>
        <w:t xml:space="preserve">. Certify.ai doesn’t need to replicate it – it licenses it. This </w:t>
      </w:r>
      <w:r w:rsidR="00476EFB">
        <w:t>could be</w:t>
      </w:r>
      <w:r>
        <w:t xml:space="preserve"> another </w:t>
      </w:r>
      <w:proofErr w:type="gramStart"/>
      <w:r>
        <w:t>services engagement</w:t>
      </w:r>
      <w:proofErr w:type="gramEnd"/>
      <w:r>
        <w:t>: ETS gets paid to provide the psychometric engine, and Certify.ai becomes a live test bed for the future of AI-native assessment delivery. ETS gets revenue AND a proving ground for its next-generation assessment capabilities in a real market with real users. That’s a better return than an internal R&amp;D budget line.</w:t>
      </w:r>
    </w:p>
    <w:p w14:paraId="4789BAB5" w14:textId="77777777" w:rsidR="003F53AB" w:rsidRDefault="00000000">
      <w:pPr>
        <w:pStyle w:val="BodyText"/>
      </w:pPr>
      <w:r>
        <w:t>The full product stack is: training content (gets people ready), hands-on lab environments (gives them practice), and psychometrically validated assessment (certifies what they actually know). Nobody else has all three backed by real measurement science.</w:t>
      </w:r>
    </w:p>
    <w:p w14:paraId="09CC83BB" w14:textId="149E6D1A" w:rsidR="003F53AB" w:rsidRDefault="00000000">
      <w:pPr>
        <w:pStyle w:val="BodyText"/>
      </w:pPr>
      <w:r>
        <w:t>The crowded marketplace actually helps: everyone else offers content with a completion badge. We offer content, labs</w:t>
      </w:r>
      <w:r w:rsidR="00476EFB">
        <w:t xml:space="preserve"> (work product proof)</w:t>
      </w:r>
      <w:r>
        <w:t>, AND a defensible credential. A quiz is not an assessment. The credential is the moat.</w:t>
      </w:r>
    </w:p>
    <w:p w14:paraId="6E03F0B2" w14:textId="77777777" w:rsidR="003F53AB" w:rsidRDefault="00000000">
      <w:r>
        <w:pict w14:anchorId="447E42C3">
          <v:rect id="_x0000_i1063" style="width:0;height:1.5pt" o:hralign="center" o:hrstd="t" o:hr="t"/>
        </w:pict>
      </w:r>
    </w:p>
    <w:p w14:paraId="2835D048" w14:textId="77777777" w:rsidR="003F53AB" w:rsidRDefault="00000000">
      <w:pPr>
        <w:pStyle w:val="Heading2"/>
      </w:pPr>
      <w:bookmarkStart w:id="9" w:name="X7db5008ebc507d0bc83771af7a5fb76667433b2"/>
      <w:bookmarkEnd w:id="8"/>
      <w:r>
        <w:t>Concern 4: Differentiation vs Code.org / Khan Academy / Coursera</w:t>
      </w:r>
    </w:p>
    <w:p w14:paraId="3384181F" w14:textId="77777777" w:rsidR="003F53AB" w:rsidRDefault="00000000">
      <w:pPr>
        <w:pStyle w:val="FirstParagraph"/>
      </w:pPr>
      <w:r>
        <w:rPr>
          <w:b/>
          <w:bCs/>
        </w:rPr>
        <w:t>Marc’s concern:</w:t>
      </w:r>
      <w:r>
        <w:t xml:space="preserve"> “Differentiation is going to be critical when we are going against organization such as code.org, Khan Academy as well as others such as Coursera that are offering lots of AI training content that students are already using.”</w:t>
      </w:r>
    </w:p>
    <w:p w14:paraId="6D9E3F6A" w14:textId="77777777" w:rsidR="003F53AB" w:rsidRDefault="00000000">
      <w:pPr>
        <w:pStyle w:val="BodyText"/>
      </w:pPr>
      <w:r>
        <w:rPr>
          <w:b/>
          <w:bCs/>
        </w:rPr>
        <w:lastRenderedPageBreak/>
        <w:t>Answer:</w:t>
      </w:r>
    </w:p>
    <w:p w14:paraId="6AF3C3C2" w14:textId="77777777" w:rsidR="003F53AB" w:rsidRDefault="00000000">
      <w:pPr>
        <w:pStyle w:val="BodyText"/>
      </w:pPr>
      <w:r>
        <w:t>They teach. We certify. Different business, different buyer, different revenue model.</w:t>
      </w:r>
    </w:p>
    <w:p w14:paraId="24A9EC3A" w14:textId="77777777" w:rsidR="003F53AB" w:rsidRDefault="00000000">
      <w:pPr>
        <w:pStyle w:val="Compact"/>
        <w:numPr>
          <w:ilvl w:val="0"/>
          <w:numId w:val="4"/>
        </w:numPr>
      </w:pPr>
      <w:r>
        <w:rPr>
          <w:b/>
          <w:bCs/>
        </w:rPr>
        <w:t>Code.org</w:t>
      </w:r>
      <w:r>
        <w:t xml:space="preserve"> – Free AI curriculum for K-12. No assessment, no credential. Their mission is access to CS education. They need someone to certify what their students learned.</w:t>
      </w:r>
    </w:p>
    <w:p w14:paraId="25D84590" w14:textId="77777777" w:rsidR="003F53AB" w:rsidRDefault="00000000">
      <w:pPr>
        <w:pStyle w:val="Compact"/>
        <w:numPr>
          <w:ilvl w:val="0"/>
          <w:numId w:val="4"/>
        </w:numPr>
      </w:pPr>
      <w:r>
        <w:rPr>
          <w:b/>
          <w:bCs/>
        </w:rPr>
        <w:t>Khan Academy</w:t>
      </w:r>
      <w:r>
        <w:t xml:space="preserve"> – Free AI content and Khanmigo tutoring. No certification product. They build skills; we validate them.</w:t>
      </w:r>
    </w:p>
    <w:p w14:paraId="74F16CA4" w14:textId="77777777" w:rsidR="003F53AB" w:rsidRDefault="00000000">
      <w:pPr>
        <w:pStyle w:val="Compact"/>
        <w:numPr>
          <w:ilvl w:val="0"/>
          <w:numId w:val="4"/>
        </w:numPr>
      </w:pPr>
      <w:r>
        <w:rPr>
          <w:b/>
          <w:bCs/>
        </w:rPr>
        <w:t>Coursera</w:t>
      </w:r>
      <w:r>
        <w:t xml:space="preserve"> – Completion certificates with no psychometric backing. A Coursera certificate says you finished a course. A Certify.ai credential says you demonstrated measurable competency against a validated framework aligned to the DOL standard.</w:t>
      </w:r>
    </w:p>
    <w:p w14:paraId="6CE1CCC8" w14:textId="77777777" w:rsidR="003F53AB" w:rsidRDefault="00000000">
      <w:pPr>
        <w:pStyle w:val="FirstParagraph"/>
      </w:pPr>
      <w:r>
        <w:t>None of these organizations do assessment. That’s not a gap in their strategy – it’s not what they do. ETS does assessment.</w:t>
      </w:r>
    </w:p>
    <w:p w14:paraId="2D7A0294" w14:textId="5FC3C67E" w:rsidR="003F53AB" w:rsidRDefault="00000000">
      <w:pPr>
        <w:pStyle w:val="BodyText"/>
      </w:pPr>
      <w:r>
        <w:rPr>
          <w:b/>
          <w:bCs/>
        </w:rPr>
        <w:t>The structural argument:</w:t>
      </w:r>
      <w:r>
        <w:t xml:space="preserve"> ETS cannot credibly deliver the training content AND the assessment. That’s a conflict of interest – the same organization teaching and certifying undermines the credential’s independence. </w:t>
      </w:r>
    </w:p>
    <w:p w14:paraId="3CC1AD3A" w14:textId="477B8056" w:rsidR="003F53AB" w:rsidRDefault="00000000">
      <w:pPr>
        <w:pStyle w:val="BodyText"/>
      </w:pPr>
      <w:r>
        <w:t>Certify.ai delivers all three (content, labs, credential), but the assessment component is validated by ETS as an independent psychometric authority. The training arm and the assessment arm have structural separation. That’s what makes the credential defensible</w:t>
      </w:r>
      <w:r w:rsidR="00476EFB">
        <w:t xml:space="preserve"> and</w:t>
      </w:r>
      <w:r>
        <w:t xml:space="preserve"> worth something to employers, colleges, regulators</w:t>
      </w:r>
      <w:r w:rsidR="00476EFB">
        <w:t>, etc</w:t>
      </w:r>
      <w:r>
        <w:t>.</w:t>
      </w:r>
    </w:p>
    <w:p w14:paraId="6D1F4C28" w14:textId="77777777" w:rsidR="003F53AB" w:rsidRDefault="00000000">
      <w:pPr>
        <w:pStyle w:val="BodyText"/>
      </w:pPr>
      <w:r>
        <w:t>This is Certify.ai’s reason for existing as a separate entity. It’s not a workaround – it’s the only architecture that works.</w:t>
      </w:r>
    </w:p>
    <w:p w14:paraId="64B97C50" w14:textId="77777777" w:rsidR="003F53AB" w:rsidRDefault="00000000">
      <w:pPr>
        <w:pStyle w:val="BodyText"/>
      </w:pPr>
      <w:r>
        <w:rPr>
          <w:b/>
          <w:bCs/>
        </w:rPr>
        <w:t>The competitive risk</w:t>
      </w:r>
      <w:r>
        <w:t xml:space="preserve"> isn’t Code.org or Khan. It’s that someone else partners with a different assessment provider first. EC-Council launched an AI literacy certification (AIE) in February 2026. The window to be the ETS-backed standard is open now, but it won’t stay open.</w:t>
      </w:r>
    </w:p>
    <w:p w14:paraId="3AE2E48D" w14:textId="7BA12823" w:rsidR="003F53AB" w:rsidRDefault="00000000">
      <w:pPr>
        <w:pStyle w:val="BodyText"/>
      </w:pPr>
      <w:r>
        <w:t xml:space="preserve">Code.org and Khan are distribution partners, not competitors. Their installed base </w:t>
      </w:r>
      <w:r w:rsidR="00476EFB">
        <w:t>could be a component of</w:t>
      </w:r>
      <w:r>
        <w:t xml:space="preserve"> our addressable market.</w:t>
      </w:r>
    </w:p>
    <w:p w14:paraId="2D66C6BF" w14:textId="77777777" w:rsidR="003F53AB" w:rsidRDefault="00000000">
      <w:r>
        <w:pict w14:anchorId="3AD409FB">
          <v:rect id="_x0000_i1064" style="width:0;height:1.5pt" o:hralign="center" o:hrstd="t" o:hr="t"/>
        </w:pict>
      </w:r>
    </w:p>
    <w:p w14:paraId="5AE358D7" w14:textId="77777777" w:rsidR="003F53AB" w:rsidRDefault="00000000">
      <w:pPr>
        <w:pStyle w:val="Heading2"/>
      </w:pPr>
      <w:bookmarkStart w:id="10" w:name="Xe567eea3b8a4b532e7203495ee6a75a6a256b79"/>
      <w:bookmarkEnd w:id="9"/>
      <w:r>
        <w:t>Concern 5: Pricing, Psychometric Rigor, and Shelf-Life</w:t>
      </w:r>
    </w:p>
    <w:p w14:paraId="5ED40692" w14:textId="77777777" w:rsidR="003F53AB" w:rsidRDefault="00000000">
      <w:pPr>
        <w:pStyle w:val="FirstParagraph"/>
      </w:pPr>
      <w:r>
        <w:rPr>
          <w:b/>
          <w:bCs/>
        </w:rPr>
        <w:t>Marc’s concern:</w:t>
      </w:r>
      <w:r>
        <w:t xml:space="preserve"> “We also want to go deeper in the key assumptions (especially pricing and the level of psychometric rigor required) including an understanding the certification’s shelf-life, which may be short given the pace of AI change.”</w:t>
      </w:r>
    </w:p>
    <w:p w14:paraId="070D0069" w14:textId="77777777" w:rsidR="003F53AB" w:rsidRDefault="00000000">
      <w:pPr>
        <w:pStyle w:val="BodyText"/>
      </w:pPr>
      <w:r>
        <w:rPr>
          <w:b/>
          <w:bCs/>
        </w:rPr>
        <w:t>Answer:</w:t>
      </w:r>
    </w:p>
    <w:p w14:paraId="18D568CE" w14:textId="77777777" w:rsidR="003F53AB" w:rsidRDefault="00000000">
      <w:pPr>
        <w:pStyle w:val="Heading3"/>
      </w:pPr>
      <w:bookmarkStart w:id="11" w:name="shelf-life"/>
      <w:r>
        <w:t>Shelf-Life</w:t>
      </w:r>
    </w:p>
    <w:p w14:paraId="4E226434" w14:textId="77777777" w:rsidR="003F53AB" w:rsidRDefault="00000000">
      <w:pPr>
        <w:pStyle w:val="FirstParagraph"/>
      </w:pPr>
      <w:r>
        <w:t>Shelf-life is a feature of the design, not a risk. The certification is built around the reality that AI literacy is a moving target. But the answer isn’t “take the whole test again every year.”</w:t>
      </w:r>
    </w:p>
    <w:p w14:paraId="186AEFAB" w14:textId="77777777" w:rsidR="003F53AB" w:rsidRDefault="00000000">
      <w:pPr>
        <w:pStyle w:val="BodyText"/>
      </w:pPr>
      <w:r>
        <w:lastRenderedPageBreak/>
        <w:t>It’s a lifecycle credentialing model that meets people where they are:</w:t>
      </w:r>
    </w:p>
    <w:p w14:paraId="59791F41" w14:textId="2A8E3D4C" w:rsidR="003F53AB" w:rsidRDefault="00000000">
      <w:pPr>
        <w:pStyle w:val="Compact"/>
        <w:numPr>
          <w:ilvl w:val="0"/>
          <w:numId w:val="5"/>
        </w:numPr>
      </w:pPr>
      <w:r>
        <w:rPr>
          <w:b/>
          <w:bCs/>
        </w:rPr>
        <w:t>K-12 students:</w:t>
      </w:r>
      <w:r>
        <w:t xml:space="preserve"> Certify once </w:t>
      </w:r>
      <w:r w:rsidR="00476EFB">
        <w:t xml:space="preserve">going into high school and once </w:t>
      </w:r>
      <w:r>
        <w:t>at the end of high school. That credential travels with them into college admissions and early career.</w:t>
      </w:r>
    </w:p>
    <w:p w14:paraId="16B0D9EE" w14:textId="3F9C90AA" w:rsidR="003F53AB" w:rsidRDefault="00000000">
      <w:pPr>
        <w:pStyle w:val="Compact"/>
        <w:numPr>
          <w:ilvl w:val="0"/>
          <w:numId w:val="5"/>
        </w:numPr>
      </w:pPr>
      <w:r>
        <w:rPr>
          <w:b/>
          <w:bCs/>
        </w:rPr>
        <w:t>College students:</w:t>
      </w:r>
      <w:r>
        <w:t xml:space="preserve"> Recertify at graduation – demonstrating growth from baseline AI literacy to applied competency in their</w:t>
      </w:r>
      <w:r w:rsidR="00476EFB">
        <w:t xml:space="preserve"> chosen</w:t>
      </w:r>
      <w:r>
        <w:t xml:space="preserve"> field.</w:t>
      </w:r>
    </w:p>
    <w:p w14:paraId="19A546B8" w14:textId="77777777" w:rsidR="003F53AB" w:rsidRDefault="00000000">
      <w:pPr>
        <w:pStyle w:val="Compact"/>
        <w:numPr>
          <w:ilvl w:val="0"/>
          <w:numId w:val="5"/>
        </w:numPr>
      </w:pPr>
      <w:r>
        <w:rPr>
          <w:b/>
          <w:bCs/>
        </w:rPr>
        <w:t>Professionals:</w:t>
      </w:r>
      <w:r>
        <w:t xml:space="preserve"> Recertification interval driven by the credential consumer. Employers requiring compliance get the interval they need; others may be on a longer cycle.</w:t>
      </w:r>
    </w:p>
    <w:p w14:paraId="7496D0B7" w14:textId="77777777" w:rsidR="003F53AB" w:rsidRDefault="00000000">
      <w:pPr>
        <w:pStyle w:val="FirstParagraph"/>
      </w:pPr>
      <w:r>
        <w:t>The design principle: recertification doesn’t mean sitting for 100% of a new assessment every time. The roadmap is continuous recertification through labs and “new tool” practice offerings – free for existing credential holders. As someone engages with new AI capabilities through the platform, their credential stays current. The assessment validates; ongoing engagement maintains.</w:t>
      </w:r>
    </w:p>
    <w:p w14:paraId="58D1EE72" w14:textId="77777777" w:rsidR="003F53AB" w:rsidRPr="00476EFB" w:rsidRDefault="00000000">
      <w:pPr>
        <w:pStyle w:val="BodyText"/>
        <w:rPr>
          <w:b/>
          <w:bCs/>
        </w:rPr>
      </w:pPr>
      <w:r w:rsidRPr="00476EFB">
        <w:rPr>
          <w:b/>
          <w:bCs/>
        </w:rPr>
        <w:t>For now, the starting point is a one-time assessment with recertification at appropriate transition points or intervals depending on who consumes the credential. That’s buildable today. The continuous maintenance model is the roadmap.</w:t>
      </w:r>
    </w:p>
    <w:p w14:paraId="08B56FE6" w14:textId="77777777" w:rsidR="003F53AB" w:rsidRDefault="00000000">
      <w:pPr>
        <w:pStyle w:val="Heading3"/>
      </w:pPr>
      <w:bookmarkStart w:id="12" w:name="pricing"/>
      <w:bookmarkEnd w:id="11"/>
      <w:r>
        <w:t>Pricing</w:t>
      </w:r>
    </w:p>
    <w:p w14:paraId="4E2CE8FC" w14:textId="77777777" w:rsidR="004B5B30" w:rsidRDefault="004B5B30" w:rsidP="004B5B30">
      <w:pPr>
        <w:pStyle w:val="Compact"/>
        <w:numPr>
          <w:ilvl w:val="0"/>
          <w:numId w:val="6"/>
        </w:numPr>
      </w:pPr>
      <w:r w:rsidRPr="004B5B30">
        <w:rPr>
          <w:b/>
          <w:bCs/>
        </w:rPr>
        <w:t>Educator (</w:t>
      </w:r>
      <w:r>
        <w:rPr>
          <w:b/>
          <w:bCs/>
        </w:rPr>
        <w:t>B2C and B2B</w:t>
      </w:r>
      <w:r w:rsidRPr="004B5B30">
        <w:rPr>
          <w:b/>
          <w:bCs/>
        </w:rPr>
        <w:t>)</w:t>
      </w:r>
      <w:r>
        <w:t xml:space="preserve">: $50-150/educator. Individual teachers and administrators </w:t>
      </w:r>
      <w:proofErr w:type="gramStart"/>
      <w:r>
        <w:t>purchasing</w:t>
      </w:r>
      <w:proofErr w:type="gramEnd"/>
      <w:r>
        <w:t xml:space="preserve"> directly through the Certify.ai (http://certify.ai/) platform. The $150 full certification exam is the flagship; the $50 supplemental certification and $50-150 study guide/content tiers create an accessible </w:t>
      </w:r>
      <w:proofErr w:type="gramStart"/>
      <w:r>
        <w:t>on-ramp</w:t>
      </w:r>
      <w:proofErr w:type="gramEnd"/>
      <w:r>
        <w:t xml:space="preserve">. School districts can also purchase in bulk for professional development -- funded through Title II, state PD budgets, or district discretionary. </w:t>
      </w:r>
    </w:p>
    <w:p w14:paraId="138FC663" w14:textId="78584342" w:rsidR="003F53AB" w:rsidRDefault="00000000">
      <w:pPr>
        <w:pStyle w:val="Compact"/>
        <w:numPr>
          <w:ilvl w:val="0"/>
          <w:numId w:val="6"/>
        </w:numPr>
      </w:pPr>
      <w:r>
        <w:rPr>
          <w:b/>
          <w:bCs/>
        </w:rPr>
        <w:t xml:space="preserve">K-12 / </w:t>
      </w:r>
      <w:r w:rsidR="004B5B30">
        <w:rPr>
          <w:b/>
          <w:bCs/>
        </w:rPr>
        <w:t xml:space="preserve">Emerging </w:t>
      </w:r>
      <w:r>
        <w:rPr>
          <w:b/>
          <w:bCs/>
        </w:rPr>
        <w:t>Workforce</w:t>
      </w:r>
      <w:r w:rsidR="004B5B30">
        <w:rPr>
          <w:b/>
          <w:bCs/>
        </w:rPr>
        <w:t xml:space="preserve"> (B2B)</w:t>
      </w:r>
      <w:r>
        <w:rPr>
          <w:b/>
          <w:bCs/>
        </w:rPr>
        <w:t>:</w:t>
      </w:r>
      <w:r>
        <w:t xml:space="preserve"> $10-20/student. State, district, and workforce board buyers using federal funding (WIOA, Perkins, state appropriations, Workforce Pell). At that price, it’s cheaper than most supplemental curriculum and delivers a real credential.</w:t>
      </w:r>
    </w:p>
    <w:p w14:paraId="5D063E2E" w14:textId="3C1E5122" w:rsidR="004B5B30" w:rsidRPr="004B5B30" w:rsidRDefault="004B5B30" w:rsidP="004B5B30">
      <w:pPr>
        <w:pStyle w:val="Compact"/>
        <w:numPr>
          <w:ilvl w:val="0"/>
          <w:numId w:val="6"/>
        </w:numPr>
      </w:pPr>
      <w:r w:rsidRPr="004B5B30">
        <w:rPr>
          <w:b/>
          <w:bCs/>
        </w:rPr>
        <w:t>Higher Education (</w:t>
      </w:r>
      <w:r>
        <w:rPr>
          <w:b/>
          <w:bCs/>
        </w:rPr>
        <w:t>B2B</w:t>
      </w:r>
      <w:r w:rsidRPr="004B5B30">
        <w:rPr>
          <w:b/>
          <w:bCs/>
        </w:rPr>
        <w:t>)</w:t>
      </w:r>
      <w:r>
        <w:t>: $65-100/student. Online class + lab at $100; supplemental material + lab at $65. Institutions purchase through existing assessment procurement channels. Funded through institutional budgets, state higher ed innovation grants (e.g., Virginia SCHEV Fund for Excellence), and starting July 2026, Workforce Pell. Use cases: general education AI literacy requirement, graduation competency verification, PLA credit pathway for credential holders entering degree programs.</w:t>
      </w:r>
    </w:p>
    <w:p w14:paraId="0DBA7AAA" w14:textId="16BFF427" w:rsidR="003F53AB" w:rsidRDefault="00000000">
      <w:pPr>
        <w:pStyle w:val="Compact"/>
        <w:numPr>
          <w:ilvl w:val="0"/>
          <w:numId w:val="6"/>
        </w:numPr>
      </w:pPr>
      <w:r>
        <w:rPr>
          <w:b/>
          <w:bCs/>
        </w:rPr>
        <w:t>Institutional/employer tiers</w:t>
      </w:r>
      <w:r>
        <w:t xml:space="preserve"> are a later conversation once product-market fit and volume are established in K-12/workforce.</w:t>
      </w:r>
    </w:p>
    <w:p w14:paraId="46009629" w14:textId="77777777" w:rsidR="003F53AB" w:rsidRDefault="00000000">
      <w:pPr>
        <w:pStyle w:val="Heading3"/>
      </w:pPr>
      <w:bookmarkStart w:id="13" w:name="psychometric-rigor"/>
      <w:bookmarkEnd w:id="12"/>
      <w:r>
        <w:t>Psychometric Rigor</w:t>
      </w:r>
    </w:p>
    <w:p w14:paraId="1F8D8AE6" w14:textId="77777777" w:rsidR="003F53AB" w:rsidRDefault="00000000">
      <w:pPr>
        <w:pStyle w:val="FirstParagraph"/>
      </w:pPr>
      <w:r>
        <w:t xml:space="preserve">The rigor matches the use case: formative/adaptive for the learning pathway, summative for the credential itself. The prompt-based architecture means updating the assessment construct as AI evolves doesn’t require rebuilding a platform – it requires updating the </w:t>
      </w:r>
      <w:r>
        <w:lastRenderedPageBreak/>
        <w:t>psychometric framework. That’s fast, cost-effective, and something only ETS can do credibly.</w:t>
      </w:r>
    </w:p>
    <w:p w14:paraId="374275D2" w14:textId="77777777" w:rsidR="003F53AB" w:rsidRDefault="00000000">
      <w:r>
        <w:pict w14:anchorId="738FC589">
          <v:rect id="_x0000_i1065" style="width:0;height:1.5pt" o:hralign="center" o:hrstd="t" o:hr="t"/>
        </w:pict>
      </w:r>
    </w:p>
    <w:p w14:paraId="0BAEC199" w14:textId="77777777" w:rsidR="003F53AB" w:rsidRDefault="00000000">
      <w:pPr>
        <w:pStyle w:val="Heading2"/>
      </w:pPr>
      <w:bookmarkStart w:id="14" w:name="the-three-next-steps-all-good"/>
      <w:bookmarkEnd w:id="10"/>
      <w:bookmarkEnd w:id="13"/>
      <w:r>
        <w:t>The Three Next Steps (All Good)</w:t>
      </w:r>
    </w:p>
    <w:p w14:paraId="4A45C8EC" w14:textId="77777777" w:rsidR="003F53AB" w:rsidRDefault="00000000">
      <w:pPr>
        <w:numPr>
          <w:ilvl w:val="0"/>
          <w:numId w:val="7"/>
        </w:numPr>
      </w:pPr>
      <w:r>
        <w:rPr>
          <w:b/>
          <w:bCs/>
        </w:rPr>
        <w:t>Steve meeting</w:t>
      </w:r>
      <w:r>
        <w:t xml:space="preserve"> – Show the prompt-based assessment architecture and the Certify.ai platform demo. Let him see what exists and how ETS’s measurement science commercializes through Certify.ai.</w:t>
      </w:r>
    </w:p>
    <w:p w14:paraId="7239E45E" w14:textId="77777777" w:rsidR="003F53AB" w:rsidRDefault="00000000">
      <w:pPr>
        <w:numPr>
          <w:ilvl w:val="0"/>
          <w:numId w:val="7"/>
        </w:numPr>
      </w:pPr>
      <w:r>
        <w:rPr>
          <w:b/>
          <w:bCs/>
        </w:rPr>
        <w:t>Vince Dean / Praxis</w:t>
      </w:r>
      <w:r>
        <w:t xml:space="preserve"> – The operational starting point. Praxis as distribution infrastructure, current AI assessment approaches, and the rigor/scalability framework for Certify.ai’s credential.</w:t>
      </w:r>
    </w:p>
    <w:p w14:paraId="31FAD3CC" w14:textId="77777777" w:rsidR="003F53AB" w:rsidRDefault="00000000">
      <w:pPr>
        <w:numPr>
          <w:ilvl w:val="0"/>
          <w:numId w:val="7"/>
        </w:numPr>
      </w:pPr>
      <w:r>
        <w:rPr>
          <w:b/>
          <w:bCs/>
        </w:rPr>
        <w:t>Jeff Melnick (CFO)</w:t>
      </w:r>
      <w:r>
        <w:t xml:space="preserve"> – Investment structure. Fee-for-service psychometrics + revenue share on distribution. Define what ETS puts in, what it gets back, and what the milestones are.</w:t>
      </w:r>
    </w:p>
    <w:p w14:paraId="7E9C1771" w14:textId="77777777" w:rsidR="003F53AB" w:rsidRDefault="00000000">
      <w:r>
        <w:pict w14:anchorId="6D9A136D">
          <v:rect id="_x0000_i1066" style="width:0;height:1.5pt" o:hralign="center" o:hrstd="t" o:hr="t"/>
        </w:pict>
      </w:r>
    </w:p>
    <w:p w14:paraId="453C3E31" w14:textId="77777777" w:rsidR="003F53AB" w:rsidRDefault="00000000">
      <w:pPr>
        <w:pStyle w:val="FirstParagraph"/>
      </w:pPr>
      <w:r>
        <w:rPr>
          <w:i/>
          <w:iCs/>
        </w:rPr>
        <w:t>Prepared by ETS Applied Intelligence</w:t>
      </w:r>
      <w:bookmarkEnd w:id="0"/>
      <w:bookmarkEnd w:id="14"/>
    </w:p>
    <w:sectPr w:rsidR="003F53A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2A5D3" w14:textId="77777777" w:rsidR="008C188A" w:rsidRDefault="008C188A">
      <w:pPr>
        <w:spacing w:after="0"/>
      </w:pPr>
      <w:r>
        <w:separator/>
      </w:r>
    </w:p>
  </w:endnote>
  <w:endnote w:type="continuationSeparator" w:id="0">
    <w:p w14:paraId="73AB57D0" w14:textId="77777777" w:rsidR="008C188A" w:rsidRDefault="008C18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4D19A" w14:textId="77777777" w:rsidR="008C188A" w:rsidRDefault="008C188A">
      <w:r>
        <w:separator/>
      </w:r>
    </w:p>
  </w:footnote>
  <w:footnote w:type="continuationSeparator" w:id="0">
    <w:p w14:paraId="26FE23AC" w14:textId="77777777" w:rsidR="008C188A" w:rsidRDefault="008C18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062D3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28E1C0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946EB2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25468944">
    <w:abstractNumId w:val="0"/>
  </w:num>
  <w:num w:numId="2" w16cid:durableId="1760372175">
    <w:abstractNumId w:val="1"/>
  </w:num>
  <w:num w:numId="3" w16cid:durableId="1044698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28356019">
    <w:abstractNumId w:val="1"/>
  </w:num>
  <w:num w:numId="5" w16cid:durableId="61222995">
    <w:abstractNumId w:val="1"/>
  </w:num>
  <w:num w:numId="6" w16cid:durableId="187105712">
    <w:abstractNumId w:val="1"/>
  </w:num>
  <w:num w:numId="7" w16cid:durableId="9196024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3AB"/>
    <w:rsid w:val="003F53AB"/>
    <w:rsid w:val="00476EFB"/>
    <w:rsid w:val="004B5B30"/>
    <w:rsid w:val="0077534B"/>
    <w:rsid w:val="008C188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B78AB"/>
  <w15:docId w15:val="{42292874-A0EA-4CC9-97AE-BD024823A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itehouse.gov/presidential-actions/executive-order-on-advancing-united-states-leadership-in-artificial-intelligence-education-for-youth/" TargetMode="External"/><Relationship Id="rId13" Type="http://schemas.openxmlformats.org/officeDocument/2006/relationships/hyperlink" Target="https://leginfo.legislature.ca.gov/faces/billNavClient.xhtml?bill_id=202320240AB2876" TargetMode="External"/><Relationship Id="rId18" Type="http://schemas.openxmlformats.org/officeDocument/2006/relationships/hyperlink" Target="https://www.nj.gov/education/grants/opportunities/2025/25-TG07-G02_NGO.shtml" TargetMode="External"/><Relationship Id="rId3" Type="http://schemas.openxmlformats.org/officeDocument/2006/relationships/settings" Target="settings.xml"/><Relationship Id="rId7" Type="http://schemas.openxmlformats.org/officeDocument/2006/relationships/hyperlink" Target="https://www.dol.gov/sites/dolgov/files/ETA/advisories/TEN/2025/TEN%2007-25/TEN%2007-25%20(complete%20document).pdf" TargetMode="External"/><Relationship Id="rId12" Type="http://schemas.openxmlformats.org/officeDocument/2006/relationships/hyperlink" Target="https://education.ohio.gov/Topics/AI-in-Ohio-s-Education/Model-Policy" TargetMode="External"/><Relationship Id="rId17" Type="http://schemas.openxmlformats.org/officeDocument/2006/relationships/hyperlink" Target="https://www.schev.edu/institutions/grants/fund-for-excellence-and-innovation" TargetMode="External"/><Relationship Id="rId2" Type="http://schemas.openxmlformats.org/officeDocument/2006/relationships/styles" Target="styles.xml"/><Relationship Id="rId16" Type="http://schemas.openxmlformats.org/officeDocument/2006/relationships/hyperlink" Target="https://www.ecs.org/artificial-intelligence-ai-education-task-force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aco.org/news/dol-announces-ai-workforce-development-program-part-white-house-ai-action-plan" TargetMode="External"/><Relationship Id="rId5" Type="http://schemas.openxmlformats.org/officeDocument/2006/relationships/footnotes" Target="footnotes.xml"/><Relationship Id="rId15" Type="http://schemas.openxmlformats.org/officeDocument/2006/relationships/hyperlink" Target="https://www.govtech.com/education/k-12/tennessee-bill-on-ai-in-schools-a-hint-of-whats-to-come" TargetMode="External"/><Relationship Id="rId10" Type="http://schemas.openxmlformats.org/officeDocument/2006/relationships/hyperlink" Target="https://www.congress.gov/bill/119th-congress/house-bill/7576/tex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sf.gov/news/nsf-announces-new-funding-opportunities-advance-ai-education" TargetMode="External"/><Relationship Id="rId14" Type="http://schemas.openxmlformats.org/officeDocument/2006/relationships/hyperlink" Target="https://www.nysenate.gov/legislation/bills/2025/S76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2034</Words>
  <Characters>12064</Characters>
  <Application>Microsoft Office Word</Application>
  <DocSecurity>0</DocSecurity>
  <Lines>219</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Kennon Harrison</dc:creator>
  <cp:keywords/>
  <cp:lastModifiedBy>Kennon Harrison</cp:lastModifiedBy>
  <cp:revision>2</cp:revision>
  <dcterms:created xsi:type="dcterms:W3CDTF">2026-03-27T14:37:00Z</dcterms:created>
  <dcterms:modified xsi:type="dcterms:W3CDTF">2026-03-27T14:37:00Z</dcterms:modified>
</cp:coreProperties>
</file>