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TERM SHEET</w:t>
      </w:r>
    </w:p>
    <w:p>
      <w:pPr>
        <w:pStyle w:val="BodyText"/>
      </w:pPr>
      <w:r>
        <w:rPr>
          <w:bCs/>
          <w:b/>
        </w:rPr>
        <w:t xml:space="preserve">CERTIFY.AI, INC. — SERIES SEED PREFERRED STOCK</w:t>
      </w:r>
    </w:p>
    <w:p>
      <w:pPr>
        <w:pStyle w:val="BodyText"/>
      </w:pPr>
      <w:r>
        <w:rPr>
          <w:bCs/>
          <w:b/>
        </w:rPr>
        <w:t xml:space="preserve">Confidential — For Discussion Purposes Only</w:t>
      </w:r>
      <w:r>
        <w:t xml:space="preserve"> </w:t>
      </w:r>
      <w:r>
        <w:rPr>
          <w:bCs/>
          <w:b/>
        </w:rPr>
        <w:t xml:space="preserve">Draft v1 — 2026-05-21</w:t>
      </w:r>
    </w:p>
    <w:p>
      <w:r>
        <w:pict>
          <v:rect style="width:0;height:1.5pt" o:hralign="center" o:hrstd="t" o:hr="t"/>
        </w:pic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Provision</w:t>
            </w:r>
          </w:p>
        </w:tc>
      </w:tr>
      <w:tr>
        <w:tc>
          <w:tcPr/>
          <w:p>
            <w:pPr>
              <w:pStyle w:val="Compact"/>
              <w:jc w:val="left"/>
            </w:pPr>
            <w:r>
              <w:rPr>
                <w:bCs/>
                <w:b/>
              </w:rPr>
              <w:t xml:space="preserve">Company:</w:t>
            </w:r>
          </w:p>
        </w:tc>
        <w:tc>
          <w:tcPr/>
          <w:p>
            <w:pPr>
              <w:pStyle w:val="Compact"/>
              <w:jc w:val="left"/>
            </w:pPr>
            <w:r>
              <w:t xml:space="preserve">Certify.ai, Inc., a Delaware</w:t>
            </w:r>
            <w:r>
              <w:t xml:space="preserve"> </w:t>
            </w:r>
            <w:r>
              <w:rPr>
                <w:bCs/>
                <w:b/>
              </w:rPr>
              <w:t xml:space="preserve">public benefit corporation</w:t>
            </w:r>
            <w:r>
              <w:t xml:space="preserve"> </w:t>
            </w:r>
            <w:r>
              <w:t xml:space="preserve">(</w:t>
            </w:r>
            <w:r>
              <w:t xml:space="preserve">“</w:t>
            </w:r>
            <w:r>
              <w:rPr>
                <w:bCs/>
                <w:b/>
              </w:rPr>
              <w:t xml:space="preserve">Company</w:t>
            </w:r>
            <w:r>
              <w:t xml:space="preserve">”</w:t>
            </w:r>
            <w:r>
              <w:t xml:space="preserve">).</w:t>
            </w:r>
          </w:p>
        </w:tc>
      </w:tr>
      <w:tr>
        <w:tc>
          <w:tcPr/>
          <w:p>
            <w:pPr>
              <w:pStyle w:val="Compact"/>
              <w:jc w:val="left"/>
            </w:pPr>
            <w:r>
              <w:rPr>
                <w:bCs/>
                <w:b/>
              </w:rPr>
              <w:t xml:space="preserve">Securities:</w:t>
            </w:r>
          </w:p>
        </w:tc>
        <w:tc>
          <w:tcPr/>
          <w:p>
            <w:pPr>
              <w:pStyle w:val="Compact"/>
              <w:jc w:val="left"/>
            </w:pPr>
            <w:r>
              <w:t xml:space="preserve">Series Seed Preferred Stock of the Company (</w:t>
            </w:r>
            <w:r>
              <w:t xml:space="preserve">“</w:t>
            </w:r>
            <w:r>
              <w:rPr>
                <w:bCs/>
                <w:b/>
              </w:rPr>
              <w:t xml:space="preserve">Series Seed</w:t>
            </w:r>
            <w:r>
              <w:t xml:space="preserve">”</w:t>
            </w:r>
            <w:r>
              <w:t xml:space="preserve">). NVCA model documents.</w:t>
            </w:r>
          </w:p>
        </w:tc>
      </w:tr>
      <w:tr>
        <w:tc>
          <w:tcPr/>
          <w:p>
            <w:pPr>
              <w:pStyle w:val="Compact"/>
              <w:jc w:val="left"/>
            </w:pPr>
            <w:r>
              <w:rPr>
                <w:bCs/>
                <w:b/>
              </w:rPr>
              <w:t xml:space="preserve">Investment Amounts:</w:t>
            </w:r>
          </w:p>
        </w:tc>
        <w:tc>
          <w:tcPr/>
          <w:p>
            <w:pPr>
              <w:pStyle w:val="Compact"/>
              <w:jc w:val="left"/>
            </w:pPr>
            <w:r>
              <w:t xml:space="preserve">$2,000,000 from Educational Testing Service (</w:t>
            </w:r>
            <w:r>
              <w:t xml:space="preserve">“</w:t>
            </w:r>
            <w:r>
              <w:rPr>
                <w:bCs/>
                <w:b/>
              </w:rPr>
              <w:t xml:space="preserve">ETS</w:t>
            </w:r>
            <w:r>
              <w:t xml:space="preserve">”</w:t>
            </w:r>
            <w:r>
              <w:t xml:space="preserve">) — Co-Lead Investor.</w:t>
            </w:r>
            <w:r>
              <w:t xml:space="preserve">$2,000,000 from The Linux Foundation (</w:t>
            </w:r>
            <w:r>
              <w:t xml:space="preserve">“</w:t>
            </w:r>
            <w:r>
              <w:rPr>
                <w:bCs/>
                <w:b/>
              </w:rPr>
              <w:t xml:space="preserve">LF</w:t>
            </w:r>
            <w:r>
              <w:t xml:space="preserve">”</w:t>
            </w:r>
            <w:r>
              <w:t xml:space="preserve">) — Co-Lead Investor.</w:t>
            </w:r>
            <w:r>
              <w:t xml:space="preserve">$1,000,000 from other investors (iDesign, Movement Of Faith Coalition (Nick Davis), Motlow State Community College President (Mike Torrence) (personal capacity), Ashwin [last name TBD]).</w:t>
            </w:r>
            <w:r>
              <w:t xml:space="preserve">Convertible notes and safes (</w:t>
            </w:r>
            <w:r>
              <w:t xml:space="preserve">“</w:t>
            </w:r>
            <w:r>
              <w:rPr>
                <w:bCs/>
                <w:b/>
              </w:rPr>
              <w:t xml:space="preserve">Convertibles</w:t>
            </w:r>
            <w:r>
              <w:t xml:space="preserve">”</w:t>
            </w:r>
            <w:r>
              <w:t xml:space="preserve">), if any prior to Closing, convert on their terms into shadow series of preferred stock (together with the Series Seed, the</w:t>
            </w:r>
            <w:r>
              <w:t xml:space="preserve"> </w:t>
            </w:r>
            <w:r>
              <w:t xml:space="preserve">“</w:t>
            </w:r>
            <w:r>
              <w:rPr>
                <w:bCs/>
                <w:b/>
              </w:rPr>
              <w:t xml:space="preserve">Preferred Stock</w:t>
            </w:r>
            <w:r>
              <w:t xml:space="preserve">”</w:t>
            </w:r>
            <w:r>
              <w:t xml:space="preserve">).</w:t>
            </w:r>
          </w:p>
        </w:tc>
      </w:tr>
      <w:tr>
        <w:tc>
          <w:tcPr/>
          <w:p>
            <w:pPr>
              <w:pStyle w:val="Compact"/>
              <w:jc w:val="left"/>
            </w:pPr>
            <w:r>
              <w:rPr>
                <w:bCs/>
                <w:b/>
              </w:rPr>
              <w:t xml:space="preserve">Valuation:</w:t>
            </w:r>
          </w:p>
        </w:tc>
        <w:tc>
          <w:tcPr/>
          <w:p>
            <w:pPr>
              <w:pStyle w:val="Compact"/>
              <w:jc w:val="left"/>
            </w:pPr>
            <w:r>
              <w:t xml:space="preserve">$35,000,000</w:t>
            </w:r>
            <w:r>
              <w:t xml:space="preserve"> </w:t>
            </w:r>
            <w:r>
              <w:rPr>
                <w:bCs/>
                <w:b/>
              </w:rPr>
              <w:t xml:space="preserve">post-money</w:t>
            </w:r>
            <w:r>
              <w:t xml:space="preserve"> </w:t>
            </w:r>
            <w:r>
              <w:t xml:space="preserve">valuation ($30,000,000 pre-money), including an available option pool equal to</w:t>
            </w:r>
            <w:r>
              <w:t xml:space="preserve"> </w:t>
            </w:r>
            <w:r>
              <w:rPr>
                <w:bCs/>
                <w:b/>
              </w:rPr>
              <w:t xml:space="preserve">15%</w:t>
            </w:r>
            <w:r>
              <w:t xml:space="preserve"> </w:t>
            </w:r>
            <w:r>
              <w:t xml:space="preserve">of the post-Closing fully-diluted capitalization.</w:t>
            </w:r>
            <w:r>
              <w:rPr>
                <w:rStyle w:val="FootnoteReference"/>
              </w:rPr>
              <w:footnoteReference w:id="20"/>
            </w:r>
          </w:p>
        </w:tc>
      </w:tr>
      <w:tr>
        <w:tc>
          <w:tcPr/>
          <w:p>
            <w:pPr>
              <w:pStyle w:val="Compact"/>
              <w:jc w:val="left"/>
            </w:pPr>
            <w:r>
              <w:rPr>
                <w:bCs/>
                <w:b/>
              </w:rPr>
              <w:t xml:space="preserve">ETS Sponsor Stake:</w:t>
            </w:r>
          </w:p>
        </w:tc>
        <w:tc>
          <w:tcPr/>
          <w:p>
            <w:pPr>
              <w:pStyle w:val="Compact"/>
              <w:jc w:val="left"/>
            </w:pPr>
            <w:r>
              <w:t xml:space="preserve">In addition to its $2,000,000 cash investment, ETS will receive a sponsor stake equal to</w:t>
            </w:r>
            <w:r>
              <w:t xml:space="preserve"> </w:t>
            </w:r>
            <w:r>
              <w:rPr>
                <w:bCs/>
                <w:b/>
              </w:rPr>
              <w:t xml:space="preserve">15% of pre-money fully-diluted capitalization</w:t>
            </w:r>
            <w:r>
              <w:t xml:space="preserve"> </w:t>
            </w:r>
            <w:r>
              <w:t xml:space="preserve">(12.86% post-money FD), in consideration for origination of the venture concept inside the ETS Applied Intelligence studio, institutional endorsement, and the commercial framework set forth in the Strategic Commercial Agreement.</w:t>
            </w:r>
            <w:r>
              <w:rPr>
                <w:rStyle w:val="FootnoteReference"/>
              </w:rPr>
              <w:footnoteReference w:id="21"/>
            </w:r>
          </w:p>
        </w:tc>
      </w:tr>
      <w:tr>
        <w:tc>
          <w:tcPr/>
          <w:p>
            <w:pPr>
              <w:pStyle w:val="Compact"/>
              <w:jc w:val="left"/>
            </w:pPr>
            <w:r>
              <w:rPr>
                <w:bCs/>
                <w:b/>
              </w:rPr>
              <w:t xml:space="preserve">Liquidation Preference:</w:t>
            </w:r>
          </w:p>
        </w:tc>
        <w:tc>
          <w:tcPr/>
          <w:p>
            <w:pPr>
              <w:pStyle w:val="Compact"/>
              <w:jc w:val="left"/>
            </w:pPr>
            <w:r>
              <w:t xml:space="preserve">1x non-participating preference. A sale of all or substantially all of the Company’s assets, or a merger (collectively, a</w:t>
            </w:r>
            <w:r>
              <w:t xml:space="preserve"> </w:t>
            </w:r>
            <w:r>
              <w:t xml:space="preserve">“</w:t>
            </w:r>
            <w:r>
              <w:rPr>
                <w:bCs/>
                <w:b/>
              </w:rPr>
              <w:t xml:space="preserve">Company Sale</w:t>
            </w:r>
            <w:r>
              <w:t xml:space="preserve">”</w:t>
            </w:r>
            <w:r>
              <w:t xml:space="preserve">), will be treated as a liquidation.</w:t>
            </w:r>
          </w:p>
        </w:tc>
      </w:tr>
      <w:tr>
        <w:tc>
          <w:tcPr/>
          <w:p>
            <w:pPr>
              <w:pStyle w:val="Compact"/>
              <w:jc w:val="left"/>
            </w:pPr>
            <w:r>
              <w:rPr>
                <w:bCs/>
                <w:b/>
              </w:rPr>
              <w:t xml:space="preserve">Dividends:</w:t>
            </w:r>
          </w:p>
        </w:tc>
        <w:tc>
          <w:tcPr/>
          <w:p>
            <w:pPr>
              <w:pStyle w:val="Compact"/>
              <w:jc w:val="left"/>
            </w:pPr>
            <w:r>
              <w:t xml:space="preserve">6% noncumulative, payable if and when declared by the Board of Directors.</w:t>
            </w:r>
          </w:p>
        </w:tc>
      </w:tr>
      <w:tr>
        <w:tc>
          <w:tcPr/>
          <w:p>
            <w:pPr>
              <w:pStyle w:val="Compact"/>
              <w:jc w:val="left"/>
            </w:pPr>
            <w:r>
              <w:rPr>
                <w:bCs/>
                <w:b/>
              </w:rPr>
              <w:t xml:space="preserve">Conversion to Common Stock:</w:t>
            </w:r>
          </w:p>
        </w:tc>
        <w:tc>
          <w:tcPr/>
          <w:p>
            <w:pPr>
              <w:pStyle w:val="Compact"/>
              <w:jc w:val="left"/>
            </w:pPr>
            <w:r>
              <w:t xml:space="preserve">At holder’s option and automatically on (i) IPO or (ii) approval of a majority of Preferred Stock (on an as-converted basis) (the</w:t>
            </w:r>
            <w:r>
              <w:t xml:space="preserve"> </w:t>
            </w:r>
            <w:r>
              <w:t xml:space="preserve">“</w:t>
            </w:r>
            <w:r>
              <w:rPr>
                <w:bCs/>
                <w:b/>
              </w:rPr>
              <w:t xml:space="preserve">Preferred Majority</w:t>
            </w:r>
            <w:r>
              <w:t xml:space="preserve">”</w:t>
            </w:r>
            <w:r>
              <w:t xml:space="preserve">). Conversion ratio initially 1-to-1, subject to standard adjustments.</w:t>
            </w:r>
          </w:p>
        </w:tc>
      </w:tr>
      <w:tr>
        <w:tc>
          <w:tcPr/>
          <w:p>
            <w:pPr>
              <w:pStyle w:val="Compact"/>
              <w:jc w:val="left"/>
            </w:pPr>
            <w:r>
              <w:rPr>
                <w:bCs/>
                <w:b/>
              </w:rPr>
              <w:t xml:space="preserve">Voting Rights:</w:t>
            </w:r>
          </w:p>
        </w:tc>
        <w:tc>
          <w:tcPr/>
          <w:p>
            <w:pPr>
              <w:pStyle w:val="Compact"/>
              <w:jc w:val="left"/>
            </w:pPr>
            <w:r>
              <w:t xml:space="preserve">Approval of the Preferred Majority required to (i) change rights, preferences or privileges of the Preferred Stock; (ii) change the authorized number of shares; (iii) create securities senior or pari passu to the existing Preferred Stock; (iv) redeem or repurchase any shares (except for purchases at cost upon termination of services or exercises of contractual rights of first refusal); (v) declare or pay any dividend; (vi) change the authorized number of directors; (vii) liquidate or dissolve, including a Company Sale; (viii)</w:t>
            </w:r>
            <w:r>
              <w:t xml:space="preserve"> </w:t>
            </w:r>
            <w:r>
              <w:rPr>
                <w:bCs/>
                <w:b/>
              </w:rPr>
              <w:t xml:space="preserve">amend the public benefit purpose set forth in the Company’s certificate of incorporation</w:t>
            </w:r>
            <w:r>
              <w:t xml:space="preserve">; or (ix) incur indebtedness in excess of $250,000 in the aggregate. Otherwise votes with Common Stock on an as-converted basis.</w:t>
            </w:r>
          </w:p>
        </w:tc>
      </w:tr>
      <w:tr>
        <w:tc>
          <w:tcPr/>
          <w:p>
            <w:pPr>
              <w:pStyle w:val="Compact"/>
              <w:jc w:val="left"/>
            </w:pPr>
            <w:r>
              <w:rPr>
                <w:bCs/>
                <w:b/>
              </w:rPr>
              <w:t xml:space="preserve">Drag-Along:</w:t>
            </w:r>
          </w:p>
        </w:tc>
        <w:tc>
          <w:tcPr/>
          <w:p>
            <w:pPr>
              <w:pStyle w:val="Compact"/>
              <w:jc w:val="left"/>
            </w:pPr>
            <w:r>
              <w:t xml:space="preserve">Founders, investors and 1% stockholders required to vote for a Company Sale approved by (i) the Board, (ii) the Preferred Majority and (iii) a majority of Common Stock (excluding shares of Common Stock issuable or issued upon conversion of the Preferred Stock) (the</w:t>
            </w:r>
            <w:r>
              <w:t xml:space="preserve"> </w:t>
            </w:r>
            <w:r>
              <w:t xml:space="preserve">“</w:t>
            </w:r>
            <w:r>
              <w:rPr>
                <w:bCs/>
                <w:b/>
              </w:rPr>
              <w:t xml:space="preserve">Common Majority</w:t>
            </w:r>
            <w:r>
              <w:t xml:space="preserve">”</w:t>
            </w:r>
            <w:r>
              <w:t xml:space="preserve">), subject to standard exceptions.</w:t>
            </w:r>
          </w:p>
        </w:tc>
      </w:tr>
      <w:tr>
        <w:tc>
          <w:tcPr/>
          <w:p>
            <w:pPr>
              <w:pStyle w:val="Compact"/>
              <w:jc w:val="left"/>
            </w:pPr>
            <w:r>
              <w:rPr>
                <w:bCs/>
                <w:b/>
              </w:rPr>
              <w:t xml:space="preserve">Other Rights &amp; Matters:</w:t>
            </w:r>
          </w:p>
        </w:tc>
        <w:tc>
          <w:tcPr/>
          <w:p>
            <w:pPr>
              <w:pStyle w:val="Compact"/>
              <w:jc w:val="left"/>
            </w:pPr>
            <w:r>
              <w:t xml:space="preserve">The Preferred Stock will have standard broad-based weighted average anti-dilution rights, first refusal and co-sale rights over founder stock transfers, registration rights, pro rata rights, and information rights.</w:t>
            </w:r>
            <w:r>
              <w:rPr>
                <w:rStyle w:val="FootnoteReference"/>
              </w:rPr>
              <w:footnoteReference w:id="22"/>
            </w:r>
            <w:r>
              <w:t xml:space="preserve"> </w:t>
            </w:r>
            <w:r>
              <w:t xml:space="preserve">Company counsel drafts documents. Company pays Lead Investors’ legal fees, capped at $30,000 in the aggregate.</w:t>
            </w:r>
          </w:p>
        </w:tc>
      </w:tr>
      <w:tr>
        <w:tc>
          <w:tcPr/>
          <w:p>
            <w:pPr>
              <w:pStyle w:val="Compact"/>
              <w:jc w:val="left"/>
            </w:pPr>
            <w:r>
              <w:rPr>
                <w:bCs/>
                <w:b/>
              </w:rPr>
              <w:t xml:space="preserve">Board:</w:t>
            </w:r>
          </w:p>
        </w:tc>
        <w:tc>
          <w:tcPr/>
          <w:p>
            <w:pPr>
              <w:pStyle w:val="Compact"/>
              <w:jc w:val="left"/>
            </w:pPr>
            <w:r>
              <w:rPr>
                <w:bCs/>
                <w:b/>
              </w:rPr>
              <w:t xml:space="preserve">3-person Board of Directors:</w:t>
            </w:r>
            <w:r>
              <w:t xml:space="preserve"> </w:t>
            </w:r>
            <w:r>
              <w:t xml:space="preserve">(i) Kennon Harrison (Co-Founder, CEO) — Founder seat; (ii) Michael Chasen (Co-Founder, Vice Chairman) — Founder seat; (iii) one independent director mutually agreed by the Founders and the Lead Investors.</w:t>
            </w:r>
            <w:r>
              <w:t xml:space="preserve">ETS and LF each receive</w:t>
            </w:r>
            <w:r>
              <w:t xml:space="preserve"> </w:t>
            </w:r>
            <w:r>
              <w:rPr>
                <w:bCs/>
                <w:b/>
              </w:rPr>
              <w:t xml:space="preserve">Board observer rights</w:t>
            </w:r>
            <w:r>
              <w:t xml:space="preserve"> </w:t>
            </w:r>
            <w:r>
              <w:t xml:space="preserve">(right to attend meetings, receive materials; no vote, no fiduciary duty; subject to customary exclusion from executive sessions and conflict-of-interest matters).</w:t>
            </w:r>
            <w:r>
              <w:rPr>
                <w:rStyle w:val="FootnoteReference"/>
              </w:rPr>
              <w:footnoteReference w:id="23"/>
            </w:r>
          </w:p>
        </w:tc>
      </w:tr>
      <w:tr>
        <w:tc>
          <w:tcPr/>
          <w:p>
            <w:pPr>
              <w:pStyle w:val="Compact"/>
              <w:jc w:val="left"/>
            </w:pPr>
            <w:r>
              <w:rPr>
                <w:bCs/>
                <w:b/>
              </w:rPr>
              <w:t xml:space="preserve">Founder and Employee Vesting:</w:t>
            </w:r>
          </w:p>
        </w:tc>
        <w:tc>
          <w:tcPr/>
          <w:p>
            <w:pPr>
              <w:pStyle w:val="Compact"/>
              <w:jc w:val="left"/>
            </w:pPr>
            <w:r>
              <w:t xml:space="preserve">Founders: Kennon Harrison and Michael Chasen. Founder shares subject to 4-year monthly vesting with a 1-year cliff, with vesting commencement as of the date of incorporation. Double-trigger acceleration on a Company Sale.</w:t>
            </w:r>
            <w:r>
              <w:t xml:space="preserve">Employees: 4-year monthly vesting with 1-year cliff.</w:t>
            </w:r>
          </w:p>
        </w:tc>
      </w:tr>
      <w:tr>
        <w:tc>
          <w:tcPr/>
          <w:p>
            <w:pPr>
              <w:pStyle w:val="Compact"/>
              <w:jc w:val="left"/>
            </w:pPr>
            <w:r>
              <w:rPr>
                <w:bCs/>
                <w:b/>
              </w:rPr>
              <w:t xml:space="preserve">Strategic Commercial Agreement:</w:t>
            </w:r>
          </w:p>
        </w:tc>
        <w:tc>
          <w:tcPr/>
          <w:p>
            <w:pPr>
              <w:pStyle w:val="Compact"/>
              <w:jc w:val="left"/>
            </w:pPr>
            <w:r>
              <w:t xml:space="preserve">Closing of this financing is conditioned upon the concurrent execution of a Strategic Commercial Agreement between the Company and ETS, governing the Master Services Agreement (including Aladdin platform implementation), distribution rights, and revenue share. Equity does not fund without SCA signed; SCA does not go live without equity funded.</w:t>
            </w:r>
            <w:r>
              <w:rPr>
                <w:rStyle w:val="FootnoteReference"/>
              </w:rPr>
              <w:footnoteReference w:id="24"/>
            </w:r>
          </w:p>
        </w:tc>
      </w:tr>
      <w:tr>
        <w:tc>
          <w:tcPr/>
          <w:p>
            <w:pPr>
              <w:pStyle w:val="Compact"/>
              <w:jc w:val="left"/>
            </w:pPr>
            <w:r>
              <w:rPr>
                <w:bCs/>
                <w:b/>
              </w:rPr>
              <w:t xml:space="preserve">No Shop:</w:t>
            </w:r>
          </w:p>
        </w:tc>
        <w:tc>
          <w:tcPr/>
          <w:p>
            <w:pPr>
              <w:pStyle w:val="Compact"/>
              <w:jc w:val="left"/>
            </w:pPr>
            <w:r>
              <w:t xml:space="preserve">For</w:t>
            </w:r>
            <w:r>
              <w:t xml:space="preserve"> </w:t>
            </w:r>
            <w:r>
              <w:rPr>
                <w:bCs/>
                <w:b/>
              </w:rPr>
              <w:t xml:space="preserve">45 days</w:t>
            </w:r>
            <w:r>
              <w:t xml:space="preserve">, the Company will not solicit, encourage, or accept any offers for the acquisition of Company capital stock (other than equity compensation for service providers), or of all or any substantial portion of Company assets.</w:t>
            </w:r>
          </w:p>
        </w:tc>
      </w:tr>
    </w:tbl>
    <w:p>
      <w:r>
        <w:pict>
          <v:rect style="width:0;height:1.5pt" o:hralign="center" o:hrstd="t" o:hr="t"/>
        </w:pict>
      </w:r>
    </w:p>
    <w:p>
      <w:pPr>
        <w:pStyle w:val="FirstParagraph"/>
      </w:pPr>
      <w:r>
        <w:t xml:space="preserve">The</w:t>
      </w:r>
      <w:r>
        <w:t xml:space="preserve"> </w:t>
      </w:r>
      <w:r>
        <w:t xml:space="preserve">“</w:t>
      </w:r>
      <w:r>
        <w:t xml:space="preserve">No Shop</w:t>
      </w:r>
      <w:r>
        <w:t xml:space="preserve">”</w:t>
      </w:r>
      <w:r>
        <w:t xml:space="preserve"> </w:t>
      </w:r>
      <w:r>
        <w:t xml:space="preserve">is legally binding between the parties. Everything else in this term sheet is non-binding and only intended to be a summary of the proposed terms of this financing.</w:t>
      </w:r>
    </w:p>
    <w:p>
      <w:r>
        <w:pict>
          <v:rect style="width:0;height:1.5pt" o:hralign="center" o:hrstd="t" o:hr="t"/>
        </w:pict>
      </w:r>
    </w:p>
    <w:tbl>
      <w:tblPr>
        <w:tblStyle w:val="Table"/>
        <w:tblW w:type="auto" w:w="0"/>
        <w:tblLook w:firstRow="0" w:lastRow="0" w:firstColumn="0" w:lastColumn="0" w:noHBand="0" w:noVBand="0" w:val="0000"/>
        <w:jc w:val="start"/>
      </w:tblPr>
      <w:tblGrid>
        <w:gridCol w:w="2640"/>
        <w:gridCol w:w="2640"/>
        <w:gridCol w:w="2640"/>
      </w:tblGrid>
      <w:tr>
        <w:tc>
          <w:tcPr/>
          <w:p>
            <w:pPr>
              <w:pStyle w:val="Compact"/>
              <w:jc w:val="left"/>
            </w:pPr>
            <w:r>
              <w:rPr>
                <w:bCs/>
                <w:b/>
              </w:rPr>
              <w:t xml:space="preserve">CERTIFY.AI, INC.</w:t>
            </w:r>
          </w:p>
        </w:tc>
        <w:tc>
          <w:tcPr/>
          <w:p>
            <w:pPr>
              <w:pStyle w:val="Compact"/>
            </w:pPr>
          </w:p>
        </w:tc>
        <w:tc>
          <w:tcPr/>
          <w:p>
            <w:pPr>
              <w:pStyle w:val="Compact"/>
            </w:pPr>
          </w:p>
        </w:tc>
      </w:tr>
      <w:tr>
        <w:tc>
          <w:tcPr/>
          <w:p>
            <w:pPr>
              <w:pStyle w:val="Compact"/>
              <w:jc w:val="left"/>
            </w:pPr>
            <w:r>
              <w:t xml:space="preserve">By:</w:t>
            </w:r>
          </w:p>
        </w:tc>
        <w:tc>
          <w:tcPr/>
          <w:p>
            <w:pPr>
              <w:pStyle w:val="Compact"/>
            </w:pPr>
          </w:p>
        </w:tc>
        <w:tc>
          <w:tcPr/>
          <w:p>
            <w:pPr>
              <w:pStyle w:val="Compact"/>
            </w:pPr>
          </w:p>
        </w:tc>
      </w:tr>
      <w:tr>
        <w:tc>
          <w:tcPr/>
          <w:p>
            <w:pPr>
              <w:pStyle w:val="Compact"/>
              <w:jc w:val="left"/>
            </w:pPr>
            <w:r>
              <w:t xml:space="preserve">Name:</w:t>
            </w:r>
          </w:p>
        </w:tc>
        <w:tc>
          <w:tcPr/>
          <w:p>
            <w:pPr>
              <w:pStyle w:val="Compact"/>
              <w:jc w:val="left"/>
            </w:pPr>
            <w:r>
              <w:t xml:space="preserve">Kennon Harrison</w:t>
            </w:r>
          </w:p>
        </w:tc>
        <w:tc>
          <w:tcPr/>
          <w:p>
            <w:pPr>
              <w:pStyle w:val="Compact"/>
            </w:pPr>
          </w:p>
        </w:tc>
      </w:tr>
      <w:tr>
        <w:tc>
          <w:tcPr/>
          <w:p>
            <w:pPr>
              <w:pStyle w:val="Compact"/>
              <w:jc w:val="left"/>
            </w:pPr>
            <w:r>
              <w:t xml:space="preserve">Title:</w:t>
            </w:r>
          </w:p>
        </w:tc>
        <w:tc>
          <w:tcPr/>
          <w:p>
            <w:pPr>
              <w:pStyle w:val="Compact"/>
              <w:jc w:val="left"/>
            </w:pPr>
            <w:r>
              <w:t xml:space="preserve">Co-Founder &amp; Chief Executive Officer</w:t>
            </w:r>
          </w:p>
        </w:tc>
        <w:tc>
          <w:tcPr/>
          <w:p>
            <w:pPr>
              <w:pStyle w:val="Compact"/>
            </w:pPr>
          </w:p>
        </w:tc>
      </w:tr>
      <w:tr>
        <w:tc>
          <w:tcPr/>
          <w:p>
            <w:pPr>
              <w:pStyle w:val="Compact"/>
              <w:jc w:val="left"/>
            </w:pPr>
            <w:r>
              <w:t xml:space="preserve">Date:</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Cs/>
                <w:b/>
              </w:rPr>
              <w:t xml:space="preserve">EDUCATIONAL TESTING SERVICE</w:t>
            </w:r>
          </w:p>
        </w:tc>
        <w:tc>
          <w:tcPr/>
          <w:p>
            <w:pPr>
              <w:pStyle w:val="Compact"/>
            </w:pPr>
          </w:p>
        </w:tc>
        <w:tc>
          <w:tcPr/>
          <w:p>
            <w:pPr>
              <w:pStyle w:val="Compact"/>
            </w:pPr>
          </w:p>
        </w:tc>
      </w:tr>
      <w:tr>
        <w:tc>
          <w:tcPr/>
          <w:p>
            <w:pPr>
              <w:pStyle w:val="Compact"/>
              <w:jc w:val="left"/>
            </w:pPr>
            <w:r>
              <w:t xml:space="preserve">By:</w:t>
            </w:r>
          </w:p>
        </w:tc>
        <w:tc>
          <w:tcPr/>
          <w:p>
            <w:pPr>
              <w:pStyle w:val="Compact"/>
            </w:pPr>
          </w:p>
        </w:tc>
        <w:tc>
          <w:tcPr/>
          <w:p>
            <w:pPr>
              <w:pStyle w:val="Compact"/>
            </w:pPr>
          </w:p>
        </w:tc>
      </w:tr>
      <w:tr>
        <w:tc>
          <w:tcPr/>
          <w:p>
            <w:pPr>
              <w:pStyle w:val="Compact"/>
              <w:jc w:val="left"/>
            </w:pPr>
            <w:r>
              <w:t xml:space="preserve">Name:</w:t>
            </w:r>
          </w:p>
        </w:tc>
        <w:tc>
          <w:tcPr/>
          <w:p>
            <w:pPr>
              <w:pStyle w:val="Compact"/>
            </w:pPr>
          </w:p>
        </w:tc>
        <w:tc>
          <w:tcPr/>
          <w:p>
            <w:pPr>
              <w:pStyle w:val="Compact"/>
            </w:pPr>
          </w:p>
        </w:tc>
      </w:tr>
      <w:tr>
        <w:tc>
          <w:tcPr/>
          <w:p>
            <w:pPr>
              <w:pStyle w:val="Compact"/>
              <w:jc w:val="left"/>
            </w:pPr>
            <w:r>
              <w:t xml:space="preserve">Title:</w:t>
            </w: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r>
      <w:tr>
        <w:tc>
          <w:tcPr/>
          <w:p>
            <w:pPr>
              <w:pStyle w:val="Compact"/>
            </w:pPr>
          </w:p>
        </w:tc>
        <w:tc>
          <w:tcPr/>
          <w:p>
            <w:pPr>
              <w:pStyle w:val="Compact"/>
            </w:pPr>
          </w:p>
        </w:tc>
        <w:tc>
          <w:tcPr/>
          <w:p>
            <w:pPr>
              <w:pStyle w:val="Compact"/>
            </w:pPr>
          </w:p>
        </w:tc>
      </w:tr>
      <w:tr>
        <w:tc>
          <w:tcPr/>
          <w:p>
            <w:pPr>
              <w:pStyle w:val="Compact"/>
              <w:jc w:val="left"/>
            </w:pPr>
            <w:r>
              <w:rPr>
                <w:bCs/>
                <w:b/>
              </w:rPr>
              <w:t xml:space="preserve">THE LINUX FOUNDATION</w:t>
            </w:r>
          </w:p>
        </w:tc>
        <w:tc>
          <w:tcPr/>
          <w:p>
            <w:pPr>
              <w:pStyle w:val="Compact"/>
            </w:pPr>
          </w:p>
        </w:tc>
        <w:tc>
          <w:tcPr/>
          <w:p>
            <w:pPr>
              <w:pStyle w:val="Compact"/>
            </w:pPr>
          </w:p>
        </w:tc>
      </w:tr>
      <w:tr>
        <w:tc>
          <w:tcPr/>
          <w:p>
            <w:pPr>
              <w:pStyle w:val="Compact"/>
              <w:jc w:val="left"/>
            </w:pPr>
            <w:r>
              <w:t xml:space="preserve">By:</w:t>
            </w:r>
          </w:p>
        </w:tc>
        <w:tc>
          <w:tcPr/>
          <w:p>
            <w:pPr>
              <w:pStyle w:val="Compact"/>
            </w:pPr>
          </w:p>
        </w:tc>
        <w:tc>
          <w:tcPr/>
          <w:p>
            <w:pPr>
              <w:pStyle w:val="Compact"/>
            </w:pPr>
          </w:p>
        </w:tc>
      </w:tr>
      <w:tr>
        <w:tc>
          <w:tcPr/>
          <w:p>
            <w:pPr>
              <w:pStyle w:val="Compact"/>
              <w:jc w:val="left"/>
            </w:pPr>
            <w:r>
              <w:t xml:space="preserve">Name:</w:t>
            </w:r>
          </w:p>
        </w:tc>
        <w:tc>
          <w:tcPr/>
          <w:p>
            <w:pPr>
              <w:pStyle w:val="Compact"/>
            </w:pPr>
          </w:p>
        </w:tc>
        <w:tc>
          <w:tcPr/>
          <w:p>
            <w:pPr>
              <w:pStyle w:val="Compact"/>
            </w:pPr>
          </w:p>
        </w:tc>
      </w:tr>
      <w:tr>
        <w:tc>
          <w:tcPr/>
          <w:p>
            <w:pPr>
              <w:pStyle w:val="Compact"/>
              <w:jc w:val="left"/>
            </w:pPr>
            <w:r>
              <w:t xml:space="preserve">Title:</w:t>
            </w:r>
          </w:p>
        </w:tc>
        <w:tc>
          <w:tcPr/>
          <w:p>
            <w:pPr>
              <w:pStyle w:val="Compact"/>
            </w:pPr>
          </w:p>
        </w:tc>
        <w:tc>
          <w:tcPr/>
          <w:p>
            <w:pPr>
              <w:pStyle w:val="Compact"/>
            </w:pPr>
          </w:p>
        </w:tc>
      </w:tr>
      <w:tr>
        <w:tc>
          <w:tcPr/>
          <w:p>
            <w:pPr>
              <w:pStyle w:val="Compact"/>
              <w:jc w:val="left"/>
            </w:pPr>
            <w:r>
              <w:t xml:space="preserve">Date:</w:t>
            </w:r>
          </w:p>
        </w:tc>
        <w:tc>
          <w:tcPr/>
          <w:p>
            <w:pPr>
              <w:pStyle w:val="Compact"/>
            </w:pPr>
          </w:p>
        </w:tc>
        <w:tc>
          <w:tcPr/>
          <w:p>
            <w:pPr>
              <w:pStyle w:val="Compact"/>
            </w:pPr>
          </w:p>
        </w:tc>
      </w:tr>
    </w:tbl>
    <w:p>
      <w:r>
        <w:pict>
          <v:rect style="width:0;height:1.5pt" o:hralign="center" o:hrstd="t" o:hr="t"/>
        </w:pict>
      </w:r>
    </w:p>
    <w:p>
      <w:r>
        <w:pict>
          <v:rect style="width:0;height:1.5pt" o:hralign="center" o:hrstd="t" o:hr="t"/>
        </w:pict>
      </w:r>
    </w:p>
    <w:p>
      <w:pPr>
        <w:pStyle w:val="FirstParagraph"/>
      </w:pPr>
      <w:r>
        <w:rPr>
          <w:iCs/>
          <w:i/>
        </w:rPr>
        <w:t xml:space="preserve">Drafted from the Certify.ai Series Seed Negotiation Brief dated May 14, 2026, incorporating the May 20, 2026 decision to incorporate as a Delaware public benefit corporation. Internal working draft — not yet reviewed by outside counsel.</w:t>
      </w:r>
    </w:p>
    <w:sectPr w:rsidR="00496FFF" w:rsidSect="00B204FF">
      <w:headerReference r:id="rId9" w:type="default"/>
      <w:footerReference r:id="rId10" w:type="default"/>
      <w:pgSz w:h="15840" w:w="12240"/>
      <w:pgMar w:bottom="1152" w:footer="720" w:gutter="0" w:header="720" w:left="1440" w:right="1440"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altName w:val="Sylfaen"/>
    <w:panose1 w:val="020B0604020202020204"/>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61894875"/>
      <w:docPartObj>
        <w:docPartGallery w:val="Page Numbers (Bottom of Page)"/>
        <w:docPartUnique/>
      </w:docPartObj>
    </w:sdtPr>
    <w:sdtEndPr>
      <w:rPr>
        <w:rFonts w:ascii="Times New Roman" w:hAnsi="Times New Roman" w:cs="Times New Roman"/>
        <w:noProof/>
      </w:rPr>
    </w:sdtEndPr>
    <w:sdtContent>
      <w:p w14:paraId="0BAA2ACC" w14:textId="77777777" w:rsidR="003D372E" w:rsidRPr="002A33F7" w:rsidRDefault="006354CC">
        <w:pPr>
          <w:pStyle w:val="Footer"/>
          <w:jc w:val="center"/>
          <w:rPr>
            <w:rFonts w:ascii="Times New Roman" w:hAnsi="Times New Roman" w:cs="Times New Roman"/>
          </w:rPr>
        </w:pPr>
        <w:r w:rsidRPr="002A33F7">
          <w:rPr>
            <w:rFonts w:ascii="Times New Roman" w:hAnsi="Times New Roman" w:cs="Times New Roman"/>
          </w:rPr>
          <w:fldChar w:fldCharType="begin"/>
        </w:r>
        <w:r w:rsidRPr="002A33F7">
          <w:rPr>
            <w:rFonts w:ascii="Times New Roman" w:hAnsi="Times New Roman" w:cs="Times New Roman"/>
          </w:rPr>
          <w:instrText xml:space="preserve"> PAGE   \* MERGEFORMAT </w:instrText>
        </w:r>
        <w:r w:rsidRPr="002A33F7">
          <w:rPr>
            <w:rFonts w:ascii="Times New Roman" w:hAnsi="Times New Roman" w:cs="Times New Roman"/>
          </w:rPr>
          <w:fldChar w:fldCharType="separate"/>
        </w:r>
        <w:r w:rsidRPr="002A33F7">
          <w:rPr>
            <w:rFonts w:ascii="Times New Roman" w:hAnsi="Times New Roman" w:cs="Times New Roman"/>
            <w:noProof/>
          </w:rPr>
          <w:t>1</w:t>
        </w:r>
        <w:r w:rsidRPr="002A33F7">
          <w:rPr>
            <w:rFonts w:ascii="Times New Roman" w:hAnsi="Times New Roman" w:cs="Times New Roman"/>
            <w:noProof/>
          </w:rPr>
          <w:fldChar w:fldCharType="end"/>
        </w:r>
      </w:p>
    </w:sdtContent>
  </w:sdt>
  <w:p w14:paraId="1A389287" w14:textId="77777777" w:rsidR="003D372E" w:rsidRDefault="00EF3BEA">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Pre-money / post-money cross-check: $30M pre-money + $5M new investment = $35M post-money. Founders (Kennon + Chasen combined) hold 55.71% on a fully-diluted post-money basis; ETS combined (sponsor stake + new money) holds 18.57%; LF holds 5.71%; other investors hold 2.86%; option pool holds 12.86%.</w:t>
      </w:r>
    </w:p>
  </w:footnote>
  <w:footnote w:id="21">
    <w:p>
      <w:pPr>
        <w:pStyle w:val="FootnoteText"/>
      </w:pPr>
      <w:r>
        <w:rPr>
          <w:rStyle w:val="FootnoteReference"/>
        </w:rPr>
        <w:footnoteRef/>
      </w:r>
      <w:r>
        <w:t xml:space="preserve"> </w:t>
      </w:r>
      <w:r>
        <w:t xml:space="preserve">The ETS sponsor stake is granted at incorporation, prior to the Closing of this financing. No intellectual property, software, data, or customer contracts are transferred from ETS to the Company in connection with the sponsor stake; the consideration is the studio origination relationship and the commercial framework documented in the Strategic Commercial Agreement.</w:t>
      </w:r>
    </w:p>
  </w:footnote>
  <w:footnote w:id="22">
    <w:p>
      <w:pPr>
        <w:pStyle w:val="FootnoteText"/>
      </w:pPr>
      <w:r>
        <w:rPr>
          <w:rStyle w:val="FootnoteReference"/>
        </w:rPr>
        <w:footnoteRef/>
      </w:r>
      <w:r>
        <w:t xml:space="preserve"> </w:t>
      </w:r>
      <w:r>
        <w:t xml:space="preserve">Information Rights scope limitation: ETS information rights with respect to customer pipeline data are limited to ETS-sourced or ETS-distributed pipeline. The Company will maintain customary information walls preventing ETS from accessing competitive intelligence relating to non-ETS distribution channels.</w:t>
      </w:r>
    </w:p>
  </w:footnote>
  <w:footnote w:id="23">
    <w:p>
      <w:pPr>
        <w:pStyle w:val="FootnoteText"/>
      </w:pPr>
      <w:r>
        <w:rPr>
          <w:rStyle w:val="FootnoteReference"/>
        </w:rPr>
        <w:footnoteRef/>
      </w:r>
      <w:r>
        <w:t xml:space="preserve"> </w:t>
      </w:r>
      <w:r>
        <w:t xml:space="preserve">If, prior to Closing, ETS requires a director seat in lieu of observer rights, the Board will be expanded to 5 directors: 2 Founder seats, 1 ETS-designated seat, 1 LF-designated seat or independent (LF election), and 1 mutually-agreed independent. Any ETS director seat carries a sunset provision converting the seat to observer rights if (a) ETS combined ownership drops below 15% post-money fully-diluted, (b) commercial milestones under the Strategic Commercial Agreement are not met within 18 months of Closing, or (c) ETS ceases to be an active commercial partner for 12 consecutive months. In no event will the Board be configured such that non-Founder directors can outvote Founder directors without independent participation.</w:t>
      </w:r>
    </w:p>
  </w:footnote>
  <w:footnote w:id="24">
    <w:p>
      <w:pPr>
        <w:pStyle w:val="FootnoteText"/>
      </w:pPr>
      <w:r>
        <w:rPr>
          <w:rStyle w:val="FootnoteReference"/>
        </w:rPr>
        <w:footnoteRef/>
      </w:r>
      <w:r>
        <w:t xml:space="preserve"> </w:t>
      </w:r>
      <w:r>
        <w:t xml:space="preserve">SCA components include: (a) Master Services Agreement covering Aladdin platform implementation (~$300,000 one-time capex funded from round proceeds) and per-learner assessment services ($30 full-pathway / $10 cert-only); (b) Distribution Right of First Refusal limited to ETS-owned channels (Praxis, ETS institutional, ETS employer-direct), with 30-day exercise window and volume-threshold lapse; (c) Revenue share — 50/50 net for Praxis distribution; differentiated tiers for other ETS-mediated channels; all rev-share tiers sunset and renegotiate at 36 months; (d) Aladdin contract as standard enterprise software terms, with Company as customer and ETS as vendor.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779C18" w14:textId="1128F3E7" w:rsidR="004E21F3" w:rsidRDefault="00EF3BEA" w:rsidP="006C6B84">
    <w:pPr>
      <w:pStyle w:val="Header"/>
      <w:jc w:val="right"/>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6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4E21F3"/>
    <w:pPr>
      <w:tabs>
        <w:tab w:pos="4680" w:val="center"/>
        <w:tab w:pos="9360" w:val="right"/>
      </w:tabs>
      <w:spacing w:after="0" w:line="240" w:lineRule="auto"/>
    </w:pPr>
  </w:style>
  <w:style w:customStyle="1" w:styleId="HeaderChar" w:type="character">
    <w:name w:val="Header Char"/>
    <w:basedOn w:val="DefaultParagraphFont"/>
    <w:link w:val="Header"/>
    <w:uiPriority w:val="99"/>
    <w:rsid w:val="004E21F3"/>
  </w:style>
  <w:style w:styleId="Footer" w:type="paragraph">
    <w:name w:val="footer"/>
    <w:basedOn w:val="Normal"/>
    <w:link w:val="FooterChar"/>
    <w:uiPriority w:val="99"/>
    <w:unhideWhenUsed/>
    <w:rsid w:val="004E21F3"/>
    <w:pPr>
      <w:tabs>
        <w:tab w:pos="4680" w:val="center"/>
        <w:tab w:pos="9360" w:val="right"/>
      </w:tabs>
      <w:spacing w:after="0" w:line="240" w:lineRule="auto"/>
    </w:pPr>
  </w:style>
  <w:style w:customStyle="1" w:styleId="FooterChar" w:type="character">
    <w:name w:val="Footer Char"/>
    <w:basedOn w:val="DefaultParagraphFont"/>
    <w:link w:val="Footer"/>
    <w:uiPriority w:val="99"/>
    <w:rsid w:val="004E21F3"/>
  </w:style>
  <w:style w:styleId="BodyText" w:type="paragraph">
    <w:name w:val="Body Text"/>
    <w:basedOn w:val="Normal"/>
    <w:link w:val="BodyTextChar"/>
    <w:rsid w:val="008803AD"/>
    <w:pPr>
      <w:spacing w:after="240" w:line="240" w:lineRule="auto"/>
      <w:ind w:firstLine="720"/>
      <w:jc w:val="both"/>
    </w:pPr>
    <w:rPr>
      <w:rFonts w:ascii="Times New Roman" w:cs="Times New Roman" w:eastAsia="Times New Roman" w:hAnsi="Times New Roman"/>
      <w:szCs w:val="20"/>
    </w:rPr>
  </w:style>
  <w:style w:customStyle="1" w:styleId="BodyTextChar" w:type="character">
    <w:name w:val="Body Text Char"/>
    <w:basedOn w:val="DefaultParagraphFont"/>
    <w:link w:val="BodyText"/>
    <w:rsid w:val="008803AD"/>
    <w:rPr>
      <w:rFonts w:ascii="Times New Roman" w:cs="Times New Roman" w:eastAsia="Times New Roman" w:hAnsi="Times New Roman"/>
      <w:szCs w:val="20"/>
    </w:rPr>
  </w:style>
  <w:style w:customStyle="1" w:styleId="TableText" w:type="paragraph">
    <w:name w:val="Table Text"/>
    <w:basedOn w:val="Normal"/>
    <w:rsid w:val="008803AD"/>
    <w:pPr>
      <w:tabs>
        <w:tab w:pos="432" w:val="left"/>
      </w:tabs>
      <w:suppressAutoHyphens/>
      <w:autoSpaceDE w:val="0"/>
      <w:autoSpaceDN w:val="0"/>
      <w:adjustRightInd w:val="0"/>
      <w:spacing w:after="240" w:line="240" w:lineRule="auto"/>
    </w:pPr>
    <w:rPr>
      <w:rFonts w:ascii="Times New Roman" w:cs="Times New Roman" w:eastAsia="Times New Roman" w:hAnsi="Times New Roman"/>
      <w:sz w:val="24"/>
      <w:szCs w:val="24"/>
    </w:rPr>
  </w:style>
  <w:style w:customStyle="1" w:styleId="SignatureLine" w:type="paragraph">
    <w:name w:val="Signature Line"/>
    <w:basedOn w:val="Normal"/>
    <w:rsid w:val="008803AD"/>
    <w:pPr>
      <w:tabs>
        <w:tab w:pos="5472" w:val="left"/>
        <w:tab w:pos="9648" w:val="left"/>
      </w:tabs>
      <w:spacing w:after="0" w:before="240" w:line="240" w:lineRule="auto"/>
      <w:ind w:left="5040"/>
    </w:pPr>
    <w:rPr>
      <w:rFonts w:ascii="Times New Roman" w:cs="Times New Roman" w:eastAsia="MS Mincho" w:hAnsi="Times New Roman"/>
      <w:sz w:val="24"/>
      <w:szCs w:val="20"/>
    </w:rPr>
  </w:style>
  <w:style w:styleId="CommentReference" w:type="character">
    <w:name w:val="annotation reference"/>
    <w:basedOn w:val="DefaultParagraphFont"/>
    <w:uiPriority w:val="99"/>
    <w:semiHidden/>
    <w:unhideWhenUsed/>
    <w:rsid w:val="00016B83"/>
    <w:rPr>
      <w:sz w:val="16"/>
      <w:szCs w:val="16"/>
    </w:rPr>
  </w:style>
  <w:style w:styleId="CommentText" w:type="paragraph">
    <w:name w:val="annotation text"/>
    <w:basedOn w:val="Normal"/>
    <w:link w:val="CommentTextChar"/>
    <w:uiPriority w:val="99"/>
    <w:semiHidden/>
    <w:unhideWhenUsed/>
    <w:rsid w:val="00016B83"/>
    <w:pPr>
      <w:spacing w:line="240" w:lineRule="auto"/>
    </w:pPr>
    <w:rPr>
      <w:sz w:val="20"/>
      <w:szCs w:val="20"/>
    </w:rPr>
  </w:style>
  <w:style w:customStyle="1" w:styleId="CommentTextChar" w:type="character">
    <w:name w:val="Comment Text Char"/>
    <w:basedOn w:val="DefaultParagraphFont"/>
    <w:link w:val="CommentText"/>
    <w:uiPriority w:val="99"/>
    <w:semiHidden/>
    <w:rsid w:val="00016B83"/>
    <w:rPr>
      <w:sz w:val="20"/>
      <w:szCs w:val="20"/>
    </w:rPr>
  </w:style>
  <w:style w:styleId="CommentSubject" w:type="paragraph">
    <w:name w:val="annotation subject"/>
    <w:basedOn w:val="CommentText"/>
    <w:next w:val="CommentText"/>
    <w:link w:val="CommentSubjectChar"/>
    <w:uiPriority w:val="99"/>
    <w:semiHidden/>
    <w:unhideWhenUsed/>
    <w:rsid w:val="00016B83"/>
    <w:rPr>
      <w:b/>
      <w:bCs/>
    </w:rPr>
  </w:style>
  <w:style w:customStyle="1" w:styleId="CommentSubjectChar" w:type="character">
    <w:name w:val="Comment Subject Char"/>
    <w:basedOn w:val="CommentTextChar"/>
    <w:link w:val="CommentSubject"/>
    <w:uiPriority w:val="99"/>
    <w:semiHidden/>
    <w:rsid w:val="00016B83"/>
    <w:rPr>
      <w:b/>
      <w:bCs/>
      <w:sz w:val="20"/>
      <w:szCs w:val="20"/>
    </w:rPr>
  </w:style>
  <w:style w:styleId="BalloonText" w:type="paragraph">
    <w:name w:val="Balloon Text"/>
    <w:basedOn w:val="Normal"/>
    <w:link w:val="BalloonTextChar"/>
    <w:uiPriority w:val="99"/>
    <w:semiHidden/>
    <w:unhideWhenUsed/>
    <w:rsid w:val="00016B83"/>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016B83"/>
    <w:rPr>
      <w:rFonts w:ascii="Segoe UI" w:cs="Segoe UI" w:hAnsi="Segoe UI"/>
      <w:sz w:val="18"/>
      <w:szCs w:val="18"/>
    </w:rPr>
  </w:style>
  <w:style w:customStyle="1" w:styleId="DocID" w:type="character">
    <w:name w:val="DocID"/>
    <w:basedOn w:val="DefaultParagraphFont"/>
    <w:rsid w:val="00B74DD6"/>
    <w:rPr>
      <w:rFonts w:ascii="Times New Roman" w:cs="Times New Roman" w:hAnsi="Times New Roman"/>
      <w:b w:val="0"/>
      <w:i w:val="0"/>
      <w:caps w:val="0"/>
      <w:vanish w:val="0"/>
      <w:color w:val="000000"/>
      <w:sz w:val="16"/>
      <w:u w:val="none"/>
    </w:rPr>
  </w:style>
  <w:style w:styleId="Revision" w:type="paragraph">
    <w:name w:val="Revision"/>
    <w:hidden/>
    <w:uiPriority w:val="99"/>
    <w:semiHidden/>
    <w:rsid w:val="001C1EC6"/>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465</Words>
  <Characters>2654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2026-05-21T18:13:00Z</dcterms:created>
  <dcterms:modified xsi:type="dcterms:W3CDTF">2026-05-21T18:13:00Z</dcterms:modified>
</cp:coreProperties>
</file>

<file path=docProps/custom.xml><?xml version="1.0" encoding="utf-8"?>
<Properties xmlns="http://schemas.openxmlformats.org/officeDocument/2006/custom-properties" xmlns:vt="http://schemas.openxmlformats.org/officeDocument/2006/docPropsVTypes"/>
</file>