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41414"/>
          <w:sz w:val="60"/>
        </w:rPr>
        <w:t>AAW Z05 AuAg</w:t>
      </w:r>
    </w:p>
    <w:p>
      <w:pPr>
        <w:jc w:val="center"/>
      </w:pPr>
      <w:r>
        <w:rPr>
          <w:b/>
        </w:rPr>
        <w:t>Those who listen will find the way.</w:t>
        <w:br/>
        <w:t>善听者，终能找到道路。</w:t>
      </w:r>
    </w:p>
    <w:p>
      <w:pPr>
        <w:jc w:val="center"/>
      </w:pPr>
      <w:r>
        <w:rPr>
          <w:rFonts w:ascii="Calibri" w:hAnsi="Calibri" w:eastAsia="Calibri"/>
          <w:color w:val="8A621E"/>
          <w:sz w:val="30"/>
        </w:rPr>
        <w:t>AuAg Launch Edition Product Literature Draft</w:t>
      </w:r>
    </w:p>
    <w:p>
      <w:pPr>
        <w:jc w:val="center"/>
      </w:pPr>
      <w:r>
        <w:rPr>
          <w:rFonts w:ascii="Calibri" w:hAnsi="Calibri" w:eastAsia="Calibri"/>
          <w:color w:val="504C46"/>
          <w:sz w:val="21"/>
        </w:rPr>
        <w:t>Universal 5-driver hybrid in-ear monitor with TwinCore Crossover Switch System</w:t>
      </w:r>
    </w:p>
    <w:p>
      <w:pPr>
        <w:jc w:val="center"/>
      </w:pPr>
      <w:r>
        <w:rPr>
          <w:rFonts w:ascii="Calibri" w:hAnsi="Calibri" w:eastAsia="Calibri"/>
        </w:rPr>
        <w:drawing>
          <wp:inline xmlns:a="http://schemas.openxmlformats.org/drawingml/2006/main" xmlns:pic="http://schemas.openxmlformats.org/drawingml/2006/picture">
            <wp:extent cx="6217920" cy="3956858"/>
            <wp:docPr id="1" name="Picture 1"/>
            <wp:cNvGraphicFramePr>
              <a:graphicFrameLocks noChangeAspect="1"/>
            </wp:cNvGraphicFramePr>
            <a:graphic>
              <a:graphicData uri="http://schemas.openxmlformats.org/drawingml/2006/picture">
                <pic:pic>
                  <pic:nvPicPr>
                    <pic:cNvPr id="0" name="z05-auag-hero.jpg"/>
                    <pic:cNvPicPr/>
                  </pic:nvPicPr>
                  <pic:blipFill>
                    <a:blip r:embed="rId11"/>
                    <a:stretch>
                      <a:fillRect/>
                    </a:stretch>
                  </pic:blipFill>
                  <pic:spPr>
                    <a:xfrm>
                      <a:off x="0" y="0"/>
                      <a:ext cx="6217920" cy="3956858"/>
                    </a:xfrm>
                    <a:prstGeom prst="rect"/>
                  </pic:spPr>
                </pic:pic>
              </a:graphicData>
            </a:graphic>
          </wp:inline>
        </w:drawing>
      </w:r>
    </w:p>
    <w:p>
      <w:pPr>
        <w:spacing w:after="160"/>
        <w:jc w:val="center"/>
      </w:pPr>
      <w:r>
        <w:rPr>
          <w:rFonts w:ascii="Calibri" w:hAnsi="Calibri" w:eastAsia="Calibri"/>
          <w:i/>
          <w:color w:val="5C574E"/>
          <w:sz w:val="18"/>
        </w:rPr>
        <w:t>Edited launch hero from IMG_5345.JPG: forged carbon faceplates with gold right and silver left foil lacing.</w:t>
      </w:r>
    </w:p>
    <w:p>
      <w:pPr>
        <w:pStyle w:val="Heading1"/>
      </w:pPr>
      <w:r>
        <w:rPr>
          <w:rFonts w:ascii="Calibri" w:hAnsi="Calibri" w:eastAsia="Calibri"/>
        </w:rPr>
        <w:t>Positioning</w:t>
      </w:r>
    </w:p>
    <w:p>
      <w:pPr>
        <w:spacing w:line="288" w:lineRule="auto"/>
      </w:pPr>
      <w:r>
        <w:rPr>
          <w:rFonts w:ascii="Calibri" w:hAnsi="Calibri" w:eastAsia="Calibri"/>
          <w:b/>
        </w:rPr>
        <w:t xml:space="preserve">Z05 AuAg </w:t>
      </w:r>
      <w:r>
        <w:rPr>
          <w:rFonts w:ascii="Calibri" w:hAnsi="Calibri" w:eastAsia="Calibri"/>
          <w:b w:val="0"/>
        </w:rPr>
        <w:t>is the AuAg Launch Edition of AAW's Z05 universal in-ear monitor platform. It is derived from the Z06 design philosophy, then reshaped around a new PET diaphragm 10mm dynamic woofer, switchable full-spectrum crossover tuning, and a forged-carbon shell finished with gold foil on the right side and silver foil on the left.</w:t>
      </w:r>
    </w:p>
    <w:tbl>
      <w:tblPr>
        <w:tblW w:type="dxa" w:w="9360"/>
        <w:jc w:val="center"/>
        <w:tblLayout w:type="fixed"/>
        <w:tblLook w:firstColumn="1" w:firstRow="1" w:lastColumn="0" w:lastRow="0" w:noHBand="0" w:noVBand="1" w:val="04A0"/>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Pr>
      <w:tblGrid>
        <w:gridCol w:w="4997"/>
        <w:gridCol w:w="4997"/>
      </w:tblGrid>
      <w:tr>
        <w:trPr>
          <w:tblHeader w:val="true"/>
        </w:trPr>
        <w:tc>
          <w:tcPr>
            <w:tcW w:type="dxa" w:w="2300"/>
            <w:shd w:fill="171717"/>
            <w:tcMar>
              <w:top w:w="100" w:type="dxa"/>
              <w:start w:w="140" w:type="dxa"/>
              <w:bottom w:w="100" w:type="dxa"/>
              <w:end w:w="140" w:type="dxa"/>
            </w:tcMar>
          </w:tcPr>
          <w:p>
            <w:r>
              <w:rPr>
                <w:b/>
                <w:color w:val="F5F2EB"/>
              </w:rPr>
              <w:t>Field</w:t>
            </w:r>
          </w:p>
        </w:tc>
        <w:tc>
          <w:tcPr>
            <w:tcW w:type="dxa" w:w="7060"/>
            <w:shd w:fill="171717"/>
            <w:tcMar>
              <w:top w:w="100" w:type="dxa"/>
              <w:start w:w="140" w:type="dxa"/>
              <w:bottom w:w="100" w:type="dxa"/>
              <w:end w:w="140" w:type="dxa"/>
            </w:tcMar>
          </w:tcPr>
          <w:p>
            <w:r>
              <w:rPr>
                <w:b/>
                <w:color w:val="F5F2EB"/>
              </w:rPr>
              <w:t>Detail</w:t>
            </w:r>
          </w:p>
        </w:tc>
      </w:tr>
      <w:tr>
        <w:tc>
          <w:tcPr>
            <w:tcW w:type="dxa" w:w="2300"/>
            <w:tcMar>
              <w:top w:w="100" w:type="dxa"/>
              <w:start w:w="140" w:type="dxa"/>
              <w:bottom w:w="100" w:type="dxa"/>
              <w:end w:w="140" w:type="dxa"/>
            </w:tcMar>
            <w:vAlign w:val="center"/>
            <w:shd w:fill="F2EFE8"/>
          </w:tcPr>
          <w:p>
            <w:r>
              <w:rPr>
                <w:b/>
                <w:color w:val="64481B"/>
              </w:rPr>
              <w:t>Product name</w:t>
            </w:r>
          </w:p>
        </w:tc>
        <w:tc>
          <w:tcPr>
            <w:tcW w:type="dxa" w:w="7060"/>
            <w:tcMar>
              <w:top w:w="100" w:type="dxa"/>
              <w:start w:w="140" w:type="dxa"/>
              <w:bottom w:w="100" w:type="dxa"/>
              <w:end w:w="140" w:type="dxa"/>
            </w:tcMar>
            <w:vAlign w:val="center"/>
          </w:tcPr>
          <w:p>
            <w:r>
              <w:t>AAW Z05 AuAg Universal In-Ear Monitor</w:t>
            </w:r>
          </w:p>
        </w:tc>
      </w:tr>
      <w:tr>
        <w:tc>
          <w:tcPr>
            <w:tcW w:type="dxa" w:w="2300"/>
            <w:tcMar>
              <w:top w:w="100" w:type="dxa"/>
              <w:start w:w="140" w:type="dxa"/>
              <w:bottom w:w="100" w:type="dxa"/>
              <w:end w:w="140" w:type="dxa"/>
            </w:tcMar>
            <w:vAlign w:val="center"/>
            <w:shd w:fill="F2EFE8"/>
          </w:tcPr>
          <w:p>
            <w:r>
              <w:rPr>
                <w:b/>
                <w:color w:val="64481B"/>
              </w:rPr>
              <w:t>Edition naming</w:t>
            </w:r>
          </w:p>
        </w:tc>
        <w:tc>
          <w:tcPr>
            <w:tcW w:type="dxa" w:w="7060"/>
            <w:tcMar>
              <w:top w:w="100" w:type="dxa"/>
              <w:start w:w="140" w:type="dxa"/>
              <w:bottom w:w="100" w:type="dxa"/>
              <w:end w:w="140" w:type="dxa"/>
            </w:tcMar>
            <w:vAlign w:val="center"/>
          </w:tcPr>
          <w:p>
            <w:r>
              <w:t>AuAg Launch Edition</w:t>
            </w:r>
          </w:p>
        </w:tc>
      </w:tr>
      <w:tr>
        <w:tc>
          <w:tcPr>
            <w:tcW w:type="dxa" w:w="2300"/>
            <w:tcMar>
              <w:top w:w="100" w:type="dxa"/>
              <w:start w:w="140" w:type="dxa"/>
              <w:bottom w:w="100" w:type="dxa"/>
              <w:end w:w="140" w:type="dxa"/>
            </w:tcMar>
            <w:vAlign w:val="center"/>
            <w:shd w:fill="F2EFE8"/>
          </w:tcPr>
          <w:p>
            <w:r>
              <w:rPr>
                <w:b/>
                <w:color w:val="64481B"/>
              </w:rPr>
              <w:t>Architecture</w:t>
            </w:r>
          </w:p>
        </w:tc>
        <w:tc>
          <w:tcPr>
            <w:tcW w:type="dxa" w:w="7060"/>
            <w:tcMar>
              <w:top w:w="100" w:type="dxa"/>
              <w:start w:w="140" w:type="dxa"/>
              <w:bottom w:w="100" w:type="dxa"/>
              <w:end w:w="140" w:type="dxa"/>
            </w:tcMar>
            <w:vAlign w:val="center"/>
          </w:tcPr>
          <w:p>
            <w:r>
              <w:t>5-driver hybrid: 1 x 10mm PET dynamic woofer, 2 x mid BA drivers, 2 x super-high BA drivers</w:t>
            </w:r>
          </w:p>
        </w:tc>
      </w:tr>
      <w:tr>
        <w:tc>
          <w:tcPr>
            <w:tcW w:type="dxa" w:w="2300"/>
            <w:tcMar>
              <w:top w:w="100" w:type="dxa"/>
              <w:start w:w="140" w:type="dxa"/>
              <w:bottom w:w="100" w:type="dxa"/>
              <w:end w:w="140" w:type="dxa"/>
            </w:tcMar>
            <w:vAlign w:val="center"/>
            <w:shd w:fill="F2EFE8"/>
          </w:tcPr>
          <w:p>
            <w:r>
              <w:rPr>
                <w:b/>
                <w:color w:val="64481B"/>
              </w:rPr>
              <w:t>Crossover</w:t>
            </w:r>
          </w:p>
        </w:tc>
        <w:tc>
          <w:tcPr>
            <w:tcW w:type="dxa" w:w="7060"/>
            <w:tcMar>
              <w:top w:w="100" w:type="dxa"/>
              <w:start w:w="140" w:type="dxa"/>
              <w:bottom w:w="100" w:type="dxa"/>
              <w:end w:w="140" w:type="dxa"/>
            </w:tcMar>
            <w:vAlign w:val="center"/>
          </w:tcPr>
          <w:p>
            <w:r>
              <w:t>3-way passive crossover with TwinCore Crossover Switch System</w:t>
            </w:r>
          </w:p>
        </w:tc>
      </w:tr>
      <w:tr>
        <w:tc>
          <w:tcPr>
            <w:tcW w:type="dxa" w:w="2300"/>
            <w:tcMar>
              <w:top w:w="100" w:type="dxa"/>
              <w:start w:w="140" w:type="dxa"/>
              <w:bottom w:w="100" w:type="dxa"/>
              <w:end w:w="140" w:type="dxa"/>
            </w:tcMar>
            <w:vAlign w:val="center"/>
            <w:shd w:fill="F2EFE8"/>
          </w:tcPr>
          <w:p>
            <w:r>
              <w:rPr>
                <w:b/>
                <w:color w:val="64481B"/>
              </w:rPr>
              <w:t>Acoustic system</w:t>
            </w:r>
          </w:p>
        </w:tc>
        <w:tc>
          <w:tcPr>
            <w:tcW w:type="dxa" w:w="7060"/>
            <w:tcMar>
              <w:top w:w="100" w:type="dxa"/>
              <w:start w:w="140" w:type="dxa"/>
              <w:bottom w:w="100" w:type="dxa"/>
              <w:end w:w="140" w:type="dxa"/>
            </w:tcMar>
            <w:vAlign w:val="center"/>
          </w:tcPr>
          <w:p>
            <w:r>
              <w:t>Bass-Flow Vent Pressure System</w:t>
            </w:r>
          </w:p>
        </w:tc>
      </w:tr>
      <w:tr>
        <w:tc>
          <w:tcPr>
            <w:tcW w:type="dxa" w:w="2300"/>
            <w:tcMar>
              <w:top w:w="100" w:type="dxa"/>
              <w:start w:w="140" w:type="dxa"/>
              <w:bottom w:w="100" w:type="dxa"/>
              <w:end w:w="140" w:type="dxa"/>
            </w:tcMar>
            <w:vAlign w:val="center"/>
            <w:shd w:fill="F2EFE8"/>
          </w:tcPr>
          <w:p>
            <w:r>
              <w:rPr>
                <w:b/>
                <w:color w:val="64481B"/>
              </w:rPr>
              <w:t>Cable</w:t>
            </w:r>
          </w:p>
        </w:tc>
        <w:tc>
          <w:tcPr>
            <w:tcW w:type="dxa" w:w="7060"/>
            <w:tcMar>
              <w:top w:w="100" w:type="dxa"/>
              <w:start w:w="140" w:type="dxa"/>
              <w:bottom w:w="100" w:type="dxa"/>
              <w:end w:w="140" w:type="dxa"/>
            </w:tcMar>
            <w:vAlign w:val="center"/>
          </w:tcPr>
          <w:p>
            <w:r>
              <w:t>2-pin detachable cable with swappable 3.5mm stereo, 4.4mm balanced, and Type-C terminations</w:t>
            </w:r>
          </w:p>
        </w:tc>
      </w:tr>
      <w:tr>
        <w:tc>
          <w:tcPr>
            <w:tcW w:type="dxa" w:w="2300"/>
            <w:tcMar>
              <w:top w:w="100" w:type="dxa"/>
              <w:start w:w="140" w:type="dxa"/>
              <w:bottom w:w="100" w:type="dxa"/>
              <w:end w:w="140" w:type="dxa"/>
            </w:tcMar>
            <w:vAlign w:val="center"/>
            <w:shd w:fill="F2EFE8"/>
          </w:tcPr>
          <w:p>
            <w:r>
              <w:rPr>
                <w:b/>
                <w:color w:val="64481B"/>
              </w:rPr>
              <w:t>Fit system</w:t>
            </w:r>
          </w:p>
        </w:tc>
        <w:tc>
          <w:tcPr>
            <w:tcW w:type="dxa" w:w="7060"/>
            <w:tcMar>
              <w:top w:w="100" w:type="dxa"/>
              <w:start w:w="140" w:type="dxa"/>
              <w:bottom w:w="100" w:type="dxa"/>
              <w:end w:w="140" w:type="dxa"/>
            </w:tcMar>
            <w:vAlign w:val="center"/>
          </w:tcPr>
          <w:p>
            <w:r>
              <w:t>LiquidMorph eartips</w:t>
            </w:r>
          </w:p>
        </w:tc>
      </w:tr>
      <w:tr>
        <w:tc>
          <w:tcPr>
            <w:tcW w:type="dxa" w:w="2300"/>
            <w:tcMar>
              <w:top w:w="100" w:type="dxa"/>
              <w:start w:w="140" w:type="dxa"/>
              <w:bottom w:w="100" w:type="dxa"/>
              <w:end w:w="140" w:type="dxa"/>
            </w:tcMar>
            <w:vAlign w:val="center"/>
            <w:shd w:fill="F2EFE8"/>
          </w:tcPr>
          <w:p>
            <w:r>
              <w:rPr>
                <w:b/>
                <w:color w:val="64481B"/>
              </w:rPr>
              <w:t>Specifications</w:t>
            </w:r>
          </w:p>
        </w:tc>
        <w:tc>
          <w:tcPr>
            <w:tcW w:type="dxa" w:w="7060"/>
            <w:tcMar>
              <w:top w:w="100" w:type="dxa"/>
              <w:start w:w="140" w:type="dxa"/>
              <w:bottom w:w="100" w:type="dxa"/>
              <w:end w:w="140" w:type="dxa"/>
            </w:tcMar>
            <w:vAlign w:val="center"/>
          </w:tcPr>
          <w:p>
            <w:r>
              <w:t>Sen.: 110dB @ 1kHz; Imp.: 12Ohm @ 1kHz; THD: &lt;0.5% @ 1kHz</w:t>
            </w:r>
          </w:p>
        </w:tc>
      </w:tr>
    </w:tbl>
    <w:p/>
    <w:p>
      <w:pPr>
        <w:pStyle w:val="Heading1"/>
      </w:pPr>
      <w:r>
        <w:rPr>
          <w:rFonts w:ascii="Calibri" w:hAnsi="Calibri" w:eastAsia="Calibri"/>
        </w:rPr>
        <w:t>Hero Copy</w:t>
      </w:r>
    </w:p>
    <w:p>
      <w:pPr>
        <w:pStyle w:val="Heading2"/>
      </w:pPr>
      <w:r>
        <w:rPr>
          <w:rFonts w:ascii="Calibri" w:hAnsi="Calibri" w:eastAsia="Calibri"/>
        </w:rPr>
        <w:t>Long Form</w:t>
      </w:r>
    </w:p>
    <w:p>
      <w:r>
        <w:rPr>
          <w:rFonts w:ascii="Calibri" w:hAnsi="Calibri" w:eastAsia="Calibri"/>
        </w:rPr>
        <w:t>AAW Z05 AuAg is a universal-fit hybrid in-ear monitor designed for listeners who want both acoustic authority and personal control. Built around a new PET diaphragm 10mm dynamic woofer, Z05 delivers a physical low-frequency foundation while preserving the spacious, high-resolution character of the Z series. Its TwinCore Crossover Switch System changes between two complete crossover states, giving listeners a direct way to reshape the monitor's presentation across the full spectrum.</w:t>
      </w:r>
    </w:p>
    <w:p>
      <w:r>
        <w:rPr>
          <w:rFonts w:ascii="Calibri" w:hAnsi="Calibri" w:eastAsia="Calibri"/>
        </w:rPr>
        <w:t>The AuAg Launch Edition turns that acoustic platform into a more distinctive visual object. Forged carbon faceplates sit inside a deep black universal shell, with gold foil laced through the right earpiece and silver foil laced through the left. The finish continues through the body shell, making the gold/silver identity part of the whole monitor rather than a faceplate-only accent.</w:t>
      </w:r>
    </w:p>
    <w:p>
      <w:pPr>
        <w:pStyle w:val="Heading2"/>
      </w:pPr>
      <w:r>
        <w:rPr>
          <w:rFonts w:ascii="Calibri" w:hAnsi="Calibri" w:eastAsia="Calibri"/>
        </w:rPr>
        <w:t>Short Form</w:t>
      </w:r>
    </w:p>
    <w:p>
      <w:r>
        <w:rPr>
          <w:rFonts w:ascii="Calibri" w:hAnsi="Calibri" w:eastAsia="Calibri"/>
        </w:rPr>
        <w:t>Z05 AuAg is where power, control, and craft meet: a PET diaphragm dynamic woofer, TwinCore full-spectrum tuning, modular source connection, and a forged-carbon AuAg shell built for the Launch Edition.</w:t>
      </w:r>
    </w:p>
    <w:p>
      <w:pPr>
        <w:pStyle w:val="Heading1"/>
      </w:pPr>
      <w:r>
        <w:rPr>
          <w:rFonts w:ascii="Calibri" w:hAnsi="Calibri" w:eastAsia="Calibri"/>
        </w:rPr>
        <w:t>Product Card</w:t>
      </w:r>
    </w:p>
    <w:p>
      <w:pPr>
        <w:jc w:val="center"/>
      </w:pPr>
      <w:r>
        <w:rPr>
          <w:rFonts w:ascii="Calibri" w:hAnsi="Calibri" w:eastAsia="Calibri"/>
        </w:rPr>
        <w:drawing>
          <wp:inline xmlns:a="http://schemas.openxmlformats.org/drawingml/2006/main" xmlns:pic="http://schemas.openxmlformats.org/drawingml/2006/picture">
            <wp:extent cx="5303520" cy="5303520"/>
            <wp:docPr id="2" name="Picture 2"/>
            <wp:cNvGraphicFramePr>
              <a:graphicFrameLocks noChangeAspect="1"/>
            </wp:cNvGraphicFramePr>
            <a:graphic>
              <a:graphicData uri="http://schemas.openxmlformats.org/drawingml/2006/picture">
                <pic:pic>
                  <pic:nvPicPr>
                    <pic:cNvPr id="0" name="z05-product-card.png"/>
                    <pic:cNvPicPr/>
                  </pic:nvPicPr>
                  <pic:blipFill>
                    <a:blip r:embed="rId12"/>
                    <a:stretch>
                      <a:fillRect/>
                    </a:stretch>
                  </pic:blipFill>
                  <pic:spPr>
                    <a:xfrm>
                      <a:off x="0" y="0"/>
                      <a:ext cx="5303520" cy="5303520"/>
                    </a:xfrm>
                    <a:prstGeom prst="rect"/>
                  </pic:spPr>
                </pic:pic>
              </a:graphicData>
            </a:graphic>
          </wp:inline>
        </w:drawing>
      </w:r>
    </w:p>
    <w:p>
      <w:pPr>
        <w:spacing w:after="160"/>
        <w:jc w:val="center"/>
      </w:pPr>
      <w:r>
        <w:rPr>
          <w:rFonts w:ascii="Calibri" w:hAnsi="Calibri" w:eastAsia="Calibri"/>
          <w:i/>
          <w:color w:val="5C574E"/>
          <w:sz w:val="18"/>
        </w:rPr>
        <w:t>Updated product card: AuAg Launch Edition, corrected key features, and final published specifications.</w:t>
      </w:r>
    </w:p>
    <w:p>
      <w:pPr>
        <w:pStyle w:val="Heading1"/>
      </w:pPr>
      <w:r>
        <w:rPr>
          <w:rFonts w:ascii="Calibri" w:hAnsi="Calibri" w:eastAsia="Calibri"/>
        </w:rPr>
        <w:t>TwinCore Crossover Switch System</w:t>
      </w:r>
    </w:p>
    <w:p>
      <w:r>
        <w:rPr>
          <w:rFonts w:ascii="Calibri" w:hAnsi="Calibri" w:eastAsia="Calibri"/>
        </w:rPr>
        <w:t>The Z05 switch is not a conventional one-component on/off switch. It changes between two complete crossover circuit states. The blue position places 20Ohm loading on both low-frequency and high-frequency paths. The red position changes the low-frequency path to 40Ohm and shorts the high-frequency path to 0Ohm. Because both paths are affected, the response changes across the whole spectrum rather than only boosting or cutting one band.</w:t>
      </w:r>
    </w:p>
    <w:tbl>
      <w:tblPr>
        <w:tblW w:type="dxa" w:w="9360"/>
        <w:jc w:val="center"/>
        <w:tblLayout w:type="fixed"/>
        <w:tblLook w:firstColumn="1" w:firstRow="1" w:lastColumn="0" w:lastRow="0" w:noHBand="0" w:noVBand="1" w:val="04A0"/>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Pr>
      <w:tblGrid>
        <w:gridCol w:w="4997"/>
        <w:gridCol w:w="4997"/>
      </w:tblGrid>
      <w:tr>
        <w:trPr>
          <w:tblHeader w:val="true"/>
        </w:trPr>
        <w:tc>
          <w:tcPr>
            <w:tcW w:type="dxa" w:w="2300"/>
            <w:shd w:fill="171717"/>
            <w:tcMar>
              <w:top w:w="100" w:type="dxa"/>
              <w:start w:w="140" w:type="dxa"/>
              <w:bottom w:w="100" w:type="dxa"/>
              <w:end w:w="140" w:type="dxa"/>
            </w:tcMar>
          </w:tcPr>
          <w:p>
            <w:r>
              <w:rPr>
                <w:b/>
                <w:color w:val="F5F2EB"/>
              </w:rPr>
              <w:t>Field</w:t>
            </w:r>
          </w:p>
        </w:tc>
        <w:tc>
          <w:tcPr>
            <w:tcW w:type="dxa" w:w="7060"/>
            <w:shd w:fill="171717"/>
            <w:tcMar>
              <w:top w:w="100" w:type="dxa"/>
              <w:start w:w="140" w:type="dxa"/>
              <w:bottom w:w="100" w:type="dxa"/>
              <w:end w:w="140" w:type="dxa"/>
            </w:tcMar>
          </w:tcPr>
          <w:p>
            <w:r>
              <w:rPr>
                <w:b/>
                <w:color w:val="F5F2EB"/>
              </w:rPr>
              <w:t>Detail</w:t>
            </w:r>
          </w:p>
        </w:tc>
      </w:tr>
      <w:tr>
        <w:tc>
          <w:tcPr>
            <w:tcW w:type="dxa" w:w="2300"/>
            <w:tcMar>
              <w:top w:w="100" w:type="dxa"/>
              <w:start w:w="140" w:type="dxa"/>
              <w:bottom w:w="100" w:type="dxa"/>
              <w:end w:w="140" w:type="dxa"/>
            </w:tcMar>
            <w:vAlign w:val="center"/>
            <w:shd w:fill="F2EFE8"/>
          </w:tcPr>
          <w:p>
            <w:r>
              <w:rPr>
                <w:b/>
                <w:color w:val="64481B"/>
              </w:rPr>
              <w:t>Market name</w:t>
            </w:r>
          </w:p>
        </w:tc>
        <w:tc>
          <w:tcPr>
            <w:tcW w:type="dxa" w:w="7060"/>
            <w:tcMar>
              <w:top w:w="100" w:type="dxa"/>
              <w:start w:w="140" w:type="dxa"/>
              <w:bottom w:w="100" w:type="dxa"/>
              <w:end w:w="140" w:type="dxa"/>
            </w:tcMar>
            <w:vAlign w:val="center"/>
          </w:tcPr>
          <w:p>
            <w:r>
              <w:t>TwinCore Crossover Switch System</w:t>
            </w:r>
          </w:p>
        </w:tc>
      </w:tr>
      <w:tr>
        <w:tc>
          <w:tcPr>
            <w:tcW w:type="dxa" w:w="2300"/>
            <w:tcMar>
              <w:top w:w="100" w:type="dxa"/>
              <w:start w:w="140" w:type="dxa"/>
              <w:bottom w:w="100" w:type="dxa"/>
              <w:end w:w="140" w:type="dxa"/>
            </w:tcMar>
            <w:vAlign w:val="center"/>
            <w:shd w:fill="F2EFE8"/>
          </w:tcPr>
          <w:p>
            <w:r>
              <w:rPr>
                <w:b/>
                <w:color w:val="64481B"/>
              </w:rPr>
              <w:t>English slogan</w:t>
            </w:r>
          </w:p>
        </w:tc>
        <w:tc>
          <w:tcPr>
            <w:tcW w:type="dxa" w:w="7060"/>
            <w:tcMar>
              <w:top w:w="100" w:type="dxa"/>
              <w:start w:w="140" w:type="dxa"/>
              <w:bottom w:w="100" w:type="dxa"/>
              <w:end w:w="140" w:type="dxa"/>
            </w:tcMar>
            <w:vAlign w:val="center"/>
          </w:tcPr>
          <w:p>
            <w:r>
              <w:t>Two complete crossovers. Two Z05 AuAg characters.</w:t>
            </w:r>
          </w:p>
        </w:tc>
      </w:tr>
      <w:tr>
        <w:tc>
          <w:tcPr>
            <w:tcW w:type="dxa" w:w="2300"/>
            <w:tcMar>
              <w:top w:w="100" w:type="dxa"/>
              <w:start w:w="140" w:type="dxa"/>
              <w:bottom w:w="100" w:type="dxa"/>
              <w:end w:w="140" w:type="dxa"/>
            </w:tcMar>
            <w:vAlign w:val="center"/>
            <w:shd w:fill="F2EFE8"/>
          </w:tcPr>
          <w:p>
            <w:r>
              <w:rPr>
                <w:b/>
                <w:color w:val="64481B"/>
              </w:rPr>
              <w:t>Chinese slogan</w:t>
            </w:r>
          </w:p>
        </w:tc>
        <w:tc>
          <w:tcPr>
            <w:tcW w:type="dxa" w:w="7060"/>
            <w:tcMar>
              <w:top w:w="100" w:type="dxa"/>
              <w:start w:w="140" w:type="dxa"/>
              <w:bottom w:w="100" w:type="dxa"/>
              <w:end w:w="140" w:type="dxa"/>
            </w:tcMar>
            <w:vAlign w:val="center"/>
          </w:tcPr>
          <w:p>
            <w:r>
              <w:t>??????????????</w:t>
            </w:r>
          </w:p>
        </w:tc>
      </w:tr>
      <w:tr>
        <w:tc>
          <w:tcPr>
            <w:tcW w:type="dxa" w:w="2300"/>
            <w:tcMar>
              <w:top w:w="100" w:type="dxa"/>
              <w:start w:w="140" w:type="dxa"/>
              <w:bottom w:w="100" w:type="dxa"/>
              <w:end w:w="140" w:type="dxa"/>
            </w:tcMar>
            <w:vAlign w:val="center"/>
            <w:shd w:fill="F2EFE8"/>
          </w:tcPr>
          <w:p>
            <w:r>
              <w:rPr>
                <w:b/>
                <w:color w:val="64481B"/>
              </w:rPr>
              <w:t>Blue position</w:t>
            </w:r>
          </w:p>
        </w:tc>
        <w:tc>
          <w:tcPr>
            <w:tcW w:type="dxa" w:w="7060"/>
            <w:tcMar>
              <w:top w:w="100" w:type="dxa"/>
              <w:start w:w="140" w:type="dxa"/>
              <w:bottom w:w="100" w:type="dxa"/>
              <w:end w:w="140" w:type="dxa"/>
            </w:tcMar>
            <w:vAlign w:val="center"/>
          </w:tcPr>
          <w:p>
            <w:r>
              <w:t>Low-frequency path: 20Ohm; high-frequency path: 20Ohm</w:t>
            </w:r>
          </w:p>
        </w:tc>
      </w:tr>
      <w:tr>
        <w:tc>
          <w:tcPr>
            <w:tcW w:type="dxa" w:w="2300"/>
            <w:tcMar>
              <w:top w:w="100" w:type="dxa"/>
              <w:start w:w="140" w:type="dxa"/>
              <w:bottom w:w="100" w:type="dxa"/>
              <w:end w:w="140" w:type="dxa"/>
            </w:tcMar>
            <w:vAlign w:val="center"/>
            <w:shd w:fill="F2EFE8"/>
          </w:tcPr>
          <w:p>
            <w:r>
              <w:rPr>
                <w:b/>
                <w:color w:val="64481B"/>
              </w:rPr>
              <w:t>Red position</w:t>
            </w:r>
          </w:p>
        </w:tc>
        <w:tc>
          <w:tcPr>
            <w:tcW w:type="dxa" w:w="7060"/>
            <w:tcMar>
              <w:top w:w="100" w:type="dxa"/>
              <w:start w:w="140" w:type="dxa"/>
              <w:bottom w:w="100" w:type="dxa"/>
              <w:end w:w="140" w:type="dxa"/>
            </w:tcMar>
            <w:vAlign w:val="center"/>
          </w:tcPr>
          <w:p>
            <w:r>
              <w:t>Low-frequency path: 40Ohm; high-frequency path: 0Ohm</w:t>
            </w:r>
          </w:p>
        </w:tc>
      </w:tr>
      <w:tr>
        <w:tc>
          <w:tcPr>
            <w:tcW w:type="dxa" w:w="2300"/>
            <w:tcMar>
              <w:top w:w="100" w:type="dxa"/>
              <w:start w:w="140" w:type="dxa"/>
              <w:bottom w:w="100" w:type="dxa"/>
              <w:end w:w="140" w:type="dxa"/>
            </w:tcMar>
            <w:vAlign w:val="center"/>
            <w:shd w:fill="F2EFE8"/>
          </w:tcPr>
          <w:p>
            <w:r>
              <w:rPr>
                <w:b/>
                <w:color w:val="64481B"/>
              </w:rPr>
              <w:t>Customer benefit</w:t>
            </w:r>
          </w:p>
        </w:tc>
        <w:tc>
          <w:tcPr>
            <w:tcW w:type="dxa" w:w="7060"/>
            <w:tcMar>
              <w:top w:w="100" w:type="dxa"/>
              <w:start w:w="140" w:type="dxa"/>
              <w:bottom w:w="100" w:type="dxa"/>
              <w:end w:w="140" w:type="dxa"/>
            </w:tcMar>
            <w:vAlign w:val="center"/>
          </w:tcPr>
          <w:p>
            <w:r>
              <w:t>A broader voicing shift that changes bass weight, vocal balance, and upper-frequency presence together.</w:t>
            </w:r>
          </w:p>
        </w:tc>
      </w:tr>
    </w:tbl>
    <w:p/>
    <w:p>
      <w:pPr>
        <w:pStyle w:val="Heading1"/>
      </w:pPr>
      <w:r>
        <w:rPr>
          <w:rFonts w:ascii="Calibri" w:hAnsi="Calibri" w:eastAsia="Calibri"/>
        </w:rPr>
        <w:t>AuAg Exterior Story</w:t>
      </w:r>
    </w:p>
    <w:p>
      <w:r>
        <w:rPr>
          <w:rFonts w:ascii="Calibri" w:hAnsi="Calibri" w:eastAsia="Calibri"/>
        </w:rPr>
        <w:t>The Z05 AuAg exterior is designed to feel more jewelry-like than a standard universal monitor while staying technical and dark. Each side uses a forged carbon faceplate with matching foil lacing through the corresponding shell body: gold for the right ear and silver for the left. Under the glossy black shell, the foil creates layered depth and a mineral-like shimmer.</w:t>
      </w:r>
    </w:p>
    <w:tbl>
      <w:tblPr>
        <w:tblW w:type="dxa" w:w="936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97"/>
        <w:gridCol w:w="4997"/>
      </w:tblGrid>
      <w:tr>
        <w:tc>
          <w:tcPr>
            <w:tcW w:type="dxa" w:w="4680"/>
            <w:tcMar>
              <w:top w:w="80" w:type="dxa"/>
              <w:start w:w="80" w:type="dxa"/>
              <w:bottom w:w="80" w:type="dxa"/>
              <w:end w:w="80" w:type="dxa"/>
            </w:tcMar>
          </w:tcPr>
          <w:p>
            <w:pPr>
              <w:jc w:val="center"/>
            </w:pPr>
            <w:r>
              <w:drawing>
                <wp:inline xmlns:a="http://schemas.openxmlformats.org/drawingml/2006/main" xmlns:pic="http://schemas.openxmlformats.org/drawingml/2006/picture">
                  <wp:extent cx="2788920" cy="1743075"/>
                  <wp:docPr id="3" name="Picture 3"/>
                  <wp:cNvGraphicFramePr>
                    <a:graphicFrameLocks noChangeAspect="1"/>
                  </wp:cNvGraphicFramePr>
                  <a:graphic>
                    <a:graphicData uri="http://schemas.openxmlformats.org/drawingml/2006/picture">
                      <pic:pic>
                        <pic:nvPicPr>
                          <pic:cNvPr id="0" name="z05-auag-faceplates.jpg"/>
                          <pic:cNvPicPr/>
                        </pic:nvPicPr>
                        <pic:blipFill>
                          <a:blip r:embed="rId13"/>
                          <a:stretch>
                            <a:fillRect/>
                          </a:stretch>
                        </pic:blipFill>
                        <pic:spPr>
                          <a:xfrm>
                            <a:off x="0" y="0"/>
                            <a:ext cx="2788920" cy="1743075"/>
                          </a:xfrm>
                          <a:prstGeom prst="rect"/>
                        </pic:spPr>
                      </pic:pic>
                    </a:graphicData>
                  </a:graphic>
                </wp:inline>
              </w:drawing>
            </w:r>
          </w:p>
          <w:p>
            <w:pPr>
              <w:jc w:val="center"/>
            </w:pPr>
            <w:r>
              <w:rPr>
                <w:i/>
                <w:color w:val="5C574E"/>
                <w:sz w:val="16"/>
              </w:rPr>
              <w:t>Gold right and silver left faceplate view.</w:t>
            </w:r>
          </w:p>
        </w:tc>
        <w:tc>
          <w:tcPr>
            <w:tcW w:type="dxa" w:w="4680"/>
            <w:tcMar>
              <w:top w:w="80" w:type="dxa"/>
              <w:start w:w="80" w:type="dxa"/>
              <w:bottom w:w="80" w:type="dxa"/>
              <w:end w:w="80" w:type="dxa"/>
            </w:tcMar>
          </w:tcPr>
          <w:p>
            <w:pPr>
              <w:jc w:val="center"/>
            </w:pPr>
            <w:r>
              <w:drawing>
                <wp:inline xmlns:a="http://schemas.openxmlformats.org/drawingml/2006/main" xmlns:pic="http://schemas.openxmlformats.org/drawingml/2006/picture">
                  <wp:extent cx="2788920" cy="1743075"/>
                  <wp:docPr id="4" name="Picture 4"/>
                  <wp:cNvGraphicFramePr>
                    <a:graphicFrameLocks noChangeAspect="1"/>
                  </wp:cNvGraphicFramePr>
                  <a:graphic>
                    <a:graphicData uri="http://schemas.openxmlformats.org/drawingml/2006/picture">
                      <pic:pic>
                        <pic:nvPicPr>
                          <pic:cNvPr id="0" name="z05-auag-switch-detail.jpg"/>
                          <pic:cNvPicPr/>
                        </pic:nvPicPr>
                        <pic:blipFill>
                          <a:blip r:embed="rId14"/>
                          <a:stretch>
                            <a:fillRect/>
                          </a:stretch>
                        </pic:blipFill>
                        <pic:spPr>
                          <a:xfrm>
                            <a:off x="0" y="0"/>
                            <a:ext cx="2788920" cy="1743075"/>
                          </a:xfrm>
                          <a:prstGeom prst="rect"/>
                        </pic:spPr>
                      </pic:pic>
                    </a:graphicData>
                  </a:graphic>
                </wp:inline>
              </w:drawing>
            </w:r>
          </w:p>
          <w:p>
            <w:pPr>
              <w:jc w:val="center"/>
            </w:pPr>
            <w:r>
              <w:rPr>
                <w:i/>
                <w:color w:val="5C574E"/>
                <w:sz w:val="16"/>
              </w:rPr>
              <w:t>Switch close-up showing blue/red position marking.</w:t>
            </w:r>
          </w:p>
        </w:tc>
      </w:tr>
    </w:tbl>
    <w:p/>
    <w:p>
      <w:pPr>
        <w:pStyle w:val="Heading1"/>
      </w:pPr>
      <w:r>
        <w:rPr>
          <w:rFonts w:ascii="Calibri" w:hAnsi="Calibri" w:eastAsia="Calibri"/>
        </w:rPr>
        <w:t>Accessories And Fit</w:t>
      </w:r>
    </w:p>
    <w:p>
      <w:r>
        <w:rPr>
          <w:rFonts w:ascii="Calibri" w:hAnsi="Calibri" w:eastAsia="Calibri"/>
        </w:rPr>
        <w:t>Z05 AuAg has the same general accessory direction as Z06, with one important update: the cable is a new entry-level detachable cable with a practical multi-connector system. The cable itself does not need a branded name; the selling point is simple source flexibility across 3.5mm stereo, 4.4mm balanced, and Type-C.</w:t>
      </w:r>
    </w:p>
    <w:p>
      <w:pPr>
        <w:jc w:val="center"/>
      </w:pPr>
      <w:r>
        <w:rPr>
          <w:rFonts w:ascii="Calibri" w:hAnsi="Calibri" w:eastAsia="Calibri"/>
        </w:rPr>
        <w:drawing>
          <wp:inline xmlns:a="http://schemas.openxmlformats.org/drawingml/2006/main" xmlns:pic="http://schemas.openxmlformats.org/drawingml/2006/picture">
            <wp:extent cx="5943600" cy="3714750"/>
            <wp:docPr id="5" name="Picture 5"/>
            <wp:cNvGraphicFramePr>
              <a:graphicFrameLocks noChangeAspect="1"/>
            </wp:cNvGraphicFramePr>
            <a:graphic>
              <a:graphicData uri="http://schemas.openxmlformats.org/drawingml/2006/picture">
                <pic:pic>
                  <pic:nvPicPr>
                    <pic:cNvPr id="0" name="z05-auag-liquidmorph-tray.jpg"/>
                    <pic:cNvPicPr/>
                  </pic:nvPicPr>
                  <pic:blipFill>
                    <a:blip r:embed="rId15"/>
                    <a:stretch>
                      <a:fillRect/>
                    </a:stretch>
                  </pic:blipFill>
                  <pic:spPr>
                    <a:xfrm>
                      <a:off x="0" y="0"/>
                      <a:ext cx="5943600" cy="3714750"/>
                    </a:xfrm>
                    <a:prstGeom prst="rect"/>
                  </pic:spPr>
                </pic:pic>
              </a:graphicData>
            </a:graphic>
          </wp:inline>
        </w:drawing>
      </w:r>
    </w:p>
    <w:p>
      <w:pPr>
        <w:spacing w:after="160"/>
        <w:jc w:val="center"/>
      </w:pPr>
      <w:r>
        <w:rPr>
          <w:rFonts w:ascii="Calibri" w:hAnsi="Calibri" w:eastAsia="Calibri"/>
          <w:i/>
          <w:color w:val="5C574E"/>
          <w:sz w:val="18"/>
        </w:rPr>
        <w:t>Accessory-section image: LiquidMorph tray context with Z05 AuAg package components.</w:t>
      </w:r>
    </w:p>
    <w:tbl>
      <w:tblPr>
        <w:tblW w:type="dxa" w:w="9360"/>
        <w:jc w:val="center"/>
        <w:tblLayout w:type="fixed"/>
        <w:tblLook w:firstColumn="1" w:firstRow="1" w:lastColumn="0" w:lastRow="0" w:noHBand="0" w:noVBand="1" w:val="04A0"/>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Pr>
      <w:tblGrid>
        <w:gridCol w:w="4997"/>
        <w:gridCol w:w="4997"/>
      </w:tblGrid>
      <w:tr>
        <w:trPr>
          <w:tblHeader w:val="true"/>
        </w:trPr>
        <w:tc>
          <w:tcPr>
            <w:tcW w:type="dxa" w:w="2300"/>
            <w:shd w:fill="171717"/>
            <w:tcMar>
              <w:top w:w="100" w:type="dxa"/>
              <w:start w:w="140" w:type="dxa"/>
              <w:bottom w:w="100" w:type="dxa"/>
              <w:end w:w="140" w:type="dxa"/>
            </w:tcMar>
          </w:tcPr>
          <w:p>
            <w:r>
              <w:rPr>
                <w:b/>
                <w:color w:val="F5F2EB"/>
              </w:rPr>
              <w:t>Field</w:t>
            </w:r>
          </w:p>
        </w:tc>
        <w:tc>
          <w:tcPr>
            <w:tcW w:type="dxa" w:w="7060"/>
            <w:shd w:fill="171717"/>
            <w:tcMar>
              <w:top w:w="100" w:type="dxa"/>
              <w:start w:w="140" w:type="dxa"/>
              <w:bottom w:w="100" w:type="dxa"/>
              <w:end w:w="140" w:type="dxa"/>
            </w:tcMar>
          </w:tcPr>
          <w:p>
            <w:r>
              <w:rPr>
                <w:b/>
                <w:color w:val="F5F2EB"/>
              </w:rPr>
              <w:t>Detail</w:t>
            </w:r>
          </w:p>
        </w:tc>
      </w:tr>
      <w:tr>
        <w:tc>
          <w:tcPr>
            <w:tcW w:type="dxa" w:w="2300"/>
            <w:tcMar>
              <w:top w:w="100" w:type="dxa"/>
              <w:start w:w="140" w:type="dxa"/>
              <w:bottom w:w="100" w:type="dxa"/>
              <w:end w:w="140" w:type="dxa"/>
            </w:tcMar>
            <w:vAlign w:val="center"/>
            <w:shd w:fill="F2EFE8"/>
          </w:tcPr>
          <w:p>
            <w:r>
              <w:rPr>
                <w:b/>
                <w:color w:val="64481B"/>
              </w:rPr>
              <w:t>Included monitors</w:t>
            </w:r>
          </w:p>
        </w:tc>
        <w:tc>
          <w:tcPr>
            <w:tcW w:type="dxa" w:w="7060"/>
            <w:tcMar>
              <w:top w:w="100" w:type="dxa"/>
              <w:start w:w="140" w:type="dxa"/>
              <w:bottom w:w="100" w:type="dxa"/>
              <w:end w:w="140" w:type="dxa"/>
            </w:tcMar>
            <w:vAlign w:val="center"/>
          </w:tcPr>
          <w:p>
            <w:r>
              <w:t>Z05 AuAg universal in-ear monitor pair</w:t>
            </w:r>
          </w:p>
        </w:tc>
      </w:tr>
      <w:tr>
        <w:tc>
          <w:tcPr>
            <w:tcW w:type="dxa" w:w="2300"/>
            <w:tcMar>
              <w:top w:w="100" w:type="dxa"/>
              <w:start w:w="140" w:type="dxa"/>
              <w:bottom w:w="100" w:type="dxa"/>
              <w:end w:w="140" w:type="dxa"/>
            </w:tcMar>
            <w:vAlign w:val="center"/>
            <w:shd w:fill="F2EFE8"/>
          </w:tcPr>
          <w:p>
            <w:r>
              <w:rPr>
                <w:b/>
                <w:color w:val="64481B"/>
              </w:rPr>
              <w:t>Included cable</w:t>
            </w:r>
          </w:p>
        </w:tc>
        <w:tc>
          <w:tcPr>
            <w:tcW w:type="dxa" w:w="7060"/>
            <w:tcMar>
              <w:top w:w="100" w:type="dxa"/>
              <w:start w:w="140" w:type="dxa"/>
              <w:bottom w:w="100" w:type="dxa"/>
              <w:end w:w="140" w:type="dxa"/>
            </w:tcMar>
            <w:vAlign w:val="center"/>
          </w:tcPr>
          <w:p>
            <w:r>
              <w:t>2-pin detachable cable with swappable source-side connector system</w:t>
            </w:r>
          </w:p>
        </w:tc>
      </w:tr>
      <w:tr>
        <w:tc>
          <w:tcPr>
            <w:tcW w:type="dxa" w:w="2300"/>
            <w:tcMar>
              <w:top w:w="100" w:type="dxa"/>
              <w:start w:w="140" w:type="dxa"/>
              <w:bottom w:w="100" w:type="dxa"/>
              <w:end w:w="140" w:type="dxa"/>
            </w:tcMar>
            <w:vAlign w:val="center"/>
            <w:shd w:fill="F2EFE8"/>
          </w:tcPr>
          <w:p>
            <w:r>
              <w:rPr>
                <w:b/>
                <w:color w:val="64481B"/>
              </w:rPr>
              <w:t>Termination options</w:t>
            </w:r>
          </w:p>
        </w:tc>
        <w:tc>
          <w:tcPr>
            <w:tcW w:type="dxa" w:w="7060"/>
            <w:tcMar>
              <w:top w:w="100" w:type="dxa"/>
              <w:start w:w="140" w:type="dxa"/>
              <w:bottom w:w="100" w:type="dxa"/>
              <w:end w:w="140" w:type="dxa"/>
            </w:tcMar>
            <w:vAlign w:val="center"/>
          </w:tcPr>
          <w:p>
            <w:r>
              <w:t>3.5mm stereo, 4.4mm balanced, Type-C</w:t>
            </w:r>
          </w:p>
        </w:tc>
      </w:tr>
      <w:tr>
        <w:tc>
          <w:tcPr>
            <w:tcW w:type="dxa" w:w="2300"/>
            <w:tcMar>
              <w:top w:w="100" w:type="dxa"/>
              <w:start w:w="140" w:type="dxa"/>
              <w:bottom w:w="100" w:type="dxa"/>
              <w:end w:w="140" w:type="dxa"/>
            </w:tcMar>
            <w:vAlign w:val="center"/>
            <w:shd w:fill="F2EFE8"/>
          </w:tcPr>
          <w:p>
            <w:r>
              <w:rPr>
                <w:b/>
                <w:color w:val="64481B"/>
              </w:rPr>
              <w:t>Fit accessories</w:t>
            </w:r>
          </w:p>
        </w:tc>
        <w:tc>
          <w:tcPr>
            <w:tcW w:type="dxa" w:w="7060"/>
            <w:tcMar>
              <w:top w:w="100" w:type="dxa"/>
              <w:start w:w="140" w:type="dxa"/>
              <w:bottom w:w="100" w:type="dxa"/>
              <w:end w:w="140" w:type="dxa"/>
            </w:tcMar>
            <w:vAlign w:val="center"/>
          </w:tcPr>
          <w:p>
            <w:r>
              <w:t>LiquidMorph eartips</w:t>
            </w:r>
          </w:p>
        </w:tc>
      </w:tr>
      <w:tr>
        <w:tc>
          <w:tcPr>
            <w:tcW w:type="dxa" w:w="2300"/>
            <w:tcMar>
              <w:top w:w="100" w:type="dxa"/>
              <w:start w:w="140" w:type="dxa"/>
              <w:bottom w:w="100" w:type="dxa"/>
              <w:end w:w="140" w:type="dxa"/>
            </w:tcMar>
            <w:vAlign w:val="center"/>
            <w:shd w:fill="F2EFE8"/>
          </w:tcPr>
          <w:p>
            <w:r>
              <w:rPr>
                <w:b/>
                <w:color w:val="64481B"/>
              </w:rPr>
              <w:t>Other accessories</w:t>
            </w:r>
          </w:p>
        </w:tc>
        <w:tc>
          <w:tcPr>
            <w:tcW w:type="dxa" w:w="7060"/>
            <w:tcMar>
              <w:top w:w="100" w:type="dxa"/>
              <w:start w:w="140" w:type="dxa"/>
              <w:bottom w:w="100" w:type="dxa"/>
              <w:end w:w="140" w:type="dxa"/>
            </w:tcMar>
            <w:vAlign w:val="center"/>
          </w:tcPr>
          <w:p>
            <w:r>
              <w:t>Carrying case and standard support accessories aligned with the Z-series package direction</w:t>
            </w:r>
          </w:p>
        </w:tc>
      </w:tr>
    </w:tbl>
    <w:p/>
    <w:p>
      <w:pPr>
        <w:pStyle w:val="Heading1"/>
      </w:pPr>
      <w:r>
        <w:rPr>
          <w:rFonts w:ascii="Calibri" w:hAnsi="Calibri" w:eastAsia="Calibri"/>
        </w:rPr>
        <w:t>LiquidMorph Eartips</w:t>
      </w:r>
    </w:p>
    <w:p>
      <w:r>
        <w:rPr>
          <w:rFonts w:ascii="Calibri" w:hAnsi="Calibri" w:eastAsia="Calibri"/>
        </w:rPr>
        <w:t>The LiquidMorph section should use the standalone eartip image rather than the tray image, because the eartip-only visual clearly shows the transparent flange shape and teal inner bore. This makes the fit-system explanation clearer than a tray-context photo.</w:t>
      </w:r>
    </w:p>
    <w:p>
      <w:pPr>
        <w:jc w:val="center"/>
      </w:pPr>
      <w:r>
        <w:rPr>
          <w:rFonts w:ascii="Calibri" w:hAnsi="Calibri" w:eastAsia="Calibri"/>
        </w:rPr>
        <w:drawing>
          <wp:inline xmlns:a="http://schemas.openxmlformats.org/drawingml/2006/main" xmlns:pic="http://schemas.openxmlformats.org/drawingml/2006/picture">
            <wp:extent cx="4754880" cy="4754880"/>
            <wp:docPr id="6" name="Picture 6"/>
            <wp:cNvGraphicFramePr>
              <a:graphicFrameLocks noChangeAspect="1"/>
            </wp:cNvGraphicFramePr>
            <a:graphic>
              <a:graphicData uri="http://schemas.openxmlformats.org/drawingml/2006/picture">
                <pic:pic>
                  <pic:nvPicPr>
                    <pic:cNvPr id="0" name="z05-liquidmorph-eartips.jpg"/>
                    <pic:cNvPicPr/>
                  </pic:nvPicPr>
                  <pic:blipFill>
                    <a:blip r:embed="rId16"/>
                    <a:stretch>
                      <a:fillRect/>
                    </a:stretch>
                  </pic:blipFill>
                  <pic:spPr>
                    <a:xfrm>
                      <a:off x="0" y="0"/>
                      <a:ext cx="4754880" cy="4754880"/>
                    </a:xfrm>
                    <a:prstGeom prst="rect"/>
                  </pic:spPr>
                </pic:pic>
              </a:graphicData>
            </a:graphic>
          </wp:inline>
        </w:drawing>
      </w:r>
    </w:p>
    <w:p>
      <w:pPr>
        <w:spacing w:after="160"/>
        <w:jc w:val="center"/>
      </w:pPr>
      <w:r>
        <w:rPr>
          <w:rFonts w:ascii="Calibri" w:hAnsi="Calibri" w:eastAsia="Calibri"/>
          <w:i/>
          <w:color w:val="5C574E"/>
          <w:sz w:val="18"/>
        </w:rPr>
        <w:t>LiquidMorph section image: eartip-only visual for clear shape recognition.</w:t>
      </w:r>
    </w:p>
    <w:p>
      <w:pPr>
        <w:pStyle w:val="Heading1"/>
      </w:pPr>
      <w:r>
        <w:rPr>
          <w:rFonts w:ascii="Calibri" w:hAnsi="Calibri" w:eastAsia="Calibri"/>
        </w:rPr>
        <w:t>Selected Launch Image Set</w:t>
      </w:r>
    </w:p>
    <w:p>
      <w:r>
        <w:rPr>
          <w:rFonts w:ascii="Calibri" w:hAnsi="Calibri" w:eastAsia="Calibri"/>
        </w:rPr>
        <w:t>Eight edited images were selected from the supplied dump for the product page and literature. The set balances hero appeal, finish detail, switch access, cable practicality, accessory context, and eartip explanation.</w:t>
      </w:r>
    </w:p>
    <w:tbl>
      <w:tblPr>
        <w:tblW w:type="dxa" w:w="936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97"/>
        <w:gridCol w:w="4997"/>
      </w:tblGrid>
      <w:tr>
        <w:tc>
          <w:tcPr>
            <w:tcW w:type="dxa" w:w="4680"/>
            <w:tcMar>
              <w:top w:w="80" w:type="dxa"/>
              <w:start w:w="80" w:type="dxa"/>
              <w:bottom w:w="80" w:type="dxa"/>
              <w:end w:w="80" w:type="dxa"/>
            </w:tcMar>
          </w:tcPr>
          <w:p>
            <w:pPr>
              <w:jc w:val="center"/>
            </w:pPr>
            <w:r>
              <w:drawing>
                <wp:inline xmlns:a="http://schemas.openxmlformats.org/drawingml/2006/main" xmlns:pic="http://schemas.openxmlformats.org/drawingml/2006/picture">
                  <wp:extent cx="2788920" cy="1774767"/>
                  <wp:docPr id="7" name="Picture 7"/>
                  <wp:cNvGraphicFramePr>
                    <a:graphicFrameLocks noChangeAspect="1"/>
                  </wp:cNvGraphicFramePr>
                  <a:graphic>
                    <a:graphicData uri="http://schemas.openxmlformats.org/drawingml/2006/picture">
                      <pic:pic>
                        <pic:nvPicPr>
                          <pic:cNvPr id="0" name="z05-auag-hero.jpg"/>
                          <pic:cNvPicPr/>
                        </pic:nvPicPr>
                        <pic:blipFill>
                          <a:blip r:embed="rId11"/>
                          <a:stretch>
                            <a:fillRect/>
                          </a:stretch>
                        </pic:blipFill>
                        <pic:spPr>
                          <a:xfrm>
                            <a:off x="0" y="0"/>
                            <a:ext cx="2788920" cy="1774767"/>
                          </a:xfrm>
                          <a:prstGeom prst="rect"/>
                        </pic:spPr>
                      </pic:pic>
                    </a:graphicData>
                  </a:graphic>
                </wp:inline>
              </w:drawing>
            </w:r>
          </w:p>
          <w:p>
            <w:pPr>
              <w:jc w:val="center"/>
            </w:pPr>
            <w:r>
              <w:rPr>
                <w:i/>
                <w:color w:val="5C574E"/>
                <w:sz w:val="16"/>
              </w:rPr>
              <w:t>IMG_5345.JPG - Hero faceplate view</w:t>
            </w:r>
          </w:p>
        </w:tc>
        <w:tc>
          <w:tcPr>
            <w:tcW w:type="dxa" w:w="4680"/>
            <w:tcMar>
              <w:top w:w="80" w:type="dxa"/>
              <w:start w:w="80" w:type="dxa"/>
              <w:bottom w:w="80" w:type="dxa"/>
              <w:end w:w="80" w:type="dxa"/>
            </w:tcMar>
          </w:tcPr>
          <w:p>
            <w:pPr>
              <w:jc w:val="center"/>
            </w:pPr>
            <w:r>
              <w:drawing>
                <wp:inline xmlns:a="http://schemas.openxmlformats.org/drawingml/2006/main" xmlns:pic="http://schemas.openxmlformats.org/drawingml/2006/picture">
                  <wp:extent cx="2788920" cy="1743075"/>
                  <wp:docPr id="8" name="Picture 8"/>
                  <wp:cNvGraphicFramePr>
                    <a:graphicFrameLocks noChangeAspect="1"/>
                  </wp:cNvGraphicFramePr>
                  <a:graphic>
                    <a:graphicData uri="http://schemas.openxmlformats.org/drawingml/2006/picture">
                      <pic:pic>
                        <pic:nvPicPr>
                          <pic:cNvPr id="0" name="z05-auag-faceplates.jpg"/>
                          <pic:cNvPicPr/>
                        </pic:nvPicPr>
                        <pic:blipFill>
                          <a:blip r:embed="rId13"/>
                          <a:stretch>
                            <a:fillRect/>
                          </a:stretch>
                        </pic:blipFill>
                        <pic:spPr>
                          <a:xfrm>
                            <a:off x="0" y="0"/>
                            <a:ext cx="2788920" cy="1743075"/>
                          </a:xfrm>
                          <a:prstGeom prst="rect"/>
                        </pic:spPr>
                      </pic:pic>
                    </a:graphicData>
                  </a:graphic>
                </wp:inline>
              </w:drawing>
            </w:r>
          </w:p>
          <w:p>
            <w:pPr>
              <w:jc w:val="center"/>
            </w:pPr>
            <w:r>
              <w:rPr>
                <w:i/>
                <w:color w:val="5C574E"/>
                <w:sz w:val="16"/>
              </w:rPr>
              <w:t>IMG_5355.JPG - Gold/silver forged-carbon faceplates</w:t>
            </w:r>
          </w:p>
        </w:tc>
      </w:tr>
    </w:tbl>
    <w:p/>
    <w:tbl>
      <w:tblPr>
        <w:tblW w:type="dxa" w:w="936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97"/>
        <w:gridCol w:w="4997"/>
      </w:tblGrid>
      <w:tr>
        <w:tc>
          <w:tcPr>
            <w:tcW w:type="dxa" w:w="4680"/>
            <w:tcMar>
              <w:top w:w="80" w:type="dxa"/>
              <w:start w:w="80" w:type="dxa"/>
              <w:bottom w:w="80" w:type="dxa"/>
              <w:end w:w="80" w:type="dxa"/>
            </w:tcMar>
          </w:tcPr>
          <w:p>
            <w:pPr>
              <w:jc w:val="center"/>
            </w:pPr>
            <w:r>
              <w:drawing>
                <wp:inline xmlns:a="http://schemas.openxmlformats.org/drawingml/2006/main" xmlns:pic="http://schemas.openxmlformats.org/drawingml/2006/picture">
                  <wp:extent cx="2788920" cy="1743075"/>
                  <wp:docPr id="9" name="Picture 9"/>
                  <wp:cNvGraphicFramePr>
                    <a:graphicFrameLocks noChangeAspect="1"/>
                  </wp:cNvGraphicFramePr>
                  <a:graphic>
                    <a:graphicData uri="http://schemas.openxmlformats.org/drawingml/2006/picture">
                      <pic:pic>
                        <pic:nvPicPr>
                          <pic:cNvPr id="0" name="z05-auag-switch-detail.jpg"/>
                          <pic:cNvPicPr/>
                        </pic:nvPicPr>
                        <pic:blipFill>
                          <a:blip r:embed="rId14"/>
                          <a:stretch>
                            <a:fillRect/>
                          </a:stretch>
                        </pic:blipFill>
                        <pic:spPr>
                          <a:xfrm>
                            <a:off x="0" y="0"/>
                            <a:ext cx="2788920" cy="1743075"/>
                          </a:xfrm>
                          <a:prstGeom prst="rect"/>
                        </pic:spPr>
                      </pic:pic>
                    </a:graphicData>
                  </a:graphic>
                </wp:inline>
              </w:drawing>
            </w:r>
          </w:p>
          <w:p>
            <w:pPr>
              <w:jc w:val="center"/>
            </w:pPr>
            <w:r>
              <w:rPr>
                <w:i/>
                <w:color w:val="5C574E"/>
                <w:sz w:val="16"/>
              </w:rPr>
              <w:t>IMG_5324.JPG - Switch close-up with clear blue/red position</w:t>
            </w:r>
          </w:p>
        </w:tc>
        <w:tc>
          <w:tcPr>
            <w:tcW w:type="dxa" w:w="4680"/>
            <w:tcMar>
              <w:top w:w="80" w:type="dxa"/>
              <w:start w:w="80" w:type="dxa"/>
              <w:bottom w:w="80" w:type="dxa"/>
              <w:end w:w="80" w:type="dxa"/>
            </w:tcMar>
          </w:tcPr>
          <w:p>
            <w:pPr>
              <w:jc w:val="center"/>
            </w:pPr>
            <w:r>
              <w:drawing>
                <wp:inline xmlns:a="http://schemas.openxmlformats.org/drawingml/2006/main" xmlns:pic="http://schemas.openxmlformats.org/drawingml/2006/picture">
                  <wp:extent cx="2788920" cy="1743075"/>
                  <wp:docPr id="10" name="Picture 10"/>
                  <wp:cNvGraphicFramePr>
                    <a:graphicFrameLocks noChangeAspect="1"/>
                  </wp:cNvGraphicFramePr>
                  <a:graphic>
                    <a:graphicData uri="http://schemas.openxmlformats.org/drawingml/2006/picture">
                      <pic:pic>
                        <pic:nvPicPr>
                          <pic:cNvPr id="0" name="z05-auag-shell-angle.jpg"/>
                          <pic:cNvPicPr/>
                        </pic:nvPicPr>
                        <pic:blipFill>
                          <a:blip r:embed="rId17"/>
                          <a:stretch>
                            <a:fillRect/>
                          </a:stretch>
                        </pic:blipFill>
                        <pic:spPr>
                          <a:xfrm>
                            <a:off x="0" y="0"/>
                            <a:ext cx="2788920" cy="1743075"/>
                          </a:xfrm>
                          <a:prstGeom prst="rect"/>
                        </pic:spPr>
                      </pic:pic>
                    </a:graphicData>
                  </a:graphic>
                </wp:inline>
              </w:drawing>
            </w:r>
          </w:p>
          <w:p>
            <w:pPr>
              <w:jc w:val="center"/>
            </w:pPr>
            <w:r>
              <w:rPr>
                <w:i/>
                <w:color w:val="5C574E"/>
                <w:sz w:val="16"/>
              </w:rPr>
              <w:t>IMG_5328.JPG - AuAg shell angle</w:t>
            </w:r>
          </w:p>
        </w:tc>
      </w:tr>
    </w:tbl>
    <w:p/>
    <w:tbl>
      <w:tblPr>
        <w:tblW w:type="dxa" w:w="936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97"/>
        <w:gridCol w:w="4997"/>
      </w:tblGrid>
      <w:tr>
        <w:tc>
          <w:tcPr>
            <w:tcW w:type="dxa" w:w="4680"/>
            <w:tcMar>
              <w:top w:w="80" w:type="dxa"/>
              <w:start w:w="80" w:type="dxa"/>
              <w:bottom w:w="80" w:type="dxa"/>
              <w:end w:w="80" w:type="dxa"/>
            </w:tcMar>
          </w:tcPr>
          <w:p>
            <w:pPr>
              <w:jc w:val="center"/>
            </w:pPr>
            <w:r>
              <w:drawing>
                <wp:inline xmlns:a="http://schemas.openxmlformats.org/drawingml/2006/main" xmlns:pic="http://schemas.openxmlformats.org/drawingml/2006/picture">
                  <wp:extent cx="2788920" cy="1743075"/>
                  <wp:docPr id="11" name="Picture 11"/>
                  <wp:cNvGraphicFramePr>
                    <a:graphicFrameLocks noChangeAspect="1"/>
                  </wp:cNvGraphicFramePr>
                  <a:graphic>
                    <a:graphicData uri="http://schemas.openxmlformats.org/drawingml/2006/picture">
                      <pic:pic>
                        <pic:nvPicPr>
                          <pic:cNvPr id="0" name="z05-auag-cable-system.jpg"/>
                          <pic:cNvPicPr/>
                        </pic:nvPicPr>
                        <pic:blipFill>
                          <a:blip r:embed="rId18"/>
                          <a:stretch>
                            <a:fillRect/>
                          </a:stretch>
                        </pic:blipFill>
                        <pic:spPr>
                          <a:xfrm>
                            <a:off x="0" y="0"/>
                            <a:ext cx="2788920" cy="1743075"/>
                          </a:xfrm>
                          <a:prstGeom prst="rect"/>
                        </pic:spPr>
                      </pic:pic>
                    </a:graphicData>
                  </a:graphic>
                </wp:inline>
              </w:drawing>
            </w:r>
          </w:p>
          <w:p>
            <w:pPr>
              <w:jc w:val="center"/>
            </w:pPr>
            <w:r>
              <w:rPr>
                <w:i/>
                <w:color w:val="5C574E"/>
                <w:sz w:val="16"/>
              </w:rPr>
              <w:t>IMG_5311.JPG - Swappable termination cable system</w:t>
            </w:r>
          </w:p>
        </w:tc>
        <w:tc>
          <w:tcPr>
            <w:tcW w:type="dxa" w:w="4680"/>
            <w:tcMar>
              <w:top w:w="80" w:type="dxa"/>
              <w:start w:w="80" w:type="dxa"/>
              <w:bottom w:w="80" w:type="dxa"/>
              <w:end w:w="80" w:type="dxa"/>
            </w:tcMar>
          </w:tcPr>
          <w:p>
            <w:pPr>
              <w:jc w:val="center"/>
            </w:pPr>
            <w:r>
              <w:drawing>
                <wp:inline xmlns:a="http://schemas.openxmlformats.org/drawingml/2006/main" xmlns:pic="http://schemas.openxmlformats.org/drawingml/2006/picture">
                  <wp:extent cx="2788920" cy="1743075"/>
                  <wp:docPr id="12" name="Picture 12"/>
                  <wp:cNvGraphicFramePr>
                    <a:graphicFrameLocks noChangeAspect="1"/>
                  </wp:cNvGraphicFramePr>
                  <a:graphic>
                    <a:graphicData uri="http://schemas.openxmlformats.org/drawingml/2006/picture">
                      <pic:pic>
                        <pic:nvPicPr>
                          <pic:cNvPr id="0" name="z05-auag-package-flatlay.jpg"/>
                          <pic:cNvPicPr/>
                        </pic:nvPicPr>
                        <pic:blipFill>
                          <a:blip r:embed="rId19"/>
                          <a:stretch>
                            <a:fillRect/>
                          </a:stretch>
                        </pic:blipFill>
                        <pic:spPr>
                          <a:xfrm>
                            <a:off x="0" y="0"/>
                            <a:ext cx="2788920" cy="1743075"/>
                          </a:xfrm>
                          <a:prstGeom prst="rect"/>
                        </pic:spPr>
                      </pic:pic>
                    </a:graphicData>
                  </a:graphic>
                </wp:inline>
              </w:drawing>
            </w:r>
          </w:p>
          <w:p>
            <w:pPr>
              <w:jc w:val="center"/>
            </w:pPr>
            <w:r>
              <w:rPr>
                <w:i/>
                <w:color w:val="5C574E"/>
                <w:sz w:val="16"/>
              </w:rPr>
              <w:t>IMG_5310.JPG - Full package flatlay</w:t>
            </w:r>
          </w:p>
        </w:tc>
      </w:tr>
    </w:tbl>
    <w:p/>
    <w:tbl>
      <w:tblPr>
        <w:tblW w:type="dxa" w:w="936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97"/>
        <w:gridCol w:w="4997"/>
      </w:tblGrid>
      <w:tr>
        <w:tc>
          <w:tcPr>
            <w:tcW w:type="dxa" w:w="4680"/>
            <w:tcMar>
              <w:top w:w="80" w:type="dxa"/>
              <w:start w:w="80" w:type="dxa"/>
              <w:bottom w:w="80" w:type="dxa"/>
              <w:end w:w="80" w:type="dxa"/>
            </w:tcMar>
          </w:tcPr>
          <w:p>
            <w:pPr>
              <w:jc w:val="center"/>
            </w:pPr>
            <w:r>
              <w:drawing>
                <wp:inline xmlns:a="http://schemas.openxmlformats.org/drawingml/2006/main" xmlns:pic="http://schemas.openxmlformats.org/drawingml/2006/picture">
                  <wp:extent cx="2788920" cy="1743075"/>
                  <wp:docPr id="13" name="Picture 13"/>
                  <wp:cNvGraphicFramePr>
                    <a:graphicFrameLocks noChangeAspect="1"/>
                  </wp:cNvGraphicFramePr>
                  <a:graphic>
                    <a:graphicData uri="http://schemas.openxmlformats.org/drawingml/2006/picture">
                      <pic:pic>
                        <pic:nvPicPr>
                          <pic:cNvPr id="0" name="z05-auag-accessory-tray.jpg"/>
                          <pic:cNvPicPr/>
                        </pic:nvPicPr>
                        <pic:blipFill>
                          <a:blip r:embed="rId20"/>
                          <a:stretch>
                            <a:fillRect/>
                          </a:stretch>
                        </pic:blipFill>
                        <pic:spPr>
                          <a:xfrm>
                            <a:off x="0" y="0"/>
                            <a:ext cx="2788920" cy="1743075"/>
                          </a:xfrm>
                          <a:prstGeom prst="rect"/>
                        </pic:spPr>
                      </pic:pic>
                    </a:graphicData>
                  </a:graphic>
                </wp:inline>
              </w:drawing>
            </w:r>
          </w:p>
          <w:p>
            <w:pPr>
              <w:jc w:val="center"/>
            </w:pPr>
            <w:r>
              <w:rPr>
                <w:i/>
                <w:color w:val="5C574E"/>
                <w:sz w:val="16"/>
              </w:rPr>
              <w:t>IMG_5334.JPG - Accessories and fit system</w:t>
            </w:r>
          </w:p>
        </w:tc>
        <w:tc>
          <w:tcPr>
            <w:tcW w:type="dxa" w:w="4680"/>
            <w:tcMar>
              <w:top w:w="80" w:type="dxa"/>
              <w:start w:w="80" w:type="dxa"/>
              <w:bottom w:w="80" w:type="dxa"/>
              <w:end w:w="80" w:type="dxa"/>
            </w:tcMar>
          </w:tcPr>
          <w:p>
            <w:pPr>
              <w:jc w:val="center"/>
            </w:pPr>
            <w:r>
              <w:drawing>
                <wp:inline xmlns:a="http://schemas.openxmlformats.org/drawingml/2006/main" xmlns:pic="http://schemas.openxmlformats.org/drawingml/2006/picture">
                  <wp:extent cx="2788920" cy="1743075"/>
                  <wp:docPr id="14" name="Picture 14"/>
                  <wp:cNvGraphicFramePr>
                    <a:graphicFrameLocks noChangeAspect="1"/>
                  </wp:cNvGraphicFramePr>
                  <a:graphic>
                    <a:graphicData uri="http://schemas.openxmlformats.org/drawingml/2006/picture">
                      <pic:pic>
                        <pic:nvPicPr>
                          <pic:cNvPr id="0" name="z05-auag-liquidmorph-tray.jpg"/>
                          <pic:cNvPicPr/>
                        </pic:nvPicPr>
                        <pic:blipFill>
                          <a:blip r:embed="rId15"/>
                          <a:stretch>
                            <a:fillRect/>
                          </a:stretch>
                        </pic:blipFill>
                        <pic:spPr>
                          <a:xfrm>
                            <a:off x="0" y="0"/>
                            <a:ext cx="2788920" cy="1743075"/>
                          </a:xfrm>
                          <a:prstGeom prst="rect"/>
                        </pic:spPr>
                      </pic:pic>
                    </a:graphicData>
                  </a:graphic>
                </wp:inline>
              </w:drawing>
            </w:r>
          </w:p>
          <w:p>
            <w:pPr>
              <w:jc w:val="center"/>
            </w:pPr>
            <w:r>
              <w:rPr>
                <w:i/>
                <w:color w:val="5C574E"/>
                <w:sz w:val="16"/>
              </w:rPr>
              <w:t>IMG_5336.JPG - Accessory tray context</w:t>
            </w:r>
          </w:p>
        </w:tc>
      </w:tr>
    </w:tbl>
    <w:p/>
    <w:p>
      <w:pPr>
        <w:pStyle w:val="Heading1"/>
      </w:pPr>
      <w:r>
        <w:rPr>
          <w:rFonts w:ascii="Calibri" w:hAnsi="Calibri" w:eastAsia="Calibri"/>
        </w:rPr>
        <w:t>Product Page Notes</w:t>
      </w:r>
    </w:p>
    <w:p>
      <w:pPr>
        <w:pStyle w:val="ListBullet"/>
        <w:spacing w:after="60" w:line="276" w:lineRule="auto"/>
      </w:pPr>
      <w:r>
        <w:rPr>
          <w:rFonts w:ascii="Calibri" w:hAnsi="Calibri" w:eastAsia="Calibri"/>
        </w:rPr>
        <w:t>Use AuAg Launch Edition in customer-facing copy instead of launch variant.</w:t>
      </w:r>
    </w:p>
    <w:p>
      <w:pPr>
        <w:pStyle w:val="ListBullet"/>
        <w:spacing w:after="60" w:line="276" w:lineRule="auto"/>
      </w:pPr>
      <w:r>
        <w:rPr>
          <w:rFonts w:ascii="Calibri" w:hAnsi="Calibri" w:eastAsia="Calibri"/>
        </w:rPr>
        <w:t>Use the selected hero image as the first editorial signal on the product page.</w:t>
      </w:r>
    </w:p>
    <w:p>
      <w:pPr>
        <w:pStyle w:val="ListBullet"/>
        <w:spacing w:after="60" w:line="276" w:lineRule="auto"/>
      </w:pPr>
      <w:r>
        <w:rPr>
          <w:rFonts w:ascii="Calibri" w:hAnsi="Calibri" w:eastAsia="Calibri"/>
        </w:rPr>
        <w:t>Use the LiquidMorph tray image in the accessories section only.</w:t>
      </w:r>
    </w:p>
    <w:p>
      <w:pPr>
        <w:pStyle w:val="ListBullet"/>
        <w:spacing w:after="60" w:line="276" w:lineRule="auto"/>
      </w:pPr>
      <w:r>
        <w:rPr>
          <w:rFonts w:ascii="Calibri" w:hAnsi="Calibri" w:eastAsia="Calibri"/>
        </w:rPr>
        <w:t>Keep the standalone LiquidMorph eartip image in the LiquidMorph section for clearer shape communication.</w:t>
      </w:r>
    </w:p>
    <w:p>
      <w:pPr>
        <w:pStyle w:val="ListBullet"/>
        <w:spacing w:after="60" w:line="276" w:lineRule="auto"/>
      </w:pPr>
      <w:r>
        <w:rPr>
          <w:rFonts w:ascii="Calibri" w:hAnsi="Calibri" w:eastAsia="Calibri"/>
        </w:rPr>
        <w:t>Keep product configuration and checkout in the Shopify product module, while editorial sections explain the launch finish and acoustic design.</w:t>
      </w:r>
    </w:p>
    <w:sectPr w:rsidR="00FC693F" w:rsidRPr="0006063C" w:rsidSect="00034616">
      <w:headerReference w:type="default" r:id="rId9"/>
      <w:footerReference w:type="default" r:id="rId10"/>
      <w:pgSz w:w="12240" w:h="15840"/>
      <w:pgMar w:top="1080" w:right="1123" w:bottom="1080" w:left="1123"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685E"/>
        <w:sz w:val="16"/>
      </w:rPr>
      <w:t>Draft for AAW.me product page and launch literature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E685E"/>
        <w:sz w:val="16"/>
      </w:rPr>
      <w:t>AAW Z05 AuAg Launch Edition - Product Literature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8A621E"/>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8A621E"/>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1F1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