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3347D">
      <w:pPr>
        <w:pStyle w:val="5"/>
        <w:keepNext w:val="0"/>
        <w:keepLines w:val="0"/>
        <w:widowControl/>
        <w:suppressLineNumbers w:val="0"/>
      </w:pPr>
      <w:r>
        <w:t>基本工程儲備基金（Capital Works Reserve Fund, CWRF）雖然不是直接用來「刺激消費」或「投資企業」，但它透過</w:t>
      </w:r>
      <w:r>
        <w:rPr>
          <w:rStyle w:val="8"/>
        </w:rPr>
        <w:t>公共基建投資</w:t>
      </w:r>
      <w:r>
        <w:t>，在多方面</w:t>
      </w:r>
      <w:r>
        <w:rPr>
          <w:rStyle w:val="8"/>
        </w:rPr>
        <w:t>間接提升香港GDP</w:t>
      </w:r>
      <w:r>
        <w:t>。以下是具體分析：</w:t>
      </w:r>
    </w:p>
    <w:p w14:paraId="4ED68A3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12B3E">
      <w:pPr>
        <w:pStyle w:val="3"/>
        <w:keepNext w:val="0"/>
        <w:keepLines w:val="0"/>
        <w:widowControl/>
        <w:suppressLineNumbers w:val="0"/>
      </w:pPr>
      <w:r>
        <w:t>🏗️ 基本工程儲備基金的主要用途</w:t>
      </w:r>
    </w:p>
    <w:p w14:paraId="03BA3703">
      <w:pPr>
        <w:pStyle w:val="5"/>
        <w:keepNext w:val="0"/>
        <w:keepLines w:val="0"/>
        <w:widowControl/>
        <w:suppressLineNumbers w:val="0"/>
      </w:pPr>
      <w:r>
        <w:t xml:space="preserve">根據政府資料，基金主要用於以下項目： </w:t>
      </w:r>
      <w:r>
        <w:fldChar w:fldCharType="begin"/>
      </w:r>
      <w:r>
        <w:instrText xml:space="preserve"> HYPERLINK "https://www.budget.gov.hk/2024/chi/pdf/c-cwrf-2.pdf" </w:instrText>
      </w:r>
      <w:r>
        <w:fldChar w:fldCharType="separate"/>
      </w:r>
      <w:r>
        <w:rPr>
          <w:rStyle w:val="9"/>
        </w:rPr>
        <w:t>[budget.gov.hk]</w:t>
      </w:r>
      <w:r>
        <w:fldChar w:fldCharType="end"/>
      </w:r>
    </w:p>
    <w:p w14:paraId="478CFB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工務工程</w:t>
      </w:r>
      <w:r>
        <w:t>：如道路、渠務、水務、政府建築物翻新、防止山泥傾瀉等。</w:t>
      </w:r>
    </w:p>
    <w:p w14:paraId="41B8DF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土地徵用</w:t>
      </w:r>
      <w:r>
        <w:t>：為新發展區、基建項目收地。</w:t>
      </w:r>
    </w:p>
    <w:p w14:paraId="6C3DAF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電腦化計劃與系統設備</w:t>
      </w:r>
      <w:r>
        <w:t>：提升政府部門效率。</w:t>
      </w:r>
    </w:p>
    <w:p w14:paraId="315DEC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前期規劃工程</w:t>
      </w:r>
      <w:r>
        <w:t>：為大型項目做準備（如新市鎮、鐵路延伸）。</w:t>
      </w:r>
    </w:p>
    <w:p w14:paraId="29D7974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2E26A">
      <w:pPr>
        <w:pStyle w:val="3"/>
        <w:keepNext w:val="0"/>
        <w:keepLines w:val="0"/>
        <w:widowControl/>
        <w:suppressLineNumbers w:val="0"/>
      </w:pPr>
      <w:r>
        <w:t>📈 如何提升GDP？</w:t>
      </w:r>
    </w:p>
    <w:p w14:paraId="59D22DE8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直接拉動投資支出（I）</w:t>
      </w:r>
    </w:p>
    <w:p w14:paraId="0A4C71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基建屬於GDP中的「投資支出」部分。</w:t>
      </w:r>
    </w:p>
    <w:p w14:paraId="724ACD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每年數百億元的撥款（如2025/26年度約416億元）直接增加政府支出，推動GDP增長。 </w:t>
      </w:r>
      <w:r>
        <w:fldChar w:fldCharType="begin"/>
      </w:r>
      <w:r>
        <w:instrText xml:space="preserve"> HYPERLINK "https://hk.finance.yahoo.com/news/%E6%94%BF%E5%BA%9C2025-26%E5%B9%B4%E5%BA%A6%E5%9F%BA%E6%9C%AC%E5%B7%A5%E7%A8%8B%E5%84%B2%E5%82%99%E5%9F%BA%E9%87%91%E6%92%A5%E6%AC%BE%E7%94%B3%E8%AB%8B%E7%B8%BD%E9%A1%8D416-158%E5%84%84%E5%85%83-073228606.html" </w:instrText>
      </w:r>
      <w:r>
        <w:fldChar w:fldCharType="separate"/>
      </w:r>
      <w:r>
        <w:rPr>
          <w:rStyle w:val="9"/>
        </w:rPr>
        <w:t>[hk.finance.yahoo.com]</w:t>
      </w:r>
      <w:r>
        <w:fldChar w:fldCharType="end"/>
      </w:r>
    </w:p>
    <w:p w14:paraId="16DD9510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創造就業與收入</w:t>
      </w:r>
    </w:p>
    <w:p w14:paraId="12FAA4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工程項目涉及建築、設計、物流、材料等行業，創造大量職位。</w:t>
      </w:r>
    </w:p>
    <w:p w14:paraId="621710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工人收入增加後，帶動消費（C），進一步推動GDP。</w:t>
      </w:r>
    </w:p>
    <w:p w14:paraId="5BFD6842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提升長期生產力</w:t>
      </w:r>
    </w:p>
    <w:p w14:paraId="15ABF3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基建改善交通、通訊、供水等基礎設施，有助企業營運效率。</w:t>
      </w:r>
    </w:p>
    <w:p w14:paraId="48B416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吸引外資與企業落戶，提升香港競爭力。</w:t>
      </w:r>
    </w:p>
    <w:p w14:paraId="49813DCC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促進土地與房地產開發</w:t>
      </w:r>
    </w:p>
    <w:p w14:paraId="23FCB6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土地徵用與基建配套可釋放土地價值，推動房地產與相關產業發展。</w:t>
      </w:r>
    </w:p>
    <w:p w14:paraId="5C93C075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8"/>
          <w:b/>
        </w:rPr>
        <w:t>支援可持續發展與綠色經濟</w:t>
      </w:r>
    </w:p>
    <w:p w14:paraId="08F5E0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政府透過綠色債券與基建債券，將資金注入可持續項目，鞏固香港作為綠色金融樞紐。 </w:t>
      </w:r>
      <w:r>
        <w:fldChar w:fldCharType="begin"/>
      </w:r>
      <w:r>
        <w:instrText xml:space="preserve"> HYPERLINK "https://www.legco.gov.hk/yr2024/chinese/panels/fa/papers/fa20240318cb1-333-1-c.pdf" </w:instrText>
      </w:r>
      <w:r>
        <w:fldChar w:fldCharType="separate"/>
      </w:r>
      <w:r>
        <w:rPr>
          <w:rStyle w:val="9"/>
        </w:rPr>
        <w:t>[legco.gov.hk]</w:t>
      </w:r>
      <w:r>
        <w:fldChar w:fldCharType="end"/>
      </w:r>
    </w:p>
    <w:p w14:paraId="0D1D4FD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3794B">
      <w:pPr>
        <w:pStyle w:val="3"/>
        <w:keepNext w:val="0"/>
        <w:keepLines w:val="0"/>
        <w:widowControl/>
        <w:suppressLineNumbers w:val="0"/>
      </w:pPr>
      <w:r>
        <w:t>📌 小結</w:t>
      </w:r>
    </w:p>
    <w:p w14:paraId="5DD3BDB4">
      <w:pPr>
        <w:pStyle w:val="5"/>
        <w:keepNext w:val="0"/>
        <w:keepLines w:val="0"/>
        <w:widowControl/>
        <w:suppressLineNumbers w:val="0"/>
      </w:pPr>
      <w:r>
        <w:t>基本工程儲備基金透過</w:t>
      </w:r>
      <w:r>
        <w:rPr>
          <w:rStyle w:val="8"/>
        </w:rPr>
        <w:t>公共投資</w:t>
      </w:r>
      <w:r>
        <w:t>，在短期內拉動GDP增長，在長期則提升香港的</w:t>
      </w:r>
      <w:r>
        <w:rPr>
          <w:rStyle w:val="8"/>
        </w:rPr>
        <w:t>基礎設施、生產力與吸引力</w:t>
      </w:r>
      <w:r>
        <w:t>。雖然它不是直接用來發展銀髮經濟，但其資金流向（如醫療設施、社區建設）也可能間接支援長者福祉。</w:t>
      </w:r>
    </w:p>
    <w:p w14:paraId="56DACB44"/>
    <w:p w14:paraId="04E951C5">
      <w:r>
        <w:br w:type="page"/>
      </w:r>
    </w:p>
    <w:p w14:paraId="2FCD4C7A">
      <w:pPr>
        <w:pStyle w:val="5"/>
        <w:keepNext w:val="0"/>
        <w:keepLines w:val="0"/>
        <w:widowControl/>
        <w:suppressLineNumbers w:val="0"/>
      </w:pPr>
      <w:r>
        <w:t>基本工程儲備基金的撥款金額是透過一套嚴謹的程序與機制決定的，涉及政府部門、財政司司長、立法會財務委員會等多方參與。以下是詳細說明：</w:t>
      </w:r>
    </w:p>
    <w:p w14:paraId="5BDC5FA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62B0F">
      <w:pPr>
        <w:pStyle w:val="3"/>
        <w:keepNext w:val="0"/>
        <w:keepLines w:val="0"/>
        <w:widowControl/>
        <w:suppressLineNumbers w:val="0"/>
      </w:pPr>
      <w:r>
        <w:t>🧮 撥款金額如何決定？</w:t>
      </w:r>
    </w:p>
    <w:p w14:paraId="54235428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由政府部門提出預算需求</w:t>
      </w:r>
    </w:p>
    <w:p w14:paraId="65D042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各政策局與工務部門會根據工程項目的</w:t>
      </w:r>
      <w:r>
        <w:rPr>
          <w:rStyle w:val="8"/>
        </w:rPr>
        <w:t>規模、迫切性、社會效益</w:t>
      </w:r>
      <w:r>
        <w:t>等因素，提出下一年度所需的撥款金額。</w:t>
      </w:r>
    </w:p>
    <w:p w14:paraId="29418F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包括新項目與延續項目（例如2025–26年度約有13,000項工程）。 </w:t>
      </w:r>
      <w:r>
        <w:fldChar w:fldCharType="begin"/>
      </w:r>
      <w:r>
        <w:instrText xml:space="preserve"> HYPERLINK "https://www.info.gov.hk/gia/general/202502/14/P2025021400364.htm" </w:instrText>
      </w:r>
      <w:r>
        <w:fldChar w:fldCharType="separate"/>
      </w:r>
      <w:r>
        <w:rPr>
          <w:rStyle w:val="9"/>
        </w:rPr>
        <w:t>[info.gov.hk]</w:t>
      </w:r>
      <w:r>
        <w:fldChar w:fldCharType="end"/>
      </w:r>
    </w:p>
    <w:p w14:paraId="5A68B89B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財政司司長審批與統籌</w:t>
      </w:r>
    </w:p>
    <w:p w14:paraId="3CA8B3E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財政司司長會根據各部門提交的預算，進行整體財政規劃與審核。</w:t>
      </w:r>
    </w:p>
    <w:p w14:paraId="3735C7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他有權將基金管理權轉授予其他公職人員，並可批准部分撥款項目。 </w:t>
      </w:r>
      <w:r>
        <w:fldChar w:fldCharType="begin"/>
      </w:r>
      <w:r>
        <w:instrText xml:space="preserve"> HYPERLINK "https://www.budget.gov.hk/2024/chi/pdf/c-cwrf-2.pdf" </w:instrText>
      </w:r>
      <w:r>
        <w:fldChar w:fldCharType="separate"/>
      </w:r>
      <w:r>
        <w:rPr>
          <w:rStyle w:val="9"/>
        </w:rPr>
        <w:t>[budget.gov.hk]</w:t>
      </w:r>
      <w:r>
        <w:fldChar w:fldCharType="end"/>
      </w:r>
    </w:p>
    <w:p w14:paraId="31E40690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立法會財務委員會審批</w:t>
      </w:r>
    </w:p>
    <w:p w14:paraId="6EC621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所有撥款建議需提交立法會財務委員會（財委會）審議與批准。</w:t>
      </w:r>
    </w:p>
    <w:p w14:paraId="57879D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財委會會根據項目類型、金額上限、社會效益等進行審批。</w:t>
      </w:r>
    </w:p>
    <w:p w14:paraId="387E22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某些小型項目（如丁級工程）可由獲授權人員直接批核，但仍需在撥款上限內。 </w:t>
      </w:r>
      <w:r>
        <w:fldChar w:fldCharType="begin"/>
      </w:r>
      <w:r>
        <w:instrText xml:space="preserve"> HYPERLINK "https://www.legco.gov.hk/yr17-18/chinese/fc/fc/papers/fi17-13c.pdf" </w:instrText>
      </w:r>
      <w:r>
        <w:fldChar w:fldCharType="separate"/>
      </w:r>
      <w:r>
        <w:rPr>
          <w:rStyle w:val="9"/>
        </w:rPr>
        <w:t>[legco.gov.hk]</w:t>
      </w:r>
      <w:r>
        <w:fldChar w:fldCharType="end"/>
      </w:r>
    </w:p>
    <w:p w14:paraId="2F7F36E4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撥款上限與分類</w:t>
      </w:r>
    </w:p>
    <w:p w14:paraId="0E34EA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撥款分為不同總目（如土地徵用、渠務、公路、電腦化計劃等）。</w:t>
      </w:r>
    </w:p>
    <w:p w14:paraId="459856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每個分目有不同的撥款上限，例如： </w:t>
      </w:r>
    </w:p>
    <w:p w14:paraId="5833FEA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一般丁級項目：不超過 </w:t>
      </w:r>
      <w:r>
        <w:rPr>
          <w:rStyle w:val="8"/>
        </w:rPr>
        <w:t>5,000萬元</w:t>
      </w:r>
    </w:p>
    <w:p w14:paraId="7F40E7E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特定項目如「人人暢道通行計劃」：上限為 </w:t>
      </w:r>
      <w:r>
        <w:rPr>
          <w:rStyle w:val="8"/>
        </w:rPr>
        <w:t>7,500萬元</w:t>
      </w:r>
    </w:p>
    <w:p w14:paraId="189F1C7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電腦化計劃：上限為 </w:t>
      </w:r>
      <w:r>
        <w:rPr>
          <w:rStyle w:val="8"/>
        </w:rPr>
        <w:t>2,000萬元</w:t>
      </w:r>
    </w:p>
    <w:p w14:paraId="780533F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某些項目則</w:t>
      </w:r>
      <w:r>
        <w:rPr>
          <w:rStyle w:val="8"/>
        </w:rPr>
        <w:t>不設上限</w:t>
      </w:r>
      <w:r>
        <w:t xml:space="preserve">，但需屬合理開支。 </w:t>
      </w:r>
      <w:r>
        <w:fldChar w:fldCharType="begin"/>
      </w:r>
      <w:r>
        <w:instrText xml:space="preserve"> HYPERLINK "https://www.legco.gov.hk/yr2024/chinese/panels/dev/papers/dev20241218cb1-1681-2-c.pdf" </w:instrText>
      </w:r>
      <w:r>
        <w:fldChar w:fldCharType="separate"/>
      </w:r>
      <w:r>
        <w:rPr>
          <w:rStyle w:val="9"/>
        </w:rPr>
        <w:t>[legco.gov.hk]</w:t>
      </w:r>
      <w:r>
        <w:fldChar w:fldCharType="end"/>
      </w:r>
    </w:p>
    <w:p w14:paraId="02C43977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8"/>
          <w:b/>
        </w:rPr>
        <w:t>年度預算與基金結餘考量</w:t>
      </w:r>
    </w:p>
    <w:p w14:paraId="420C64E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撥款金額亦會考慮基金的結餘與預期收入（如土地交易收入、債券發行、投資回報等）。</w:t>
      </w:r>
    </w:p>
    <w:p w14:paraId="1F562C1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例如2024–25年度基金總收入約 </w:t>
      </w:r>
      <w:r>
        <w:rPr>
          <w:rStyle w:val="8"/>
        </w:rPr>
        <w:t>2,537億元</w:t>
      </w:r>
      <w:r>
        <w:t xml:space="preserve">，預算開支約 </w:t>
      </w:r>
      <w:r>
        <w:rPr>
          <w:rStyle w:val="8"/>
        </w:rPr>
        <w:t>1,543億元</w:t>
      </w:r>
      <w:r>
        <w:t xml:space="preserve">。 </w:t>
      </w:r>
      <w:r>
        <w:fldChar w:fldCharType="begin"/>
      </w:r>
      <w:r>
        <w:instrText xml:space="preserve"> HYPERLINK "https://www.budget.gov.hk/2024/chi/pdf/c-cwrf-2.pdf" </w:instrText>
      </w:r>
      <w:r>
        <w:fldChar w:fldCharType="separate"/>
      </w:r>
      <w:r>
        <w:rPr>
          <w:rStyle w:val="9"/>
        </w:rPr>
        <w:t>[budget.gov.hk]</w:t>
      </w:r>
      <w:r>
        <w:fldChar w:fldCharType="end"/>
      </w:r>
    </w:p>
    <w:p w14:paraId="0A6FCFF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637AB">
      <w:pPr>
        <w:pStyle w:val="3"/>
        <w:keepNext w:val="0"/>
        <w:keepLines w:val="0"/>
        <w:widowControl/>
        <w:suppressLineNumbers w:val="0"/>
      </w:pPr>
      <w:r>
        <w:t>📌 小結</w:t>
      </w:r>
    </w:p>
    <w:p w14:paraId="30773493">
      <w:pPr>
        <w:pStyle w:val="5"/>
        <w:keepNext w:val="0"/>
        <w:keepLines w:val="0"/>
        <w:widowControl/>
        <w:suppressLineNumbers w:val="0"/>
      </w:pPr>
      <w:r>
        <w:t>基本工程儲備基金的撥款金額是根據：</w:t>
      </w:r>
    </w:p>
    <w:p w14:paraId="541648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各部門的工程需求</w:t>
      </w:r>
    </w:p>
    <w:p w14:paraId="498232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財政司司長的審批與統籌</w:t>
      </w:r>
    </w:p>
    <w:p w14:paraId="10A06C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財委會的審議與授權</w:t>
      </w:r>
    </w:p>
    <w:p w14:paraId="1004AD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撥款上限與分類制度</w:t>
      </w:r>
    </w:p>
    <w:p w14:paraId="3762B3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基金的財政狀況與收入來源</w:t>
      </w:r>
    </w:p>
    <w:p w14:paraId="10A75454">
      <w:pPr>
        <w:pStyle w:val="5"/>
        <w:keepNext w:val="0"/>
        <w:keepLines w:val="0"/>
        <w:widowControl/>
        <w:suppressLineNumbers w:val="0"/>
      </w:pPr>
      <w:r>
        <w:t>這套機制確保撥款</w:t>
      </w:r>
      <w:r>
        <w:rPr>
          <w:rStyle w:val="8"/>
        </w:rPr>
        <w:t>有理據、有監管、有彈性</w:t>
      </w:r>
      <w:r>
        <w:t>，同時能迅速回應社會與基建發展的需要。</w:t>
      </w:r>
    </w:p>
    <w:p w14:paraId="03190CA2">
      <w:r>
        <w:br w:type="page"/>
      </w:r>
    </w:p>
    <w:p w14:paraId="33E8913D">
      <w:pPr>
        <w:pStyle w:val="5"/>
        <w:keepNext w:val="0"/>
        <w:keepLines w:val="0"/>
        <w:widowControl/>
        <w:suppressLineNumbers w:val="0"/>
      </w:pPr>
      <w:r>
        <w:t>基本工程儲備基金（CWRF）本身</w:t>
      </w:r>
      <w:r>
        <w:rPr>
          <w:rStyle w:val="8"/>
        </w:rPr>
        <w:t>不是以「回本期」為主要考量</w:t>
      </w:r>
      <w:r>
        <w:t>，因為它是政府的公共財政工具，目的在於</w:t>
      </w:r>
      <w:r>
        <w:rPr>
          <w:rStyle w:val="8"/>
        </w:rPr>
        <w:t>支持基建與公共工程</w:t>
      </w:r>
      <w:r>
        <w:t>，而非營利性投資。但政府在管理基金時，會考慮</w:t>
      </w:r>
      <w:r>
        <w:rPr>
          <w:rStyle w:val="8"/>
        </w:rPr>
        <w:t>財政可持續性與資金流動性</w:t>
      </w:r>
      <w:r>
        <w:t>，以下是相關機制與評估方式：</w:t>
      </w:r>
    </w:p>
    <w:p w14:paraId="7F9990C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F2A81">
      <w:pPr>
        <w:pStyle w:val="3"/>
        <w:keepNext w:val="0"/>
        <w:keepLines w:val="0"/>
        <w:widowControl/>
        <w:suppressLineNumbers w:val="0"/>
      </w:pPr>
      <w:r>
        <w:t>📊 基本工程儲備基金的「回本」概念</w:t>
      </w:r>
    </w:p>
    <w:p w14:paraId="3B1E835D">
      <w:pPr>
        <w:pStyle w:val="5"/>
        <w:keepNext w:val="0"/>
        <w:keepLines w:val="0"/>
        <w:widowControl/>
        <w:suppressLineNumbers w:val="0"/>
      </w:pPr>
      <w:r>
        <w:t>雖然沒有明確的「回本期」像商業投資那樣計算，但政府會透過以下方式評估資金使用的效益與回報：</w:t>
      </w:r>
    </w:p>
    <w:p w14:paraId="54493CF4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投資回報率（ROI）與社會效益</w:t>
      </w:r>
    </w:p>
    <w:p w14:paraId="6580536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政府會評估項目是否能帶來： </w:t>
      </w:r>
    </w:p>
    <w:p w14:paraId="7BA381C4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</w:pPr>
      <w:r>
        <w:t>長遠經濟增長（如交通改善促進商業活動）</w:t>
      </w:r>
    </w:p>
    <w:p w14:paraId="10920F1F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</w:pPr>
      <w:r>
        <w:t>土地價值提升（如新市鎮開發）</w:t>
      </w:r>
    </w:p>
    <w:p w14:paraId="6AE2DCA2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</w:pPr>
      <w:r>
        <w:t>節省未來開支（如防洪工程減少災害損失）</w:t>
      </w:r>
    </w:p>
    <w:p w14:paraId="13EB6441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財政承擔與償還能力</w:t>
      </w:r>
    </w:p>
    <w:p w14:paraId="01BBB1C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基金的收入來源包括： </w:t>
      </w:r>
    </w:p>
    <w:p w14:paraId="42FF7404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地價收入（如賣地、換地）</w:t>
      </w:r>
    </w:p>
    <w:p w14:paraId="0574FB29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政府債券（如綠色債券、基建債券）</w:t>
      </w:r>
    </w:p>
    <w:p w14:paraId="70CDD516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投資回報（如外匯基金收益）</w:t>
      </w:r>
    </w:p>
    <w:p w14:paraId="6CD520D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政府會根據預算與預期收入，安排債券償還與利息支付。 </w:t>
      </w:r>
      <w:r>
        <w:fldChar w:fldCharType="begin"/>
      </w:r>
      <w:r>
        <w:instrText xml:space="preserve"> HYPERLINK "https://www.budget.gov.hk/2024/chi/pdf/c-cwrf-2.pdf" </w:instrText>
      </w:r>
      <w:r>
        <w:fldChar w:fldCharType="separate"/>
      </w:r>
      <w:r>
        <w:rPr>
          <w:rStyle w:val="9"/>
        </w:rPr>
        <w:t>[budget.gov.hk]</w:t>
      </w:r>
      <w:r>
        <w:fldChar w:fldCharType="end"/>
      </w:r>
    </w:p>
    <w:p w14:paraId="361E63A3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預算與結餘管理</w:t>
      </w:r>
    </w:p>
    <w:p w14:paraId="495323D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每年會編製預算，包括： </w:t>
      </w:r>
    </w:p>
    <w:p w14:paraId="2E2B80E1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>預期收入（如2024–25年度約1573億元）</w:t>
      </w:r>
    </w:p>
    <w:p w14:paraId="5FC34836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>預算開支（如2024–25年度約1543億元）</w:t>
      </w:r>
    </w:p>
    <w:p w14:paraId="6CC40D4A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 xml:space="preserve">年末結餘（如預計2025年3月約994億元）。 </w:t>
      </w:r>
      <w:r>
        <w:fldChar w:fldCharType="begin"/>
      </w:r>
      <w:r>
        <w:instrText xml:space="preserve"> HYPERLINK "https://www.budget.gov.hk/2024/chi/pdf/c-cwrf-2.pdf" </w:instrText>
      </w:r>
      <w:r>
        <w:fldChar w:fldCharType="separate"/>
      </w:r>
      <w:r>
        <w:rPr>
          <w:rStyle w:val="9"/>
        </w:rPr>
        <w:t>[budget.gov.hk]</w:t>
      </w:r>
      <w:r>
        <w:fldChar w:fldCharType="end"/>
      </w:r>
    </w:p>
    <w:p w14:paraId="2E24012C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審計與財務報表</w:t>
      </w:r>
    </w:p>
    <w:p w14:paraId="32110C4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審計署會定期審核基金帳目，確保資金使用合規、透明。</w:t>
      </w:r>
    </w:p>
    <w:p w14:paraId="1F7F4E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財務報表會顯示年度赤字或盈餘，並反映基金的財政狀況。 </w:t>
      </w:r>
      <w:r>
        <w:fldChar w:fldCharType="begin"/>
      </w:r>
      <w:r>
        <w:instrText xml:space="preserve"> HYPERLINK "https://www.try.gov.hk/cinternet/pdc_cbac2324_cwrf24.pdf" </w:instrText>
      </w:r>
      <w:r>
        <w:fldChar w:fldCharType="separate"/>
      </w:r>
      <w:r>
        <w:rPr>
          <w:rStyle w:val="9"/>
        </w:rPr>
        <w:t>[try.gov.hk]</w:t>
      </w:r>
      <w:r>
        <w:fldChar w:fldCharType="end"/>
      </w:r>
    </w:p>
    <w:p w14:paraId="0A39D4F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ABFD0">
      <w:pPr>
        <w:pStyle w:val="3"/>
        <w:keepNext w:val="0"/>
        <w:keepLines w:val="0"/>
        <w:widowControl/>
        <w:suppressLineNumbers w:val="0"/>
      </w:pPr>
      <w:r>
        <w:t>📌 小結</w:t>
      </w:r>
    </w:p>
    <w:p w14:paraId="1D315633">
      <w:pPr>
        <w:pStyle w:val="5"/>
        <w:keepNext w:val="0"/>
        <w:keepLines w:val="0"/>
        <w:widowControl/>
        <w:suppressLineNumbers w:val="0"/>
      </w:pPr>
      <w:r>
        <w:t>基本工程儲備基金的「回本期」不是以商業投資角度計算，而是透過：</w:t>
      </w:r>
    </w:p>
    <w:p w14:paraId="1878900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項目效益評估（經濟、社會、環境）</w:t>
      </w:r>
    </w:p>
    <w:p w14:paraId="01A4381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財政可持續性分析（收入 vs 支出）</w:t>
      </w:r>
    </w:p>
    <w:p w14:paraId="1FF9304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預算與結餘管理</w:t>
      </w:r>
    </w:p>
    <w:p w14:paraId="78550B5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審計與監察機制</w:t>
      </w:r>
    </w:p>
    <w:p w14:paraId="2C020DD6">
      <w:pPr>
        <w:pStyle w:val="5"/>
        <w:keepNext w:val="0"/>
        <w:keepLines w:val="0"/>
        <w:widowControl/>
        <w:suppressLineNumbers w:val="0"/>
      </w:pPr>
      <w:r>
        <w:t>這些機制確保基金能長期支持香港的基建發展，同時維持財政穩健。</w:t>
      </w:r>
    </w:p>
    <w:p w14:paraId="54BBFC8F">
      <w:r>
        <w:br w:type="page"/>
      </w:r>
    </w:p>
    <w:p w14:paraId="4C69ECBD">
      <w:pPr>
        <w:pStyle w:val="5"/>
        <w:keepNext w:val="0"/>
        <w:keepLines w:val="0"/>
        <w:widowControl/>
        <w:suppressLineNumbers w:val="0"/>
      </w:pPr>
      <w:r>
        <w:t>基本工程儲備基金（CWRF）與政府債券之間的關係，以及如何理解其投資回報率（ROI），可以從以下幾個層面來分析：</w:t>
      </w:r>
    </w:p>
    <w:p w14:paraId="5FEDAC5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19151">
      <w:pPr>
        <w:pStyle w:val="3"/>
        <w:keepNext w:val="0"/>
        <w:keepLines w:val="0"/>
        <w:widowControl/>
        <w:suppressLineNumbers w:val="0"/>
      </w:pPr>
      <w:r>
        <w:t>🏛️ 基本工程儲備基金與政府債券的關係</w:t>
      </w:r>
    </w:p>
    <w:p w14:paraId="358CBD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DC9D01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資金來源</w:t>
      </w:r>
      <w:r>
        <w:t>：</w:t>
      </w:r>
    </w:p>
    <w:p w14:paraId="62EEEA8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77CDBBA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>政府透過發行</w:t>
      </w:r>
      <w:r>
        <w:rPr>
          <w:rStyle w:val="8"/>
        </w:rPr>
        <w:t>基礎建設債券</w:t>
      </w:r>
      <w:r>
        <w:t>與</w:t>
      </w:r>
      <w:r>
        <w:rPr>
          <w:rStyle w:val="8"/>
        </w:rPr>
        <w:t>可持續債券</w:t>
      </w:r>
      <w:r>
        <w:t>，集資所得資金會撥入基本工程儲備基金。</w:t>
      </w:r>
    </w:p>
    <w:p w14:paraId="579F3F5D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t xml:space="preserve">這些債券的借款上限為 </w:t>
      </w:r>
      <w:r>
        <w:rPr>
          <w:rStyle w:val="8"/>
        </w:rPr>
        <w:t>5,000億港元</w:t>
      </w:r>
      <w:r>
        <w:t xml:space="preserve">，用於資助大型基建項目。 </w:t>
      </w:r>
      <w:r>
        <w:fldChar w:fldCharType="begin"/>
      </w:r>
      <w:r>
        <w:instrText xml:space="preserve"> HYPERLINK "https://www.hkgb.gov.hk/tc/infrastructurebond/infrastructurebondintroduction.html" </w:instrText>
      </w:r>
      <w:r>
        <w:fldChar w:fldCharType="separate"/>
      </w:r>
      <w:r>
        <w:rPr>
          <w:rStyle w:val="9"/>
        </w:rPr>
        <w:t>[hkgb.gov.hk]</w:t>
      </w:r>
      <w:r>
        <w:fldChar w:fldCharType="end"/>
      </w:r>
    </w:p>
    <w:p w14:paraId="4258699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0891F6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資金用途</w:t>
      </w:r>
      <w:r>
        <w:t>：</w:t>
      </w:r>
    </w:p>
    <w:p w14:paraId="4240BA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6F6358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用於工務工程、土地徵用、電腦化計劃等公共項目。</w:t>
      </w:r>
    </w:p>
    <w:p w14:paraId="041581E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例如2024–25年度，基金收入約 </w:t>
      </w:r>
      <w:r>
        <w:rPr>
          <w:rStyle w:val="8"/>
        </w:rPr>
        <w:t>1,573億元</w:t>
      </w:r>
      <w:r>
        <w:t xml:space="preserve">，其中約 </w:t>
      </w:r>
      <w:r>
        <w:rPr>
          <w:rStyle w:val="8"/>
        </w:rPr>
        <w:t>1,200億元</w:t>
      </w:r>
      <w:r>
        <w:t xml:space="preserve">來自政府債券。 </w:t>
      </w:r>
      <w:r>
        <w:fldChar w:fldCharType="begin"/>
      </w:r>
      <w:r>
        <w:instrText xml:space="preserve"> HYPERLINK "https://www.budget.gov.hk/2024/chi/pdf/c-cwrf-2.pdf" </w:instrText>
      </w:r>
      <w:r>
        <w:fldChar w:fldCharType="separate"/>
      </w:r>
      <w:r>
        <w:rPr>
          <w:rStyle w:val="9"/>
        </w:rPr>
        <w:t>[budget.gov.hk]</w:t>
      </w:r>
      <w:r>
        <w:fldChar w:fldCharType="end"/>
      </w:r>
    </w:p>
    <w:p w14:paraId="694B6DB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B13A4">
      <w:pPr>
        <w:pStyle w:val="3"/>
        <w:keepNext w:val="0"/>
        <w:keepLines w:val="0"/>
        <w:widowControl/>
        <w:suppressLineNumbers w:val="0"/>
      </w:pPr>
      <w:r>
        <w:t>📈 ROI（投資回報率）如何理解？</w:t>
      </w:r>
    </w:p>
    <w:p w14:paraId="7F9F1288">
      <w:pPr>
        <w:pStyle w:val="5"/>
        <w:keepNext w:val="0"/>
        <w:keepLines w:val="0"/>
        <w:widowControl/>
        <w:suppressLineNumbers w:val="0"/>
      </w:pPr>
      <w:r>
        <w:t>政府在使用債券資金時，並不以</w:t>
      </w:r>
      <w:r>
        <w:rPr>
          <w:rStyle w:val="8"/>
        </w:rPr>
        <w:t>商業投資回報率</w:t>
      </w:r>
      <w:r>
        <w:t>為唯一標準，而是以</w:t>
      </w:r>
      <w:r>
        <w:rPr>
          <w:rStyle w:val="8"/>
        </w:rPr>
        <w:t>社會與經濟效益</w:t>
      </w:r>
      <w:r>
        <w:t>為主要衡量指標：</w:t>
      </w:r>
    </w:p>
    <w:p w14:paraId="2C0B6338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直接財務回報</w:t>
      </w:r>
    </w:p>
    <w:p w14:paraId="2815652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債券利率如10年期政府債券約為 </w:t>
      </w:r>
      <w:r>
        <w:rPr>
          <w:rStyle w:val="8"/>
        </w:rPr>
        <w:t>3.02%–3.13%</w:t>
      </w:r>
      <w:r>
        <w:t xml:space="preserve">（2025年10月數據）。 </w:t>
      </w:r>
      <w:r>
        <w:fldChar w:fldCharType="begin"/>
      </w:r>
      <w:r>
        <w:instrText xml:space="preserve"> HYPERLINK "https://hk.investing.com/rates-bonds/hong-kong-10-year-bond-yield-historical-data" </w:instrText>
      </w:r>
      <w:r>
        <w:fldChar w:fldCharType="separate"/>
      </w:r>
      <w:r>
        <w:rPr>
          <w:rStyle w:val="9"/>
        </w:rPr>
        <w:t>[hk.investing.com]</w:t>
      </w:r>
      <w:r>
        <w:fldChar w:fldCharType="end"/>
      </w:r>
    </w:p>
    <w:p w14:paraId="358FA20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政府需支付利息，但若基建項目能提升土地價值、吸引投資，則可透過地價收入、稅收等方式「回本」。</w:t>
      </w:r>
    </w:p>
    <w:p w14:paraId="5A28183A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間接經濟回報</w:t>
      </w:r>
    </w:p>
    <w:p w14:paraId="0D113D5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基建項目可提升生產力、創造就業、促進消費與投資，間接推動GDP。</w:t>
      </w:r>
    </w:p>
    <w:p w14:paraId="52DB67B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例如新市鎮、交通改善、醫療設施等，雖無即時現金回報，但長遠可提升經濟潛力。</w:t>
      </w:r>
    </w:p>
    <w:p w14:paraId="5B2DB041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社會回報</w:t>
      </w:r>
    </w:p>
    <w:p w14:paraId="6AED517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包括改善生活質素、縮短通勤時間、提升公共服務效率。</w:t>
      </w:r>
    </w:p>
    <w:p w14:paraId="34C57B0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雖難以量化，但在公共財政中屬重要考量。</w:t>
      </w:r>
    </w:p>
    <w:p w14:paraId="440C0BF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6DAFA">
      <w:pPr>
        <w:pStyle w:val="3"/>
        <w:keepNext w:val="0"/>
        <w:keepLines w:val="0"/>
        <w:widowControl/>
        <w:suppressLineNumbers w:val="0"/>
      </w:pPr>
      <w:r>
        <w:t>📊 財政管理與償債安排</w:t>
      </w:r>
    </w:p>
    <w:p w14:paraId="792432E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基本工程儲備基金會預留資金償還債券本金與利息。</w:t>
      </w:r>
    </w:p>
    <w:p w14:paraId="2206F69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例如2024–25年度預算中，約 </w:t>
      </w:r>
      <w:r>
        <w:rPr>
          <w:rStyle w:val="8"/>
        </w:rPr>
        <w:t>332億元</w:t>
      </w:r>
      <w:r>
        <w:t xml:space="preserve">用於償還債券相關支出。 </w:t>
      </w:r>
      <w:r>
        <w:fldChar w:fldCharType="begin"/>
      </w:r>
      <w:r>
        <w:instrText xml:space="preserve"> HYPERLINK "https://www.budget.gov.hk/2024/chi/pdf/c-cwrf-2.pdf" </w:instrText>
      </w:r>
      <w:r>
        <w:fldChar w:fldCharType="separate"/>
      </w:r>
      <w:r>
        <w:rPr>
          <w:rStyle w:val="9"/>
        </w:rPr>
        <w:t>[budget.gov.hk]</w:t>
      </w:r>
      <w:r>
        <w:fldChar w:fldCharType="end"/>
      </w:r>
    </w:p>
    <w:p w14:paraId="4D08111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938B1">
      <w:pPr>
        <w:pStyle w:val="3"/>
        <w:keepNext w:val="0"/>
        <w:keepLines w:val="0"/>
        <w:widowControl/>
        <w:suppressLineNumbers w:val="0"/>
      </w:pPr>
      <w:r>
        <w:t>📌 小結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1"/>
        <w:gridCol w:w="3915"/>
      </w:tblGrid>
      <w:tr w14:paraId="6AB81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3D44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項目</w:t>
            </w:r>
          </w:p>
        </w:tc>
        <w:tc>
          <w:tcPr>
            <w:tcW w:w="0" w:type="auto"/>
            <w:shd w:val="clear"/>
            <w:vAlign w:val="center"/>
          </w:tcPr>
          <w:p w14:paraId="1B7A7D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說明</w:t>
            </w:r>
          </w:p>
        </w:tc>
      </w:tr>
      <w:tr w14:paraId="68D3D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6F2B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政府債券用途</w:t>
            </w:r>
          </w:p>
        </w:tc>
        <w:tc>
          <w:tcPr>
            <w:tcW w:w="0" w:type="auto"/>
            <w:shd w:val="clear"/>
            <w:vAlign w:val="center"/>
          </w:tcPr>
          <w:p w14:paraId="3513C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為基本工程儲備基金提供資金</w:t>
            </w:r>
          </w:p>
        </w:tc>
      </w:tr>
      <w:tr w14:paraId="6ACDF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A30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ROI理解方式</w:t>
            </w:r>
          </w:p>
        </w:tc>
        <w:tc>
          <w:tcPr>
            <w:tcW w:w="0" w:type="auto"/>
            <w:shd w:val="clear"/>
            <w:vAlign w:val="center"/>
          </w:tcPr>
          <w:p w14:paraId="2816D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包括財務回報、經濟效益、社會效益</w:t>
            </w:r>
          </w:p>
        </w:tc>
      </w:tr>
      <w:tr w14:paraId="2E42F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DD97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利率參考</w:t>
            </w:r>
          </w:p>
        </w:tc>
        <w:tc>
          <w:tcPr>
            <w:tcW w:w="0" w:type="auto"/>
            <w:shd w:val="clear"/>
            <w:vAlign w:val="center"/>
          </w:tcPr>
          <w:p w14:paraId="6055B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約 3.02%–3.13%（10年期）</w:t>
            </w:r>
          </w:p>
        </w:tc>
      </w:tr>
      <w:tr w14:paraId="4410F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74BD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償債安排</w:t>
            </w:r>
          </w:p>
        </w:tc>
        <w:tc>
          <w:tcPr>
            <w:tcW w:w="0" w:type="auto"/>
            <w:shd w:val="clear"/>
            <w:vAlign w:val="center"/>
          </w:tcPr>
          <w:p w14:paraId="09DF3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基金預算中列明償還本金與利息</w:t>
            </w:r>
          </w:p>
        </w:tc>
      </w:tr>
    </w:tbl>
    <w:p w14:paraId="632DEBD8"/>
    <w:p w14:paraId="00EDDC7E">
      <w:r>
        <w:br w:type="page"/>
      </w:r>
    </w:p>
    <w:p w14:paraId="193CE6E8">
      <w:pPr>
        <w:pStyle w:val="5"/>
        <w:keepNext w:val="0"/>
        <w:keepLines w:val="0"/>
        <w:widowControl/>
        <w:suppressLineNumbers w:val="0"/>
      </w:pPr>
      <w:r>
        <w:t>基建項目的</w:t>
      </w:r>
      <w:r>
        <w:rPr>
          <w:rStyle w:val="8"/>
        </w:rPr>
        <w:t>成本效益分析（Cost-Benefit Analysis, CBA）是政府在決定是否推行大型公共工程前的重要評估工具。它不只是計算「花多少錢 vs 賺多少錢」，而是全面衡量項目的經濟、社會、環境影響</w:t>
      </w:r>
      <w:r>
        <w:t>。以下是詳細解釋：</w:t>
      </w:r>
    </w:p>
    <w:p w14:paraId="591944E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E5FEE">
      <w:pPr>
        <w:pStyle w:val="3"/>
        <w:keepNext w:val="0"/>
        <w:keepLines w:val="0"/>
        <w:widowControl/>
        <w:suppressLineNumbers w:val="0"/>
      </w:pPr>
      <w:r>
        <w:t>🧮 成本效益分析的基本架構</w:t>
      </w:r>
    </w:p>
    <w:p w14:paraId="75A53670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成本（Costs）</w:t>
      </w:r>
    </w:p>
    <w:p w14:paraId="3E42DC00">
      <w:pPr>
        <w:pStyle w:val="5"/>
        <w:keepNext w:val="0"/>
        <w:keepLines w:val="0"/>
        <w:widowControl/>
        <w:suppressLineNumbers w:val="0"/>
      </w:pPr>
      <w:r>
        <w:t>包括：</w:t>
      </w:r>
    </w:p>
    <w:p w14:paraId="1B0517E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直接成本</w:t>
      </w:r>
      <w:r>
        <w:t>：建築費、土地徵用、設計、監管、維修等。</w:t>
      </w:r>
    </w:p>
    <w:p w14:paraId="0662871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間接成本</w:t>
      </w:r>
      <w:r>
        <w:t>：施工期間的交通擠塞、環境影響、社區干擾。</w:t>
      </w:r>
    </w:p>
    <w:p w14:paraId="29FBF5F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機會成本</w:t>
      </w:r>
      <w:r>
        <w:t>：若不選擇此項目，資金可用於其他用途的潛在價值。</w:t>
      </w:r>
    </w:p>
    <w:p w14:paraId="0111DDDC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效益（Benefits）</w:t>
      </w:r>
    </w:p>
    <w:p w14:paraId="1060FEE8">
      <w:pPr>
        <w:pStyle w:val="5"/>
        <w:keepNext w:val="0"/>
        <w:keepLines w:val="0"/>
        <w:widowControl/>
        <w:suppressLineNumbers w:val="0"/>
      </w:pPr>
      <w:r>
        <w:t>包括：</w:t>
      </w:r>
    </w:p>
    <w:p w14:paraId="7CAD074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經濟效益</w:t>
      </w:r>
      <w:r>
        <w:t>：節省通勤時間、提升物流效率、促進商業活動。</w:t>
      </w:r>
    </w:p>
    <w:p w14:paraId="603DAC7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社會效益</w:t>
      </w:r>
      <w:r>
        <w:t>：改善生活質素、提升公共服務、創造就業。</w:t>
      </w:r>
    </w:p>
    <w:p w14:paraId="0AB1CAB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環境效益</w:t>
      </w:r>
      <w:r>
        <w:t>：減少污染、提升綠化、改善城市氣候。</w:t>
      </w:r>
    </w:p>
    <w:p w14:paraId="4F14A36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土地增值</w:t>
      </w:r>
      <w:r>
        <w:t>：基建完成後周邊地價上升，政府可透過賣地回收部分成本。</w:t>
      </w:r>
    </w:p>
    <w:p w14:paraId="3C9D912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A8510">
      <w:pPr>
        <w:pStyle w:val="3"/>
        <w:keepNext w:val="0"/>
        <w:keepLines w:val="0"/>
        <w:widowControl/>
        <w:suppressLineNumbers w:val="0"/>
      </w:pPr>
      <w:r>
        <w:t>📊 評估指標</w:t>
      </w:r>
    </w:p>
    <w:p w14:paraId="682AC0DD">
      <w:pPr>
        <w:pStyle w:val="5"/>
        <w:keepNext w:val="0"/>
        <w:keepLines w:val="0"/>
        <w:widowControl/>
        <w:suppressLineNumbers w:val="0"/>
      </w:pPr>
      <w:r>
        <w:t>政府常用以下指標來判斷項目是否值得推行：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5"/>
        <w:gridCol w:w="6075"/>
      </w:tblGrid>
      <w:tr w14:paraId="5585F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C1EF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指標</w:t>
            </w:r>
          </w:p>
        </w:tc>
        <w:tc>
          <w:tcPr>
            <w:tcW w:w="0" w:type="auto"/>
            <w:shd w:val="clear"/>
            <w:vAlign w:val="center"/>
          </w:tcPr>
          <w:p w14:paraId="36DB56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說明</w:t>
            </w:r>
          </w:p>
        </w:tc>
      </w:tr>
      <w:tr w14:paraId="31F2D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668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淨現值（NPV）</w:t>
            </w:r>
          </w:p>
        </w:tc>
        <w:tc>
          <w:tcPr>
            <w:tcW w:w="0" w:type="auto"/>
            <w:shd w:val="clear"/>
            <w:vAlign w:val="center"/>
          </w:tcPr>
          <w:p w14:paraId="09B39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所有效益減去所有成本的現值，若為正數則具經濟價值。</w:t>
            </w:r>
          </w:p>
        </w:tc>
      </w:tr>
      <w:tr w14:paraId="60924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93A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效益成本比（BCR）</w:t>
            </w:r>
          </w:p>
        </w:tc>
        <w:tc>
          <w:tcPr>
            <w:tcW w:w="0" w:type="auto"/>
            <w:shd w:val="clear"/>
            <w:vAlign w:val="center"/>
          </w:tcPr>
          <w:p w14:paraId="63DDF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效益總值 ÷ 成本總值，若 &gt;1 表示效益大於成本。</w:t>
            </w:r>
          </w:p>
        </w:tc>
      </w:tr>
      <w:tr w14:paraId="2EA57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3D61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內部報酬率（IRR）</w:t>
            </w:r>
          </w:p>
        </w:tc>
        <w:tc>
          <w:tcPr>
            <w:tcW w:w="0" w:type="auto"/>
            <w:shd w:val="clear"/>
            <w:vAlign w:val="center"/>
          </w:tcPr>
          <w:p w14:paraId="11B61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項目預期的年回報率，若高於資金成本則可行。</w:t>
            </w:r>
          </w:p>
        </w:tc>
      </w:tr>
    </w:tbl>
    <w:p w14:paraId="75A351E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446D7">
      <w:pPr>
        <w:pStyle w:val="3"/>
        <w:keepNext w:val="0"/>
        <w:keepLines w:val="0"/>
        <w:widowControl/>
        <w:suppressLineNumbers w:val="0"/>
      </w:pPr>
      <w:r>
        <w:t>🧪 分析方法</w:t>
      </w:r>
    </w:p>
    <w:p w14:paraId="04DB621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定量分析</w:t>
      </w:r>
      <w:r>
        <w:t>：以金錢衡量所有可量化的成本與效益。</w:t>
      </w:r>
    </w:p>
    <w:p w14:paraId="331FC98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定性分析</w:t>
      </w:r>
      <w:r>
        <w:t>：對無法量化的因素（如社會公平、文化保育）進行描述與評估。</w:t>
      </w:r>
    </w:p>
    <w:p w14:paraId="6518127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敏感度分析</w:t>
      </w:r>
      <w:r>
        <w:t>：測試不同假設下的結果變化，例如建築成本上升或使用率下降。</w:t>
      </w:r>
    </w:p>
    <w:p w14:paraId="3AFA754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18782">
      <w:pPr>
        <w:pStyle w:val="3"/>
        <w:keepNext w:val="0"/>
        <w:keepLines w:val="0"/>
        <w:widowControl/>
        <w:suppressLineNumbers w:val="0"/>
      </w:pPr>
      <w:r>
        <w:t>📌 實例：鐵路延線項目</w:t>
      </w:r>
    </w:p>
    <w:p w14:paraId="28E953A2">
      <w:pPr>
        <w:pStyle w:val="5"/>
        <w:keepNext w:val="0"/>
        <w:keepLines w:val="0"/>
        <w:widowControl/>
        <w:suppressLineNumbers w:val="0"/>
      </w:pPr>
      <w:r>
        <w:t>假設政府評估一條新鐵路延線：</w:t>
      </w:r>
    </w:p>
    <w:p w14:paraId="0B041DB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成本：建造費 $300 億、營運維修 $20 億/年。</w:t>
      </w:r>
    </w:p>
    <w:p w14:paraId="17FDE97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效益： </w:t>
      </w:r>
    </w:p>
    <w:p w14:paraId="23AC1C30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通勤時間節省：每年為市民節省 $50 億。</w:t>
      </w:r>
    </w:p>
    <w:p w14:paraId="38A574BB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土地增值：周邊地價提升，政府可收回 $100 億。</w:t>
      </w:r>
    </w:p>
    <w:p w14:paraId="1CA3B23C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減少交通擠塞與污染：每年節省 $10 億社會成本。</w:t>
      </w:r>
    </w:p>
    <w:p w14:paraId="129AD3B3">
      <w:pPr>
        <w:pStyle w:val="5"/>
        <w:keepNext w:val="0"/>
        <w:keepLines w:val="0"/>
        <w:widowControl/>
        <w:suppressLineNumbers w:val="0"/>
      </w:pPr>
      <w:r>
        <w:t>若計算後 NPV 為正、BCR &gt; 1，則項目具可行性。</w:t>
      </w:r>
    </w:p>
    <w:p w14:paraId="30595B30">
      <w:r>
        <w:br w:type="page"/>
      </w:r>
    </w:p>
    <w:p w14:paraId="239D9019">
      <w:pPr>
        <w:pStyle w:val="5"/>
        <w:keepNext w:val="0"/>
        <w:keepLines w:val="0"/>
        <w:widowControl/>
        <w:suppressLineNumbers w:val="0"/>
      </w:pPr>
      <w:r>
        <w:t>香港近期出現了</w:t>
      </w:r>
      <w:r>
        <w:rPr>
          <w:rStyle w:val="8"/>
        </w:rPr>
        <w:t>零售債券認購未足額</w:t>
      </w:r>
      <w:r>
        <w:t>與</w:t>
      </w:r>
      <w:r>
        <w:rPr>
          <w:rStyle w:val="8"/>
        </w:rPr>
        <w:t>機構債券超額認購</w:t>
      </w:r>
      <w:r>
        <w:t>的對比情況，反映出不同投資者群體的行為與市場偏好。以下是原因分析：</w:t>
      </w:r>
    </w:p>
    <w:p w14:paraId="2548A71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8461F">
      <w:pPr>
        <w:pStyle w:val="2"/>
        <w:keepNext w:val="0"/>
        <w:keepLines w:val="0"/>
        <w:widowControl/>
        <w:suppressLineNumbers w:val="0"/>
      </w:pPr>
      <w:r>
        <w:t>🧾 零售債券認購未足額的原因</w:t>
      </w:r>
    </w:p>
    <w:p w14:paraId="1FD35AA8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利率吸引力不足</w:t>
      </w:r>
    </w:p>
    <w:p w14:paraId="7922606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零售基建債券保證年利率僅 </w:t>
      </w:r>
      <w:r>
        <w:rPr>
          <w:rStyle w:val="8"/>
        </w:rPr>
        <w:t>3.5%</w:t>
      </w:r>
      <w:r>
        <w:t xml:space="preserve">，低於： </w:t>
      </w:r>
    </w:p>
    <w:p w14:paraId="0397C416">
      <w:pPr>
        <w:keepNext w:val="0"/>
        <w:keepLines w:val="0"/>
        <w:widowControl/>
        <w:numPr>
          <w:ilvl w:val="1"/>
          <w:numId w:val="30"/>
        </w:numPr>
        <w:suppressLineNumbers w:val="0"/>
        <w:spacing w:before="0" w:beforeAutospacing="1" w:after="0" w:afterAutospacing="1"/>
        <w:ind w:left="1440" w:hanging="360"/>
      </w:pPr>
      <w:r>
        <w:t>銀行定期存款（約4%）</w:t>
      </w:r>
    </w:p>
    <w:p w14:paraId="1FCD628E">
      <w:pPr>
        <w:keepNext w:val="0"/>
        <w:keepLines w:val="0"/>
        <w:widowControl/>
        <w:numPr>
          <w:ilvl w:val="1"/>
          <w:numId w:val="30"/>
        </w:numPr>
        <w:suppressLineNumbers w:val="0"/>
        <w:spacing w:before="0" w:beforeAutospacing="1" w:after="0" w:afterAutospacing="1"/>
        <w:ind w:left="1440" w:hanging="360"/>
      </w:pPr>
      <w:r>
        <w:t>港元拆息（約4.3%）</w:t>
      </w:r>
    </w:p>
    <w:p w14:paraId="7B72AF37">
      <w:pPr>
        <w:keepNext w:val="0"/>
        <w:keepLines w:val="0"/>
        <w:widowControl/>
        <w:numPr>
          <w:ilvl w:val="1"/>
          <w:numId w:val="30"/>
        </w:numPr>
        <w:suppressLineNumbers w:val="0"/>
        <w:spacing w:before="0" w:beforeAutospacing="1" w:after="0" w:afterAutospacing="1"/>
        <w:ind w:left="1440" w:hanging="360"/>
      </w:pPr>
      <w:r>
        <w:t xml:space="preserve">美國國債孳息率 </w:t>
      </w:r>
      <w:r>
        <w:fldChar w:fldCharType="begin"/>
      </w:r>
      <w:r>
        <w:instrText xml:space="preserve"> HYPERLINK "https://www.rfi.fr/tw/%E4%B8%AD%E5%9C%8B/20241209-%E9%A6%99%E6%B8%AF%E9%9B%B6%E5%94%AE%E5%82%B5%E5%88%B8%E5%8D%81%E4%B8%89%E5%B9%B4%E4%BE%86%E9%A6%96%E7%8F%BE%E8%AA%8D%E8%B3%BC%E4%B8%8D%E8%B6%B3-%E4%BD%8E%E7%9B%AE%E6%A8%99%E9%A1%8D%E4%B8%80%E6%88%90-%E8%A9%95%E8%AB%96%E6%86%82%E6%B8%AF%E5%BA%9C%E9%9B%A3%E5%80%9F%E5%82%B5%E6%B8%A1%E6%97%A5" </w:instrText>
      </w:r>
      <w:r>
        <w:fldChar w:fldCharType="separate"/>
      </w:r>
      <w:r>
        <w:rPr>
          <w:rStyle w:val="9"/>
        </w:rPr>
        <w:t>[rfi.fr]</w:t>
      </w:r>
      <w:r>
        <w:fldChar w:fldCharType="end"/>
      </w:r>
    </w:p>
    <w:p w14:paraId="1E8FED4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市民傾向選擇回報更高的儲蓄或定存工具。</w:t>
      </w:r>
    </w:p>
    <w:p w14:paraId="3997FEFD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投資選項多元化</w:t>
      </w:r>
    </w:p>
    <w:p w14:paraId="16464D3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同期新股上市活躍，資金分流至股票市場。</w:t>
      </w:r>
    </w:p>
    <w:p w14:paraId="220ECC4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市場預期減息步伐放緩，影響債券吸引力。 </w:t>
      </w:r>
      <w:r>
        <w:fldChar w:fldCharType="begin"/>
      </w:r>
      <w:r>
        <w:instrText xml:space="preserve"> HYPERLINK "https://www.hk01.com/%E8%B2%A1%E7%B6%93%E5%BF%AB%E8%A8%8A/1082742/%E5%9F%BA%E7%A4%8E%E5%BB%BA%E8%A8%AD%E9%9B%B6%E5%94%AE%E5%82%B5%E5%88%B8%E8%AA%8D%E8%B3%BC%E9%87%91%E9%A1%8D178%E5%84%84-%E6%9C%AA%E8%B6%B3%E9%A1%8D-%E6%B8%AF%E5%BA%9C%E5%92%81%E8%A7%A3%E9%87%8B" </w:instrText>
      </w:r>
      <w:r>
        <w:fldChar w:fldCharType="separate"/>
      </w:r>
      <w:r>
        <w:rPr>
          <w:rStyle w:val="9"/>
        </w:rPr>
        <w:t>[hk01.com]</w:t>
      </w:r>
      <w:r>
        <w:fldChar w:fldCharType="end"/>
      </w:r>
    </w:p>
    <w:p w14:paraId="0F2261BE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信心與預期影響</w:t>
      </w:r>
    </w:p>
    <w:p w14:paraId="25F5490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雖然政府財政仍穩健，但部分市民對連年財赤有所疑慮。</w:t>
      </w:r>
    </w:p>
    <w:p w14:paraId="12F33D0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有人預期未來債券利率會更高，選擇「等下一輪」。 </w:t>
      </w:r>
      <w:r>
        <w:fldChar w:fldCharType="begin"/>
      </w:r>
      <w:r>
        <w:instrText xml:space="preserve"> HYPERLINK "https://n.kinliu.hk/kinliunviews/%e9%9b%b6%e5%94%ae%e5%82%b5%e5%88%b8%e8%aa%8d%e8%b3%bc%e4%b8%8d%e8%b6%b3%e3%80%80%e5%9c%a8%e5%9c%8b%e9%9a%9b%e5%bd%a2%e5%8b%a2%e5%8f%8a%e6%81%af%e7%8e%87%e3%80%80%e6%96%87%ef%bc%9a%e5%8a%89%e4%bf%a1/" </w:instrText>
      </w:r>
      <w:r>
        <w:fldChar w:fldCharType="separate"/>
      </w:r>
      <w:r>
        <w:rPr>
          <w:rStyle w:val="9"/>
        </w:rPr>
        <w:t>[n.kinliu.hk]</w:t>
      </w:r>
      <w:r>
        <w:fldChar w:fldCharType="end"/>
      </w:r>
    </w:p>
    <w:p w14:paraId="22087431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流動性與用途限制</w:t>
      </w:r>
    </w:p>
    <w:p w14:paraId="2069118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零售債券三年期、二手市場流通性低。</w:t>
      </w:r>
    </w:p>
    <w:p w14:paraId="12BCAB5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市民多以閒置資金配置，不會「All-In」。 </w:t>
      </w:r>
      <w:r>
        <w:fldChar w:fldCharType="begin"/>
      </w:r>
      <w:r>
        <w:instrText xml:space="preserve"> HYPERLINK "https://n.kinliu.hk/kinliunviews/%e9%9b%b6%e5%94%ae%e5%82%b5%e5%88%b8%e8%aa%8d%e8%b3%bc%e4%b8%8d%e8%b6%b3%e3%80%80%e5%9c%a8%e5%9c%8b%e9%9a%9b%e5%bd%a2%e5%8b%a2%e5%8f%8a%e6%81%af%e7%8e%87%e3%80%80%e6%96%87%ef%bc%9a%e5%8a%89%e4%bf%a1/" </w:instrText>
      </w:r>
      <w:r>
        <w:fldChar w:fldCharType="separate"/>
      </w:r>
      <w:r>
        <w:rPr>
          <w:rStyle w:val="9"/>
        </w:rPr>
        <w:t>[n.kinliu.hk]</w:t>
      </w:r>
      <w:r>
        <w:fldChar w:fldCharType="end"/>
      </w:r>
    </w:p>
    <w:p w14:paraId="27A653A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7E066">
      <w:pPr>
        <w:pStyle w:val="2"/>
        <w:keepNext w:val="0"/>
        <w:keepLines w:val="0"/>
        <w:widowControl/>
        <w:suppressLineNumbers w:val="0"/>
      </w:pPr>
      <w:r>
        <w:t>🏦 機構債券超額認購的原因</w:t>
      </w:r>
    </w:p>
    <w:p w14:paraId="50B8CB25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穩定回報與資產配置需求</w:t>
      </w:r>
    </w:p>
    <w:p w14:paraId="102C4B4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機構投資者（如保險公司、基金）偏好穩定收益工具。</w:t>
      </w:r>
    </w:p>
    <w:p w14:paraId="6B7FAA0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政府債券具高信用評級，風險低、回報穩定。</w:t>
      </w:r>
    </w:p>
    <w:p w14:paraId="783FB79F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利率具吸引力</w:t>
      </w:r>
    </w:p>
    <w:p w14:paraId="59EB3CF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例如十年期政府債券收益率達 </w:t>
      </w:r>
      <w:r>
        <w:rPr>
          <w:rStyle w:val="8"/>
        </w:rPr>
        <w:t>4.044%</w:t>
      </w:r>
      <w:r>
        <w:t xml:space="preserve">，高於外匯基金票據與部分企業債。 </w:t>
      </w:r>
      <w:r>
        <w:fldChar w:fldCharType="begin"/>
      </w:r>
      <w:r>
        <w:instrText xml:space="preserve"> HYPERLINK "https://hk.finance.yahoo.com/news/%E7%89%B9%E5%8D%80%E6%94%BF%E5%BA%9C%E5%8D%81%E5%B9%B4%E6%9C%9F%E6%B8%AF%E5%85%83%E6%94%BF%E5%BA%9C%E6%A9%9F%E6%A7%8B%E5%82%B5%E5%88%B8%E8%B6%85%E9%A1%8D%E8%AA%8D%E8%B3%BC2-63%E5%80%8D-083335391.html" </w:instrText>
      </w:r>
      <w:r>
        <w:fldChar w:fldCharType="separate"/>
      </w:r>
      <w:r>
        <w:rPr>
          <w:rStyle w:val="9"/>
        </w:rPr>
        <w:t>[hk.finance.yahoo.com]</w:t>
      </w:r>
      <w:r>
        <w:fldChar w:fldCharType="end"/>
      </w:r>
    </w:p>
    <w:p w14:paraId="221C996D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投標制度設計</w:t>
      </w:r>
    </w:p>
    <w:p w14:paraId="41A1B34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機構債券採用競投方式，投資者可自行報價，增加參與意願。</w:t>
      </w:r>
    </w:p>
    <w:p w14:paraId="586C2B3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認購超額達 </w:t>
      </w:r>
      <w:r>
        <w:rPr>
          <w:rStyle w:val="8"/>
        </w:rPr>
        <w:t>3至4倍</w:t>
      </w:r>
      <w:r>
        <w:t xml:space="preserve">，反映需求強勁。 </w:t>
      </w:r>
      <w:r>
        <w:fldChar w:fldCharType="begin"/>
      </w:r>
      <w:r>
        <w:instrText xml:space="preserve"> HYPERLINK "https://news.rthk.hk/rthk/ch/component/k2/1782566-20241208.htm" </w:instrText>
      </w:r>
      <w:r>
        <w:fldChar w:fldCharType="separate"/>
      </w:r>
      <w:r>
        <w:rPr>
          <w:rStyle w:val="9"/>
        </w:rPr>
        <w:t>[news.rthk.hk]</w:t>
      </w:r>
      <w:r>
        <w:fldChar w:fldCharType="end"/>
      </w:r>
    </w:p>
    <w:p w14:paraId="7637A070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資金規模與策略</w:t>
      </w:r>
    </w:p>
    <w:p w14:paraId="3034DC1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機構資金規模大，需尋找長期穩定配置工具。</w:t>
      </w:r>
    </w:p>
    <w:p w14:paraId="428C153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政府債券是資產負債管理的重要工具。</w:t>
      </w:r>
    </w:p>
    <w:p w14:paraId="39FB39E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ACBA1">
      <w:pPr>
        <w:pStyle w:val="2"/>
        <w:keepNext w:val="0"/>
        <w:keepLines w:val="0"/>
        <w:widowControl/>
        <w:suppressLineNumbers w:val="0"/>
      </w:pPr>
      <w:r>
        <w:t>📌 小結對比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980"/>
        <w:gridCol w:w="2235"/>
      </w:tblGrid>
      <w:tr w14:paraId="0A2DA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E6E1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項目</w:t>
            </w:r>
          </w:p>
        </w:tc>
        <w:tc>
          <w:tcPr>
            <w:tcW w:w="0" w:type="auto"/>
            <w:shd w:val="clear"/>
            <w:vAlign w:val="center"/>
          </w:tcPr>
          <w:p w14:paraId="51DD10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零售債券</w:t>
            </w:r>
          </w:p>
        </w:tc>
        <w:tc>
          <w:tcPr>
            <w:tcW w:w="0" w:type="auto"/>
            <w:shd w:val="clear"/>
            <w:vAlign w:val="center"/>
          </w:tcPr>
          <w:p w14:paraId="2234C4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機構債券</w:t>
            </w:r>
          </w:p>
        </w:tc>
      </w:tr>
      <w:tr w14:paraId="23AB5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67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認購結果</w:t>
            </w:r>
          </w:p>
        </w:tc>
        <w:tc>
          <w:tcPr>
            <w:tcW w:w="0" w:type="auto"/>
            <w:shd w:val="clear"/>
            <w:vAlign w:val="center"/>
          </w:tcPr>
          <w:p w14:paraId="37BF8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未足額（約89%）</w:t>
            </w:r>
          </w:p>
        </w:tc>
        <w:tc>
          <w:tcPr>
            <w:tcW w:w="0" w:type="auto"/>
            <w:shd w:val="clear"/>
            <w:vAlign w:val="center"/>
          </w:tcPr>
          <w:p w14:paraId="70DE66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超額（3–4倍）</w:t>
            </w:r>
          </w:p>
        </w:tc>
      </w:tr>
      <w:tr w14:paraId="0DCA8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D04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利率吸引力</w:t>
            </w:r>
          </w:p>
        </w:tc>
        <w:tc>
          <w:tcPr>
            <w:tcW w:w="0" w:type="auto"/>
            <w:shd w:val="clear"/>
            <w:vAlign w:val="center"/>
          </w:tcPr>
          <w:p w14:paraId="79804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偏低（3.5%）</w:t>
            </w:r>
          </w:p>
        </w:tc>
        <w:tc>
          <w:tcPr>
            <w:tcW w:w="0" w:type="auto"/>
            <w:shd w:val="clear"/>
            <w:vAlign w:val="center"/>
          </w:tcPr>
          <w:p w14:paraId="166A7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偏高（約4%）</w:t>
            </w:r>
          </w:p>
        </w:tc>
      </w:tr>
      <w:tr w14:paraId="6B58E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545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投資者類型</w:t>
            </w:r>
          </w:p>
        </w:tc>
        <w:tc>
          <w:tcPr>
            <w:tcW w:w="0" w:type="auto"/>
            <w:shd w:val="clear"/>
            <w:vAlign w:val="center"/>
          </w:tcPr>
          <w:p w14:paraId="636A6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市民、散戶</w:t>
            </w:r>
          </w:p>
        </w:tc>
        <w:tc>
          <w:tcPr>
            <w:tcW w:w="0" w:type="auto"/>
            <w:shd w:val="clear"/>
            <w:vAlign w:val="center"/>
          </w:tcPr>
          <w:p w14:paraId="2E679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保險、基金、銀行</w:t>
            </w:r>
          </w:p>
        </w:tc>
      </w:tr>
      <w:tr w14:paraId="3182E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72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投資動機</w:t>
            </w:r>
          </w:p>
        </w:tc>
        <w:tc>
          <w:tcPr>
            <w:tcW w:w="0" w:type="auto"/>
            <w:shd w:val="clear"/>
            <w:vAlign w:val="center"/>
          </w:tcPr>
          <w:p w14:paraId="54FF3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儲蓄、穩健回報</w:t>
            </w:r>
          </w:p>
        </w:tc>
        <w:tc>
          <w:tcPr>
            <w:tcW w:w="0" w:type="auto"/>
            <w:shd w:val="clear"/>
            <w:vAlign w:val="center"/>
          </w:tcPr>
          <w:p w14:paraId="6530B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資產配置、長期收益</w:t>
            </w:r>
          </w:p>
        </w:tc>
      </w:tr>
      <w:tr w14:paraId="34018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5B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市場信心</w:t>
            </w:r>
          </w:p>
        </w:tc>
        <w:tc>
          <w:tcPr>
            <w:tcW w:w="0" w:type="auto"/>
            <w:shd w:val="clear"/>
            <w:vAlign w:val="center"/>
          </w:tcPr>
          <w:p w14:paraId="18B11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受利率與預期影響</w:t>
            </w:r>
          </w:p>
        </w:tc>
        <w:tc>
          <w:tcPr>
            <w:tcW w:w="0" w:type="auto"/>
            <w:shd w:val="clear"/>
            <w:vAlign w:val="center"/>
          </w:tcPr>
          <w:p w14:paraId="2EBB7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穩定、信心高</w:t>
            </w:r>
          </w:p>
        </w:tc>
      </w:tr>
    </w:tbl>
    <w:p w14:paraId="03B6F5EB"/>
    <w:p w14:paraId="46C95A66">
      <w:r>
        <w:br w:type="page"/>
      </w:r>
    </w:p>
    <w:p w14:paraId="7A33ADD7">
      <w:pPr>
        <w:pStyle w:val="5"/>
        <w:keepNext w:val="0"/>
        <w:keepLines w:val="0"/>
        <w:widowControl/>
        <w:suppressLineNumbers w:val="0"/>
      </w:pPr>
      <w:r>
        <w:t>2025年香港政府</w:t>
      </w:r>
      <w:r>
        <w:rPr>
          <w:rStyle w:val="8"/>
        </w:rPr>
        <w:t>不再發行其他零售債券</w:t>
      </w:r>
      <w:r>
        <w:t>（除了銀債），主要原因如下：</w:t>
      </w:r>
    </w:p>
    <w:p w14:paraId="789041E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5F1F9">
      <w:pPr>
        <w:pStyle w:val="3"/>
        <w:keepNext w:val="0"/>
        <w:keepLines w:val="0"/>
        <w:widowControl/>
        <w:suppressLineNumbers w:val="0"/>
      </w:pPr>
      <w:r>
        <w:t>🧾 1. 市場反應冷淡：零售債券認購不足</w:t>
      </w:r>
    </w:p>
    <w:p w14:paraId="7357270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2024年發行的</w:t>
      </w:r>
      <w:r>
        <w:rPr>
          <w:rStyle w:val="8"/>
        </w:rPr>
        <w:t>基建零售債券</w:t>
      </w:r>
      <w:r>
        <w:t>（保底息率3.5厘）出現</w:t>
      </w:r>
      <w:r>
        <w:rPr>
          <w:rStyle w:val="8"/>
        </w:rPr>
        <w:t>認購不足</w:t>
      </w:r>
      <w:r>
        <w:t xml:space="preserve">，僅達目標額的 </w:t>
      </w:r>
      <w:r>
        <w:rPr>
          <w:rStyle w:val="8"/>
        </w:rPr>
        <w:t>89.25%</w:t>
      </w:r>
      <w:r>
        <w:t xml:space="preserve">，是自2011年以來首次。 </w:t>
      </w:r>
      <w:r>
        <w:fldChar w:fldCharType="begin"/>
      </w:r>
      <w:r>
        <w:instrText xml:space="preserve"> HYPERLINK "https://www.rfi.fr/tw/%E4%B8%AD%E5%9C%8B/20241209-%E9%A6%99%E6%B8%AF%E9%9B%B6%E5%94%AE%E5%82%B5%E5%88%B8%E5%8D%81%E4%B8%89%E5%B9%B4%E4%BE%86%E9%A6%96%E7%8F%BE%E8%AA%8D%E8%B3%BC%E4%B8%8D%E8%B6%B3-%E4%BD%8E%E7%9B%AE%E6%A8%99%E9%A1%8D%E4%B8%80%E6%88%90-%E8%A9%95%E8%AB%96%E6%86%82%E6%B8%AF%E5%BA%9C%E9%9B%A3%E5%80%9F%E5%82%B5%E6%B8%A1%E6%97%A5" </w:instrText>
      </w:r>
      <w:r>
        <w:fldChar w:fldCharType="separate"/>
      </w:r>
      <w:r>
        <w:rPr>
          <w:rStyle w:val="9"/>
        </w:rPr>
        <w:t>[rfi.fr]</w:t>
      </w:r>
      <w:r>
        <w:fldChar w:fldCharType="end"/>
      </w:r>
    </w:p>
    <w:p w14:paraId="4E13EBD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認購人數亦創新低，僅約 </w:t>
      </w:r>
      <w:r>
        <w:rPr>
          <w:rStyle w:val="8"/>
        </w:rPr>
        <w:t>12.8萬人</w:t>
      </w:r>
      <w:r>
        <w:t>。</w:t>
      </w:r>
    </w:p>
    <w:p w14:paraId="2A45350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市場認為回報率不具吸引力，低於銀行定存與港元拆息（約4%–4.3%）。</w:t>
      </w:r>
    </w:p>
    <w:p w14:paraId="16C2DA6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C6DF7">
      <w:pPr>
        <w:pStyle w:val="3"/>
        <w:keepNext w:val="0"/>
        <w:keepLines w:val="0"/>
        <w:widowControl/>
        <w:suppressLineNumbers w:val="0"/>
      </w:pPr>
      <w:r>
        <w:t>📉 2. 利率環境影響吸引力</w:t>
      </w:r>
    </w:p>
    <w:p w14:paraId="26B4FEC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市民偏好短期定存或高息儲蓄產品。</w:t>
      </w:r>
    </w:p>
    <w:p w14:paraId="6209136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市場預期美國聯儲局將減息，令債券吸引力下降。</w:t>
      </w:r>
    </w:p>
    <w:p w14:paraId="179E6E0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政府為控制利息支出，未提高保底息率，導致吸引力不足。 </w:t>
      </w:r>
      <w:r>
        <w:fldChar w:fldCharType="begin"/>
      </w:r>
      <w:r>
        <w:instrText xml:space="preserve"> HYPERLINK "https://www.rfi.fr/tw/%E4%B8%AD%E5%9C%8B/20241209-%E9%A6%99%E6%B8%AF%E9%9B%B6%E5%94%AE%E5%82%B5%E5%88%B8%E5%8D%81%E4%B8%89%E5%B9%B4%E4%BE%86%E9%A6%96%E7%8F%BE%E8%AA%8D%E8%B3%BC%E4%B8%8D%E8%B6%B3-%E4%BD%8E%E7%9B%AE%E6%A8%99%E9%A1%8D%E4%B8%80%E6%88%90-%E8%A9%95%E8%AB%96%E6%86%82%E6%B8%AF%E5%BA%9C%E9%9B%A3%E5%80%9F%E5%82%B5%E6%B8%A1%E6%97%A5" </w:instrText>
      </w:r>
      <w:r>
        <w:fldChar w:fldCharType="separate"/>
      </w:r>
      <w:r>
        <w:rPr>
          <w:rStyle w:val="9"/>
        </w:rPr>
        <w:t>[rfi.fr]</w:t>
      </w:r>
      <w:r>
        <w:fldChar w:fldCharType="end"/>
      </w:r>
    </w:p>
    <w:p w14:paraId="45ACF7F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A5E13">
      <w:pPr>
        <w:pStyle w:val="3"/>
        <w:keepNext w:val="0"/>
        <w:keepLines w:val="0"/>
        <w:widowControl/>
        <w:suppressLineNumbers w:val="0"/>
      </w:pPr>
      <w:r>
        <w:t>🏗️ 3. 政府資金策略調整</w:t>
      </w:r>
    </w:p>
    <w:p w14:paraId="6B78C1D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財政司司長表示，2025/26年度將集中發行</w:t>
      </w:r>
      <w:r>
        <w:rPr>
          <w:rStyle w:val="8"/>
        </w:rPr>
        <w:t>機構債券</w:t>
      </w:r>
      <w:r>
        <w:t xml:space="preserve">，以支持大型基建項目（如洪水橋淨水設施、東涌新市鎮擴展等）。 </w:t>
      </w:r>
      <w:r>
        <w:fldChar w:fldCharType="begin"/>
      </w:r>
      <w:r>
        <w:instrText xml:space="preserve"> HYPERLINK "https://hk.finance.yahoo.com/news/%E6%96%B0-%E6%89%B9%E9%8A%80%E5%82%B5%E7%99%BC%E8%A1%8C%E8%A6%8F%E6%A8%A1500%E5%84%84%E5%85%83%E4%BF%9D%E5%BA%95%E6%81%AF3-85%E5%8E%98-%E6%9C%AC%E8%B2%A1%E5%B9%B4%E4%B8%8D%E5%86%8D%E7%99%BC%E8%A1%8C%E5%85%B6%E4%BB%96%E9%9B%B6%E5%94%AE%E5%82%B5%E5%88%B8-080027257.html" </w:instrText>
      </w:r>
      <w:r>
        <w:fldChar w:fldCharType="separate"/>
      </w:r>
      <w:r>
        <w:rPr>
          <w:rStyle w:val="9"/>
        </w:rPr>
        <w:t>[hk.finance.yahoo.com]</w:t>
      </w:r>
      <w:r>
        <w:fldChar w:fldCharType="end"/>
      </w:r>
    </w:p>
    <w:p w14:paraId="788D3F0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機構債券認購反應熱烈，超額達 </w:t>
      </w:r>
      <w:r>
        <w:rPr>
          <w:rStyle w:val="8"/>
        </w:rPr>
        <w:t>3至7倍</w:t>
      </w:r>
      <w:r>
        <w:t xml:space="preserve">，更有效率地集資。 </w:t>
      </w:r>
      <w:r>
        <w:fldChar w:fldCharType="begin"/>
      </w:r>
      <w:r>
        <w:instrText xml:space="preserve"> HYPERLINK "https://www.hkma.gov.hk/chi/news-and-media/insight/2025/02/20250227/" </w:instrText>
      </w:r>
      <w:r>
        <w:fldChar w:fldCharType="separate"/>
      </w:r>
      <w:r>
        <w:rPr>
          <w:rStyle w:val="9"/>
        </w:rPr>
        <w:t>[hkma.gov.hk]</w:t>
      </w:r>
      <w:r>
        <w:fldChar w:fldCharType="end"/>
      </w:r>
    </w:p>
    <w:p w14:paraId="1434668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BD229">
      <w:pPr>
        <w:pStyle w:val="3"/>
        <w:keepNext w:val="0"/>
        <w:keepLines w:val="0"/>
        <w:widowControl/>
        <w:suppressLineNumbers w:val="0"/>
      </w:pPr>
      <w:r>
        <w:t>📌 小結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355"/>
      </w:tblGrid>
      <w:tr w14:paraId="329FB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D32B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  <w:tc>
          <w:tcPr>
            <w:tcW w:w="0" w:type="auto"/>
            <w:shd w:val="clear"/>
            <w:vAlign w:val="center"/>
          </w:tcPr>
          <w:p w14:paraId="58CB85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說明</w:t>
            </w:r>
          </w:p>
        </w:tc>
      </w:tr>
      <w:tr w14:paraId="5CEBC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A03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認購不足</w:t>
            </w:r>
          </w:p>
        </w:tc>
        <w:tc>
          <w:tcPr>
            <w:tcW w:w="0" w:type="auto"/>
            <w:shd w:val="clear"/>
            <w:vAlign w:val="center"/>
          </w:tcPr>
          <w:p w14:paraId="5ECFC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市民反應冷淡，回報率低於市場預期</w:t>
            </w:r>
          </w:p>
        </w:tc>
      </w:tr>
      <w:tr w14:paraId="04143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F61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利率環境</w:t>
            </w:r>
          </w:p>
        </w:tc>
        <w:tc>
          <w:tcPr>
            <w:tcW w:w="0" w:type="auto"/>
            <w:shd w:val="clear"/>
            <w:vAlign w:val="center"/>
          </w:tcPr>
          <w:p w14:paraId="13FE4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定存利率高，債券吸引力下降</w:t>
            </w:r>
          </w:p>
        </w:tc>
      </w:tr>
      <w:tr w14:paraId="48544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BB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集資效率</w:t>
            </w:r>
          </w:p>
        </w:tc>
        <w:tc>
          <w:tcPr>
            <w:tcW w:w="0" w:type="auto"/>
            <w:shd w:val="clear"/>
            <w:vAlign w:val="center"/>
          </w:tcPr>
          <w:p w14:paraId="2E509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機構債券反應佳，更適合大型基建融資</w:t>
            </w:r>
          </w:p>
        </w:tc>
      </w:tr>
      <w:tr w14:paraId="66C0A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46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政策調整</w:t>
            </w:r>
          </w:p>
        </w:tc>
        <w:tc>
          <w:tcPr>
            <w:tcW w:w="0" w:type="auto"/>
            <w:shd w:val="clear"/>
            <w:vAlign w:val="center"/>
          </w:tcPr>
          <w:p w14:paraId="72090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政府集中資源推動策略性工程，暫停其他零售債券</w:t>
            </w:r>
          </w:p>
        </w:tc>
      </w:tr>
    </w:tbl>
    <w:p w14:paraId="6B37DB66"/>
    <w:p w14:paraId="47BE5253">
      <w:r>
        <w:br w:type="page"/>
      </w:r>
    </w:p>
    <w:p w14:paraId="11E33345">
      <w:pPr>
        <w:pStyle w:val="5"/>
        <w:keepNext w:val="0"/>
        <w:keepLines w:val="0"/>
        <w:widowControl/>
        <w:suppressLineNumbers w:val="0"/>
      </w:pPr>
      <w:r>
        <w:t>香港政府近年</w:t>
      </w:r>
      <w:r>
        <w:rPr>
          <w:rStyle w:val="8"/>
        </w:rPr>
        <w:t>傾向發行機構債券</w:t>
      </w:r>
      <w:r>
        <w:t>，主要是基於以下幾個策略性與操作性考量：</w:t>
      </w:r>
    </w:p>
    <w:p w14:paraId="276B8841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4B27E">
      <w:pPr>
        <w:pStyle w:val="2"/>
        <w:keepNext w:val="0"/>
        <w:keepLines w:val="0"/>
        <w:widowControl/>
        <w:suppressLineNumbers w:val="0"/>
      </w:pPr>
      <w:r>
        <w:t>🏦 為何政府傾向發行機構債券？</w:t>
      </w:r>
    </w:p>
    <w:p w14:paraId="7ABC3BB9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集資效率高</w:t>
      </w:r>
    </w:p>
    <w:p w14:paraId="7FE6D1C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機構債券採用</w:t>
      </w:r>
      <w:r>
        <w:rPr>
          <w:rStyle w:val="8"/>
        </w:rPr>
        <w:t>競投方式</w:t>
      </w:r>
      <w:r>
        <w:t>，由主要交易商參與，能迅速籌集大額資金。</w:t>
      </w:r>
    </w:p>
    <w:p w14:paraId="3180E09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認購反應穩定且超額，2025年部分機構債券超額達 </w:t>
      </w:r>
      <w:r>
        <w:rPr>
          <w:rStyle w:val="8"/>
        </w:rPr>
        <w:t>3至7倍</w:t>
      </w:r>
      <w:r>
        <w:t xml:space="preserve">。 </w:t>
      </w:r>
      <w:r>
        <w:fldChar w:fldCharType="begin"/>
      </w:r>
      <w:r>
        <w:instrText xml:space="preserve"> HYPERLINK "https://www.info.gov.hk/gia/general/202405/22/P2024052200306.htm" </w:instrText>
      </w:r>
      <w:r>
        <w:fldChar w:fldCharType="separate"/>
      </w:r>
      <w:r>
        <w:rPr>
          <w:rStyle w:val="9"/>
        </w:rPr>
        <w:t>[info.gov.hk]</w:t>
      </w:r>
      <w:r>
        <w:fldChar w:fldCharType="end"/>
      </w:r>
    </w:p>
    <w:p w14:paraId="4FAF70B5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支持大型基建項目</w:t>
      </w:r>
    </w:p>
    <w:p w14:paraId="4B4E742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政府計劃每年發債 </w:t>
      </w:r>
      <w:r>
        <w:rPr>
          <w:rStyle w:val="8"/>
        </w:rPr>
        <w:t>950億至1,350億元</w:t>
      </w:r>
      <w:r>
        <w:t>，用於北部都會區、交通、醫療等大型項目。</w:t>
      </w:r>
    </w:p>
    <w:p w14:paraId="66218DD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機構債券能更好管理這些項目的</w:t>
      </w:r>
      <w:r>
        <w:rPr>
          <w:rStyle w:val="8"/>
        </w:rPr>
        <w:t>現金流需求</w:t>
      </w:r>
      <w:r>
        <w:t xml:space="preserve">，讓項目早日落成。 </w:t>
      </w:r>
      <w:r>
        <w:fldChar w:fldCharType="begin"/>
      </w:r>
      <w:r>
        <w:instrText xml:space="preserve"> HYPERLINK "https://www.info.gov.hk/gia/general/202405/22/P2024052200306.htm" </w:instrText>
      </w:r>
      <w:r>
        <w:fldChar w:fldCharType="separate"/>
      </w:r>
      <w:r>
        <w:rPr>
          <w:rStyle w:val="9"/>
        </w:rPr>
        <w:t>[info.gov.hk]</w:t>
      </w:r>
      <w:r>
        <w:fldChar w:fldCharType="end"/>
      </w:r>
    </w:p>
    <w:p w14:paraId="65B86C9E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建立基準收益率曲線</w:t>
      </w:r>
    </w:p>
    <w:p w14:paraId="0C6AB17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定期發行不同年期（如3至30年）的機構債券，有助建立</w:t>
      </w:r>
      <w:r>
        <w:rPr>
          <w:rStyle w:val="8"/>
        </w:rPr>
        <w:t>代表性收益率曲線</w:t>
      </w:r>
      <w:r>
        <w:t>。</w:t>
      </w:r>
    </w:p>
    <w:p w14:paraId="6EB3396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有利企業債券定價，促進本地債券市場發展。 </w:t>
      </w:r>
      <w:r>
        <w:fldChar w:fldCharType="begin"/>
      </w:r>
      <w:r>
        <w:instrText xml:space="preserve"> HYPERLINK "https://www.legco.gov.hk/yr20-21/chinese/hc/sub_leg/sc13/papers/sc13cb1-1078-1-c.pdf" </w:instrText>
      </w:r>
      <w:r>
        <w:fldChar w:fldCharType="separate"/>
      </w:r>
      <w:r>
        <w:rPr>
          <w:rStyle w:val="9"/>
        </w:rPr>
        <w:t>[legco.gov.hk]</w:t>
      </w:r>
      <w:r>
        <w:fldChar w:fldCharType="end"/>
      </w:r>
    </w:p>
    <w:p w14:paraId="100CFA57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8"/>
          <w:b/>
        </w:rPr>
        <w:t>滿足機構投資者需求</w:t>
      </w:r>
    </w:p>
    <w:p w14:paraId="569B0E6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機構如退休基金、保險公司、銀行等需要穩定回報的長期資產。</w:t>
      </w:r>
    </w:p>
    <w:p w14:paraId="7C8D104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政府債券具高信用評級，風險低，適合資產配置。</w:t>
      </w:r>
    </w:p>
    <w:p w14:paraId="643295E5"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8"/>
          <w:b/>
        </w:rPr>
        <w:t>推動香港成為債券樞紐</w:t>
      </w:r>
    </w:p>
    <w:p w14:paraId="12E6858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香港是亞洲最大國際債券發行中心之一，2024年發行總額超過 </w:t>
      </w:r>
      <w:r>
        <w:rPr>
          <w:rStyle w:val="8"/>
        </w:rPr>
        <w:t>1,300億美元</w:t>
      </w:r>
      <w:r>
        <w:t xml:space="preserve">，佔區內市場約三成。 </w:t>
      </w:r>
      <w:r>
        <w:fldChar w:fldCharType="begin"/>
      </w:r>
      <w:r>
        <w:instrText xml:space="preserve"> HYPERLINK "https://www.hkma.gov.hk/chi/key-functions/international-financial-centre/bond-market-development/" </w:instrText>
      </w:r>
      <w:r>
        <w:fldChar w:fldCharType="separate"/>
      </w:r>
      <w:r>
        <w:rPr>
          <w:rStyle w:val="9"/>
        </w:rPr>
        <w:t>[hkma.gov.hk]</w:t>
      </w:r>
      <w:r>
        <w:fldChar w:fldCharType="end"/>
      </w:r>
    </w:p>
    <w:p w14:paraId="6DF5266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政府透過機構債券推動本地與離岸債券市場發展，包括人民幣債券、綠色債券等。</w:t>
      </w:r>
    </w:p>
    <w:p w14:paraId="09BB0AB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9F091">
      <w:pPr>
        <w:pStyle w:val="2"/>
        <w:keepNext w:val="0"/>
        <w:keepLines w:val="0"/>
        <w:widowControl/>
        <w:suppressLineNumbers w:val="0"/>
      </w:pPr>
      <w:r>
        <w:t>📉 相對於零售債券的挑戰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75"/>
        <w:gridCol w:w="2235"/>
      </w:tblGrid>
      <w:tr w14:paraId="166D8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AB45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零售債券挑戰</w:t>
            </w:r>
          </w:p>
        </w:tc>
        <w:tc>
          <w:tcPr>
            <w:tcW w:w="0" w:type="auto"/>
            <w:shd w:val="clear"/>
            <w:vAlign w:val="center"/>
          </w:tcPr>
          <w:p w14:paraId="3540AF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機構債券優勢</w:t>
            </w:r>
          </w:p>
        </w:tc>
      </w:tr>
      <w:tr w14:paraId="60EC1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DC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認購反應不穩定（如2024年基建零售債券未足額）</w:t>
            </w:r>
          </w:p>
        </w:tc>
        <w:tc>
          <w:tcPr>
            <w:tcW w:w="0" w:type="auto"/>
            <w:shd w:val="clear"/>
            <w:vAlign w:val="center"/>
          </w:tcPr>
          <w:p w14:paraId="1CE47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認購穩定且超額</w:t>
            </w:r>
          </w:p>
        </w:tc>
      </w:tr>
      <w:tr w14:paraId="11169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A1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發行成本高（宣傳、配售、行政）</w:t>
            </w:r>
          </w:p>
        </w:tc>
        <w:tc>
          <w:tcPr>
            <w:tcW w:w="0" w:type="auto"/>
            <w:shd w:val="clear"/>
            <w:vAlign w:val="center"/>
          </w:tcPr>
          <w:p w14:paraId="34317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發行效率高</w:t>
            </w:r>
          </w:p>
        </w:tc>
      </w:tr>
      <w:tr w14:paraId="09F00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658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投資者分散、金額小</w:t>
            </w:r>
          </w:p>
        </w:tc>
        <w:tc>
          <w:tcPr>
            <w:tcW w:w="0" w:type="auto"/>
            <w:shd w:val="clear"/>
            <w:vAlign w:val="center"/>
          </w:tcPr>
          <w:p w14:paraId="29A26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投資者集中、金額大</w:t>
            </w:r>
          </w:p>
        </w:tc>
      </w:tr>
      <w:tr w14:paraId="7D489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8BD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需設計吸引條款（如保底息率）</w:t>
            </w:r>
          </w:p>
        </w:tc>
        <w:tc>
          <w:tcPr>
            <w:tcW w:w="0" w:type="auto"/>
            <w:shd w:val="clear"/>
            <w:vAlign w:val="center"/>
          </w:tcPr>
          <w:p w14:paraId="630D3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可按市場利率競投</w:t>
            </w:r>
          </w:p>
        </w:tc>
      </w:tr>
    </w:tbl>
    <w:p w14:paraId="212E795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1A63E">
      <w:pPr>
        <w:pStyle w:val="2"/>
        <w:keepNext w:val="0"/>
        <w:keepLines w:val="0"/>
        <w:widowControl/>
        <w:suppressLineNumbers w:val="0"/>
      </w:pPr>
      <w:r>
        <w:t>📌 小結</w:t>
      </w:r>
    </w:p>
    <w:p w14:paraId="538F5317">
      <w:pPr>
        <w:pStyle w:val="5"/>
        <w:keepNext w:val="0"/>
        <w:keepLines w:val="0"/>
        <w:widowControl/>
        <w:suppressLineNumbers w:val="0"/>
      </w:pPr>
      <w:r>
        <w:t>政府傾向發行機構債券，是因為它能：</w:t>
      </w:r>
    </w:p>
    <w:p w14:paraId="70D99C6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更有效率地集資</w:t>
      </w:r>
    </w:p>
    <w:p w14:paraId="66761E0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支援大型基建與可持續項目</w:t>
      </w:r>
    </w:p>
    <w:p w14:paraId="763777A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滿足機構投資者需求</w:t>
      </w:r>
    </w:p>
    <w:p w14:paraId="39BE560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推動香港債券市場發展</w:t>
      </w:r>
    </w:p>
    <w:p w14:paraId="5A2AE66E">
      <w:pPr>
        <w:pStyle w:val="5"/>
        <w:keepNext w:val="0"/>
        <w:keepLines w:val="0"/>
        <w:widowControl/>
        <w:suppressLineNumbers w:val="0"/>
      </w:pPr>
      <w:r>
        <w:t>零售債券仍有其角色，特別是銀債與綠債，但在資金規模與操作效率上，機構債券更具優勢。</w:t>
      </w:r>
    </w:p>
    <w:p w14:paraId="36A9B4CD">
      <w:r>
        <w:br w:type="page"/>
      </w:r>
    </w:p>
    <w:p w14:paraId="5C28B73E">
      <w:pPr>
        <w:pStyle w:val="5"/>
        <w:keepNext w:val="0"/>
        <w:keepLines w:val="0"/>
        <w:widowControl/>
        <w:suppressLineNumbers w:val="0"/>
      </w:pPr>
      <w:r>
        <w:t>這是一個非常值得探討的問題。香港零售債券與機構債券的認購差異，反映出</w:t>
      </w:r>
      <w:r>
        <w:rPr>
          <w:rStyle w:val="8"/>
        </w:rPr>
        <w:t>市民、機構投資者與政府三者在認知與行為上的落差</w:t>
      </w:r>
      <w:r>
        <w:t>。以下是詳細分析：</w:t>
      </w:r>
    </w:p>
    <w:p w14:paraId="4896789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69CC6">
      <w:pPr>
        <w:pStyle w:val="2"/>
        <w:keepNext w:val="0"/>
        <w:keepLines w:val="0"/>
        <w:widowControl/>
        <w:suppressLineNumbers w:val="0"/>
      </w:pPr>
      <w:r>
        <w:t>🧍‍♂️ 一、市民的認知與行為</w:t>
      </w:r>
    </w:p>
    <w:p w14:paraId="3051EC98">
      <w:pPr>
        <w:pStyle w:val="3"/>
        <w:keepNext w:val="0"/>
        <w:keepLines w:val="0"/>
        <w:widowControl/>
        <w:suppressLineNumbers w:val="0"/>
      </w:pPr>
      <w:r>
        <w:t>🎯 投資目標</w:t>
      </w:r>
    </w:p>
    <w:p w14:paraId="31FAA9F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保本、穩定回報、短期流動性</w:t>
      </w:r>
    </w:p>
    <w:p w14:paraId="2D9CA25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偏好定期存款、股票、基金等熟悉產品</w:t>
      </w:r>
    </w:p>
    <w:p w14:paraId="7F71FF40">
      <w:pPr>
        <w:pStyle w:val="3"/>
        <w:keepNext w:val="0"/>
        <w:keepLines w:val="0"/>
        <w:widowControl/>
        <w:suppressLineNumbers w:val="0"/>
      </w:pPr>
      <w:r>
        <w:t>🧠 認知特點</w:t>
      </w:r>
    </w:p>
    <w:p w14:paraId="5C472F4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對債券理解有限，尤其是政府債券的用途與回報機制</w:t>
      </w:r>
    </w:p>
    <w:p w14:paraId="2CFE6E7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對「保底息率」敏感，若低於定存利率則失去吸引力</w:t>
      </w:r>
    </w:p>
    <w:p w14:paraId="2136127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缺乏長期投資規劃與ESG參與意識（尤其非綠債）</w:t>
      </w:r>
    </w:p>
    <w:p w14:paraId="2CB8AA47">
      <w:pPr>
        <w:pStyle w:val="3"/>
        <w:keepNext w:val="0"/>
        <w:keepLines w:val="0"/>
        <w:widowControl/>
        <w:suppressLineNumbers w:val="0"/>
      </w:pPr>
      <w:r>
        <w:t>💬 常見心態</w:t>
      </w:r>
    </w:p>
    <w:p w14:paraId="5899E1D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「利息太低，不如放定期。」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「買了綠債，但不知道錢去了哪裡。」</w:t>
      </w:r>
    </w:p>
    <w:p w14:paraId="15133FA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B18D9">
      <w:pPr>
        <w:pStyle w:val="2"/>
        <w:keepNext w:val="0"/>
        <w:keepLines w:val="0"/>
        <w:widowControl/>
        <w:suppressLineNumbers w:val="0"/>
      </w:pPr>
      <w:r>
        <w:t>🏦 二、機構投資者的認知與行為</w:t>
      </w:r>
    </w:p>
    <w:p w14:paraId="3881137C">
      <w:pPr>
        <w:pStyle w:val="3"/>
        <w:keepNext w:val="0"/>
        <w:keepLines w:val="0"/>
        <w:widowControl/>
        <w:suppressLineNumbers w:val="0"/>
      </w:pPr>
      <w:r>
        <w:t>🎯 投資目標</w:t>
      </w:r>
    </w:p>
    <w:p w14:paraId="032A455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資產配置、長期穩定回報、風險管理</w:t>
      </w:r>
    </w:p>
    <w:p w14:paraId="0F9643D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需配置大量低風險資產（如保險公司、退休基金）</w:t>
      </w:r>
    </w:p>
    <w:p w14:paraId="693D8259">
      <w:pPr>
        <w:pStyle w:val="3"/>
        <w:keepNext w:val="0"/>
        <w:keepLines w:val="0"/>
        <w:widowControl/>
        <w:suppressLineNumbers w:val="0"/>
      </w:pPr>
      <w:r>
        <w:t>🧠 認知特點</w:t>
      </w:r>
    </w:p>
    <w:p w14:paraId="06F8347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熟悉債券市場與政府信用評級</w:t>
      </w:r>
    </w:p>
    <w:p w14:paraId="492F91F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理解收益率曲線與利率風險</w:t>
      </w:r>
    </w:p>
    <w:p w14:paraId="68C8BB1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可參與競投，靈活報價，掌握定價主導權</w:t>
      </w:r>
    </w:p>
    <w:p w14:paraId="0F54FDED">
      <w:pPr>
        <w:pStyle w:val="3"/>
        <w:keepNext w:val="0"/>
        <w:keepLines w:val="0"/>
        <w:widowControl/>
        <w:suppressLineNumbers w:val="0"/>
      </w:pPr>
      <w:r>
        <w:t>💬 常見心態</w:t>
      </w:r>
    </w:p>
    <w:p w14:paraId="5CDD5F6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「政府債券是穩定資產，適合長期配置。」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「利率合理，超額認購是常態。」</w:t>
      </w:r>
    </w:p>
    <w:p w14:paraId="15C34D7E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4A46E">
      <w:pPr>
        <w:pStyle w:val="2"/>
        <w:keepNext w:val="0"/>
        <w:keepLines w:val="0"/>
        <w:widowControl/>
        <w:suppressLineNumbers w:val="0"/>
      </w:pPr>
      <w:r>
        <w:t>🏛️ 三、政府的認知與策略</w:t>
      </w:r>
    </w:p>
    <w:p w14:paraId="0EE18D50">
      <w:pPr>
        <w:pStyle w:val="3"/>
        <w:keepNext w:val="0"/>
        <w:keepLines w:val="0"/>
        <w:widowControl/>
        <w:suppressLineNumbers w:val="0"/>
      </w:pPr>
      <w:r>
        <w:t>🎯 政策目標</w:t>
      </w:r>
    </w:p>
    <w:p w14:paraId="06FCA24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集資推動基建、綠色轉型、普惠金融</w:t>
      </w:r>
    </w:p>
    <w:p w14:paraId="5C2F6C4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同時兼顧財政穩健與社會參與</w:t>
      </w:r>
    </w:p>
    <w:p w14:paraId="446BAFE7">
      <w:pPr>
        <w:pStyle w:val="3"/>
        <w:keepNext w:val="0"/>
        <w:keepLines w:val="0"/>
        <w:widowControl/>
        <w:suppressLineNumbers w:val="0"/>
      </w:pPr>
      <w:r>
        <w:t>🧠 認知特點</w:t>
      </w:r>
    </w:p>
    <w:p w14:paraId="5A0E013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認為零售債券可提升市民參與感與理財意識</w:t>
      </w:r>
    </w:p>
    <w:p w14:paraId="164D48B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但面對市民認購反應不穩定，需設計吸引條款（如保底息率）</w:t>
      </w:r>
    </w:p>
    <w:p w14:paraId="1058560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發行零售債券成本高（宣傳、行政、配售），效率低於機構債券</w:t>
      </w:r>
    </w:p>
    <w:p w14:paraId="275EE62D">
      <w:pPr>
        <w:pStyle w:val="3"/>
        <w:keepNext w:val="0"/>
        <w:keepLines w:val="0"/>
        <w:widowControl/>
        <w:suppressLineNumbers w:val="0"/>
      </w:pPr>
      <w:r>
        <w:t>💬 常見心態</w:t>
      </w:r>
    </w:p>
    <w:p w14:paraId="2EC93CF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「零售債券是普惠金融工具，但需平衡成本與效益。」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「機構債券能快速集資，支援大型項目。」</w:t>
      </w:r>
    </w:p>
    <w:p w14:paraId="496DFB6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1424F">
      <w:pPr>
        <w:pStyle w:val="2"/>
        <w:keepNext w:val="0"/>
        <w:keepLines w:val="0"/>
        <w:widowControl/>
        <w:suppressLineNumbers w:val="0"/>
      </w:pPr>
      <w:r>
        <w:t>📊 三者認知差異總結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6"/>
        <w:gridCol w:w="2151"/>
        <w:gridCol w:w="2382"/>
        <w:gridCol w:w="2627"/>
      </w:tblGrid>
      <w:tr w14:paraId="0C8E5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E0E2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面向</w:t>
            </w:r>
          </w:p>
        </w:tc>
        <w:tc>
          <w:tcPr>
            <w:tcW w:w="0" w:type="auto"/>
            <w:shd w:val="clear"/>
            <w:vAlign w:val="center"/>
          </w:tcPr>
          <w:p w14:paraId="409DF2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市民</w:t>
            </w:r>
          </w:p>
        </w:tc>
        <w:tc>
          <w:tcPr>
            <w:tcW w:w="0" w:type="auto"/>
            <w:shd w:val="clear"/>
            <w:vAlign w:val="center"/>
          </w:tcPr>
          <w:p w14:paraId="78F168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機構投資者</w:t>
            </w:r>
          </w:p>
        </w:tc>
        <w:tc>
          <w:tcPr>
            <w:tcW w:w="0" w:type="auto"/>
            <w:shd w:val="clear"/>
            <w:vAlign w:val="center"/>
          </w:tcPr>
          <w:p w14:paraId="504111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政府</w:t>
            </w:r>
          </w:p>
        </w:tc>
      </w:tr>
      <w:tr w14:paraId="00F00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C5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投資目標</w:t>
            </w:r>
          </w:p>
        </w:tc>
        <w:tc>
          <w:tcPr>
            <w:tcW w:w="0" w:type="auto"/>
            <w:shd w:val="clear"/>
            <w:vAlign w:val="center"/>
          </w:tcPr>
          <w:p w14:paraId="487645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收息、保本</w:t>
            </w:r>
          </w:p>
        </w:tc>
        <w:tc>
          <w:tcPr>
            <w:tcW w:w="0" w:type="auto"/>
            <w:shd w:val="clear"/>
            <w:vAlign w:val="center"/>
          </w:tcPr>
          <w:p w14:paraId="2C1131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資產配置、長期回報</w:t>
            </w:r>
          </w:p>
        </w:tc>
        <w:tc>
          <w:tcPr>
            <w:tcW w:w="0" w:type="auto"/>
            <w:shd w:val="clear"/>
            <w:vAlign w:val="center"/>
          </w:tcPr>
          <w:p w14:paraId="5064D5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集資、政策推動</w:t>
            </w:r>
          </w:p>
        </w:tc>
      </w:tr>
      <w:tr w14:paraId="005D1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48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對債券理解</w:t>
            </w:r>
          </w:p>
        </w:tc>
        <w:tc>
          <w:tcPr>
            <w:tcW w:w="0" w:type="auto"/>
            <w:shd w:val="clear"/>
            <w:vAlign w:val="center"/>
          </w:tcPr>
          <w:p w14:paraId="75B79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有限、偏重利率</w:t>
            </w:r>
          </w:p>
        </w:tc>
        <w:tc>
          <w:tcPr>
            <w:tcW w:w="0" w:type="auto"/>
            <w:shd w:val="clear"/>
            <w:vAlign w:val="center"/>
          </w:tcPr>
          <w:p w14:paraId="24B78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專業、重視風險管理</w:t>
            </w:r>
          </w:p>
        </w:tc>
        <w:tc>
          <w:tcPr>
            <w:tcW w:w="0" w:type="auto"/>
            <w:shd w:val="clear"/>
            <w:vAlign w:val="center"/>
          </w:tcPr>
          <w:p w14:paraId="62524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政策導向、兼顧參與</w:t>
            </w:r>
          </w:p>
        </w:tc>
      </w:tr>
      <w:tr w14:paraId="16CE0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87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認購行為</w:t>
            </w:r>
          </w:p>
        </w:tc>
        <w:tc>
          <w:tcPr>
            <w:tcW w:w="0" w:type="auto"/>
            <w:shd w:val="clear"/>
            <w:vAlign w:val="center"/>
          </w:tcPr>
          <w:p w14:paraId="038BB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受利率與信心影響</w:t>
            </w:r>
          </w:p>
        </w:tc>
        <w:tc>
          <w:tcPr>
            <w:tcW w:w="0" w:type="auto"/>
            <w:shd w:val="clear"/>
            <w:vAlign w:val="center"/>
          </w:tcPr>
          <w:p w14:paraId="588A3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穩定、超額認購</w:t>
            </w:r>
          </w:p>
        </w:tc>
        <w:tc>
          <w:tcPr>
            <w:tcW w:w="0" w:type="auto"/>
            <w:shd w:val="clear"/>
            <w:vAlign w:val="center"/>
          </w:tcPr>
          <w:p w14:paraId="3943D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傾向機構發行以提升效率</w:t>
            </w:r>
          </w:p>
        </w:tc>
      </w:tr>
      <w:tr w14:paraId="5FD0C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4F7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挑戰</w:t>
            </w:r>
          </w:p>
        </w:tc>
        <w:tc>
          <w:tcPr>
            <w:tcW w:w="0" w:type="auto"/>
            <w:shd w:val="clear"/>
            <w:vAlign w:val="center"/>
          </w:tcPr>
          <w:p w14:paraId="54EFE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缺乏透明度與流動性</w:t>
            </w:r>
          </w:p>
        </w:tc>
        <w:tc>
          <w:tcPr>
            <w:tcW w:w="0" w:type="auto"/>
            <w:shd w:val="clear"/>
            <w:vAlign w:val="center"/>
          </w:tcPr>
          <w:p w14:paraId="7B45B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需穩定供應與定價機制</w:t>
            </w:r>
          </w:p>
        </w:tc>
        <w:tc>
          <w:tcPr>
            <w:tcW w:w="0" w:type="auto"/>
            <w:shd w:val="clear"/>
            <w:vAlign w:val="center"/>
          </w:tcPr>
          <w:p w14:paraId="6C7F6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成本高、反應不穩定</w:t>
            </w:r>
          </w:p>
        </w:tc>
      </w:tr>
    </w:tbl>
    <w:p w14:paraId="16FCD788">
      <w:r>
        <w:br w:type="page"/>
      </w:r>
    </w:p>
    <w:p w14:paraId="21B49A57">
      <w:pPr>
        <w:pStyle w:val="5"/>
        <w:keepNext w:val="0"/>
        <w:keepLines w:val="0"/>
        <w:widowControl/>
        <w:suppressLineNumbers w:val="0"/>
      </w:pPr>
      <w:r>
        <w:t>你提出的三大市民批評反映出對政府發債的</w:t>
      </w:r>
      <w:r>
        <w:rPr>
          <w:rStyle w:val="8"/>
        </w:rPr>
        <w:t>信任、理解與參與感不足</w:t>
      </w:r>
      <w:r>
        <w:t xml:space="preserve">。以下是每項批評的背景與如何透過 </w:t>
      </w:r>
      <w:r>
        <w:rPr>
          <w:rStyle w:val="8"/>
        </w:rPr>
        <w:t>OpenData（開放數據）</w:t>
      </w:r>
      <w:r>
        <w:t xml:space="preserve"> 改善市民觀感與信心的具體建議：</w:t>
      </w:r>
    </w:p>
    <w:p w14:paraId="6DFCAEE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B6EB92">
      <w:pPr>
        <w:pStyle w:val="2"/>
        <w:keepNext w:val="0"/>
        <w:keepLines w:val="0"/>
        <w:widowControl/>
        <w:suppressLineNumbers w:val="0"/>
      </w:pPr>
      <w:r>
        <w:t>🧾 批評一：「政府庫房沒錢，就發債。」</w:t>
      </w:r>
    </w:p>
    <w:p w14:paraId="49838050">
      <w:pPr>
        <w:pStyle w:val="3"/>
        <w:keepNext w:val="0"/>
        <w:keepLines w:val="0"/>
        <w:widowControl/>
        <w:suppressLineNumbers w:val="0"/>
      </w:pPr>
      <w:r>
        <w:t>🎯 背後認知：</w:t>
      </w:r>
    </w:p>
    <w:p w14:paraId="5DF8C77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市民認為政府發債是「財赤補洞」，而非有計劃的財政工具。</w:t>
      </w:r>
    </w:p>
    <w:p w14:paraId="1FE23A2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缺乏對政府債務管理策略的理解。</w:t>
      </w:r>
    </w:p>
    <w:p w14:paraId="61D8BBB9">
      <w:pPr>
        <w:pStyle w:val="3"/>
        <w:keepNext w:val="0"/>
        <w:keepLines w:val="0"/>
        <w:widowControl/>
        <w:suppressLineNumbers w:val="0"/>
      </w:pPr>
      <w:r>
        <w:t>✅ OpenData解決方案：</w:t>
      </w:r>
    </w:p>
    <w:p w14:paraId="5F6673C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A0665E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公開政府債務結構與用途</w:t>
      </w:r>
    </w:p>
    <w:p w14:paraId="14376DD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BAB0D00">
      <w:pPr>
        <w:keepNext w:val="0"/>
        <w:keepLines w:val="0"/>
        <w:widowControl/>
        <w:numPr>
          <w:ilvl w:val="1"/>
          <w:numId w:val="53"/>
        </w:numPr>
        <w:suppressLineNumbers w:val="0"/>
        <w:spacing w:before="0" w:beforeAutospacing="1" w:after="0" w:afterAutospacing="1"/>
        <w:ind w:left="1440" w:hanging="360"/>
      </w:pPr>
      <w:r>
        <w:t>發布債務佔GDP比例、償還計劃、利息支出佔比。</w:t>
      </w:r>
    </w:p>
    <w:p w14:paraId="24B56FD6">
      <w:pPr>
        <w:keepNext w:val="0"/>
        <w:keepLines w:val="0"/>
        <w:widowControl/>
        <w:numPr>
          <w:ilvl w:val="1"/>
          <w:numId w:val="53"/>
        </w:numPr>
        <w:suppressLineNumbers w:val="0"/>
        <w:spacing w:before="0" w:beforeAutospacing="1" w:after="0" w:afterAutospacing="1"/>
        <w:ind w:left="1440" w:hanging="360"/>
      </w:pPr>
      <w:r>
        <w:t>與其他地區（如新加坡、韓國）比較，展示香港債務仍屬穩健。</w:t>
      </w:r>
    </w:p>
    <w:p w14:paraId="2B398B3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32D52A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建立「債務儀表板」</w:t>
      </w:r>
    </w:p>
    <w:p w14:paraId="248E33A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F7F935A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讓市民即時查閱政府債務狀況、用途分布（基建、教育、醫療等）。</w:t>
      </w:r>
    </w:p>
    <w:p w14:paraId="56D461E1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4D5F2">
      <w:pPr>
        <w:pStyle w:val="2"/>
        <w:keepNext w:val="0"/>
        <w:keepLines w:val="0"/>
        <w:widowControl/>
        <w:suppressLineNumbers w:val="0"/>
      </w:pPr>
      <w:r>
        <w:t>💰 批評二：「發債是拿去發公務員工資。」</w:t>
      </w:r>
    </w:p>
    <w:p w14:paraId="6CBC2963">
      <w:pPr>
        <w:pStyle w:val="3"/>
        <w:keepNext w:val="0"/>
        <w:keepLines w:val="0"/>
        <w:widowControl/>
        <w:suppressLineNumbers w:val="0"/>
      </w:pPr>
      <w:r>
        <w:t>🎯 背後認知：</w:t>
      </w:r>
    </w:p>
    <w:p w14:paraId="27170D9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市民誤以為債券資金用於日常開支，而非資本項目。</w:t>
      </w:r>
    </w:p>
    <w:p w14:paraId="0ECFF38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對政府財政分類（經常開支 vs 基本工程）不清楚。</w:t>
      </w:r>
    </w:p>
    <w:p w14:paraId="7930972B">
      <w:pPr>
        <w:pStyle w:val="3"/>
        <w:keepNext w:val="0"/>
        <w:keepLines w:val="0"/>
        <w:widowControl/>
        <w:suppressLineNumbers w:val="0"/>
      </w:pPr>
      <w:r>
        <w:t>✅ OpenData解決方案：</w:t>
      </w:r>
    </w:p>
    <w:p w14:paraId="6717FDD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30268E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公開債券資金用途分類</w:t>
      </w:r>
    </w:p>
    <w:p w14:paraId="7BDAF1D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171426F">
      <w:pPr>
        <w:keepNext w:val="0"/>
        <w:keepLines w:val="0"/>
        <w:widowControl/>
        <w:numPr>
          <w:ilvl w:val="1"/>
          <w:numId w:val="56"/>
        </w:numPr>
        <w:suppressLineNumbers w:val="0"/>
        <w:spacing w:before="0" w:beforeAutospacing="1" w:after="0" w:afterAutospacing="1"/>
        <w:ind w:left="1440" w:hanging="360"/>
      </w:pPr>
      <w:r>
        <w:t>清楚列出債券資金只用於資本項目（如鐵路、醫院、綠色建築）。</w:t>
      </w:r>
    </w:p>
    <w:p w14:paraId="2ED8A979">
      <w:pPr>
        <w:keepNext w:val="0"/>
        <w:keepLines w:val="0"/>
        <w:widowControl/>
        <w:numPr>
          <w:ilvl w:val="1"/>
          <w:numId w:val="56"/>
        </w:numPr>
        <w:suppressLineNumbers w:val="0"/>
        <w:spacing w:before="0" w:beforeAutospacing="1" w:after="0" w:afterAutospacing="1"/>
        <w:ind w:left="1440" w:hanging="360"/>
      </w:pPr>
      <w:r>
        <w:t>發布年度「債券資金流向報告」，附項目名稱與預算。</w:t>
      </w:r>
    </w:p>
    <w:p w14:paraId="60D5472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265B10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互動式「資金用途地圖」</w:t>
      </w:r>
    </w:p>
    <w:p w14:paraId="4B139D7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3EB4E12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顯示每筆債券資金對應的地區項目，提升市民參與感。</w:t>
      </w:r>
    </w:p>
    <w:p w14:paraId="67575FA5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57537">
      <w:pPr>
        <w:pStyle w:val="2"/>
        <w:keepNext w:val="0"/>
        <w:keepLines w:val="0"/>
        <w:widowControl/>
        <w:suppressLineNumbers w:val="0"/>
      </w:pPr>
      <w:r>
        <w:t>🏙️ 批評三：「政府發債都幫不到民生。」</w:t>
      </w:r>
    </w:p>
    <w:p w14:paraId="6DFF272F">
      <w:pPr>
        <w:pStyle w:val="3"/>
        <w:keepNext w:val="0"/>
        <w:keepLines w:val="0"/>
        <w:widowControl/>
        <w:suppressLineNumbers w:val="0"/>
      </w:pPr>
      <w:r>
        <w:t>🎯 背後認知：</w:t>
      </w:r>
    </w:p>
    <w:p w14:paraId="78167DC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市民未感受到債券資金帶來的生活改善。</w:t>
      </w:r>
    </w:p>
    <w:p w14:paraId="05EEBCD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缺乏項目成果的可視化與回饋。</w:t>
      </w:r>
    </w:p>
    <w:p w14:paraId="66C84AAF">
      <w:pPr>
        <w:pStyle w:val="3"/>
        <w:keepNext w:val="0"/>
        <w:keepLines w:val="0"/>
        <w:widowControl/>
        <w:suppressLineNumbers w:val="0"/>
      </w:pPr>
      <w:r>
        <w:t>✅ OpenData解決方案：</w:t>
      </w:r>
    </w:p>
    <w:p w14:paraId="4B59044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3FCFC4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建立「民生效益報告」</w:t>
      </w:r>
    </w:p>
    <w:p w14:paraId="54EBB0D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4A9DCDD8">
      <w:pPr>
        <w:keepNext w:val="0"/>
        <w:keepLines w:val="0"/>
        <w:widowControl/>
        <w:numPr>
          <w:ilvl w:val="1"/>
          <w:numId w:val="59"/>
        </w:numPr>
        <w:suppressLineNumbers w:val="0"/>
        <w:spacing w:before="0" w:beforeAutospacing="1" w:after="0" w:afterAutospacing="1"/>
        <w:ind w:left="1440" w:hanging="360"/>
      </w:pPr>
      <w:r>
        <w:t>債券資助項目完成後，發布成果報告（如新增病床數、通勤時間減少）。</w:t>
      </w:r>
    </w:p>
    <w:p w14:paraId="5394AD95">
      <w:pPr>
        <w:keepNext w:val="0"/>
        <w:keepLines w:val="0"/>
        <w:widowControl/>
        <w:numPr>
          <w:ilvl w:val="1"/>
          <w:numId w:val="59"/>
        </w:numPr>
        <w:suppressLineNumbers w:val="0"/>
        <w:spacing w:before="0" w:beforeAutospacing="1" w:after="0" w:afterAutospacing="1"/>
        <w:ind w:left="1440" w:hanging="360"/>
      </w:pPr>
      <w:r>
        <w:t>使用圖表、影片、故事形式呈現，提升共鳴。</w:t>
      </w:r>
    </w:p>
    <w:p w14:paraId="6C66C58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9F8798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設立「市民參與平台」</w:t>
      </w:r>
    </w:p>
    <w:p w14:paraId="492FDD4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6B990EC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讓市民投票選擇債券資金優先項目（如醫療 vs 教育）</w:t>
      </w:r>
    </w:p>
    <w:p w14:paraId="67191FAC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收集意見，提升政策透明度與回應性。</w:t>
      </w:r>
    </w:p>
    <w:p w14:paraId="31838043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EA162">
      <w:pPr>
        <w:pStyle w:val="2"/>
        <w:keepNext w:val="0"/>
        <w:keepLines w:val="0"/>
        <w:widowControl/>
        <w:suppressLineNumbers w:val="0"/>
      </w:pPr>
      <w:r>
        <w:t>📌 小結：OpenData如何改善市民批評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500"/>
        <w:gridCol w:w="3195"/>
      </w:tblGrid>
      <w:tr w14:paraId="2AC6F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89D6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批評</w:t>
            </w:r>
          </w:p>
        </w:tc>
        <w:tc>
          <w:tcPr>
            <w:tcW w:w="0" w:type="auto"/>
            <w:shd w:val="clear"/>
            <w:vAlign w:val="center"/>
          </w:tcPr>
          <w:p w14:paraId="5069C3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背後問題</w:t>
            </w:r>
          </w:p>
        </w:tc>
        <w:tc>
          <w:tcPr>
            <w:tcW w:w="0" w:type="auto"/>
            <w:shd w:val="clear"/>
            <w:vAlign w:val="center"/>
          </w:tcPr>
          <w:p w14:paraId="1A6A04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OpenData對策</w:t>
            </w:r>
          </w:p>
        </w:tc>
      </w:tr>
      <w:tr w14:paraId="730CE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AAD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庫房沒錢就發債</w:t>
            </w:r>
          </w:p>
        </w:tc>
        <w:tc>
          <w:tcPr>
            <w:tcW w:w="0" w:type="auto"/>
            <w:shd w:val="clear"/>
            <w:vAlign w:val="center"/>
          </w:tcPr>
          <w:p w14:paraId="6AE67A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債務誤解</w:t>
            </w:r>
          </w:p>
        </w:tc>
        <w:tc>
          <w:tcPr>
            <w:tcW w:w="0" w:type="auto"/>
            <w:shd w:val="clear"/>
            <w:vAlign w:val="center"/>
          </w:tcPr>
          <w:p w14:paraId="26378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公開債務結構與儀表板</w:t>
            </w:r>
          </w:p>
        </w:tc>
      </w:tr>
      <w:tr w14:paraId="5E644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3F6A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拿去發公務員工資</w:t>
            </w:r>
          </w:p>
        </w:tc>
        <w:tc>
          <w:tcPr>
            <w:tcW w:w="0" w:type="auto"/>
            <w:shd w:val="clear"/>
            <w:vAlign w:val="center"/>
          </w:tcPr>
          <w:p w14:paraId="434EA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財政分類不清</w:t>
            </w:r>
          </w:p>
        </w:tc>
        <w:tc>
          <w:tcPr>
            <w:tcW w:w="0" w:type="auto"/>
            <w:shd w:val="clear"/>
            <w:vAlign w:val="center"/>
          </w:tcPr>
          <w:p w14:paraId="3C72D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公開資金用途與項目地圖</w:t>
            </w:r>
          </w:p>
        </w:tc>
      </w:tr>
      <w:tr w14:paraId="149D7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96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幫不到民生</w:t>
            </w:r>
          </w:p>
        </w:tc>
        <w:tc>
          <w:tcPr>
            <w:tcW w:w="0" w:type="auto"/>
            <w:shd w:val="clear"/>
            <w:vAlign w:val="center"/>
          </w:tcPr>
          <w:p w14:paraId="0AE14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成果不可見</w:t>
            </w:r>
          </w:p>
        </w:tc>
        <w:tc>
          <w:tcPr>
            <w:tcW w:w="0" w:type="auto"/>
            <w:shd w:val="clear"/>
            <w:vAlign w:val="center"/>
          </w:tcPr>
          <w:p w14:paraId="19E22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發布民生效益報告與參與平台</w:t>
            </w:r>
          </w:p>
        </w:tc>
      </w:tr>
    </w:tbl>
    <w:p w14:paraId="10BF8F2B"/>
    <w:p w14:paraId="12FE096D">
      <w:r>
        <w:br w:type="page"/>
      </w:r>
    </w:p>
    <w:p w14:paraId="67B94803">
      <w:pPr>
        <w:pStyle w:val="5"/>
        <w:keepNext w:val="0"/>
        <w:keepLines w:val="0"/>
        <w:widowControl/>
        <w:suppressLineNumbers w:val="0"/>
      </w:pPr>
      <w:r>
        <w:t>香港政府透過發行債券（包括基建債券、綠債、銀債）為基本工程儲備基金集資，理論上應能推動民生改善與經濟增長，但市民卻普遍</w:t>
      </w:r>
      <w:r>
        <w:rPr>
          <w:rStyle w:val="8"/>
        </w:rPr>
        <w:t>感受不到幸福感提升</w:t>
      </w:r>
      <w:r>
        <w:t>。這種落差可從以下兩個角度分析：</w:t>
      </w:r>
    </w:p>
    <w:p w14:paraId="3FC5F43B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FE317">
      <w:pPr>
        <w:pStyle w:val="2"/>
        <w:keepNext w:val="0"/>
        <w:keepLines w:val="0"/>
        <w:widowControl/>
        <w:suppressLineNumbers w:val="0"/>
      </w:pPr>
      <w:r>
        <w:t>📈 一、政府債券與基本工程儲備基金的 ROI（投資回報率）</w:t>
      </w:r>
    </w:p>
    <w:p w14:paraId="6AA36999">
      <w:pPr>
        <w:pStyle w:val="3"/>
        <w:keepNext w:val="0"/>
        <w:keepLines w:val="0"/>
        <w:widowControl/>
        <w:suppressLineNumbers w:val="0"/>
      </w:pPr>
      <w:r>
        <w:t>✅ 政府的預期回報</w:t>
      </w:r>
    </w:p>
    <w:p w14:paraId="015846C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債券資金主要投資於</w:t>
      </w:r>
      <w:r>
        <w:rPr>
          <w:rStyle w:val="8"/>
        </w:rPr>
        <w:t>基建項目</w:t>
      </w:r>
      <w:r>
        <w:t xml:space="preserve">（如交通、醫療、教育、環保等）。 </w:t>
      </w:r>
      <w:r>
        <w:fldChar w:fldCharType="begin"/>
      </w:r>
      <w:r>
        <w:instrText xml:space="preserve"> HYPERLINK "https://www.hkgb.gov.hk/sc/others/documents/Infra_bond_Framework_20240910_ch.pdf" </w:instrText>
      </w:r>
      <w:r>
        <w:fldChar w:fldCharType="separate"/>
      </w:r>
      <w:r>
        <w:rPr>
          <w:rStyle w:val="9"/>
        </w:rPr>
        <w:t>[hkgb.gov.hk]</w:t>
      </w:r>
      <w:r>
        <w:fldChar w:fldCharType="end"/>
      </w:r>
    </w:p>
    <w:p w14:paraId="707953B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預期回報包括： </w:t>
      </w:r>
    </w:p>
    <w:p w14:paraId="7E71E855">
      <w:pPr>
        <w:keepNext w:val="0"/>
        <w:keepLines w:val="0"/>
        <w:widowControl/>
        <w:numPr>
          <w:ilvl w:val="1"/>
          <w:numId w:val="62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經濟效益</w:t>
      </w:r>
      <w:r>
        <w:t>：提升生產力、創造就業、促進投資。</w:t>
      </w:r>
    </w:p>
    <w:p w14:paraId="7A81FD09">
      <w:pPr>
        <w:keepNext w:val="0"/>
        <w:keepLines w:val="0"/>
        <w:widowControl/>
        <w:numPr>
          <w:ilvl w:val="1"/>
          <w:numId w:val="62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社會效益</w:t>
      </w:r>
      <w:r>
        <w:t>：改善公共服務、提升生活質素。</w:t>
      </w:r>
    </w:p>
    <w:p w14:paraId="49C8B684">
      <w:pPr>
        <w:keepNext w:val="0"/>
        <w:keepLines w:val="0"/>
        <w:widowControl/>
        <w:numPr>
          <w:ilvl w:val="1"/>
          <w:numId w:val="62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財政效益</w:t>
      </w:r>
      <w:r>
        <w:t>：土地增值、稅收增加。</w:t>
      </w:r>
    </w:p>
    <w:p w14:paraId="5039D53A">
      <w:pPr>
        <w:pStyle w:val="3"/>
        <w:keepNext w:val="0"/>
        <w:keepLines w:val="0"/>
        <w:widowControl/>
        <w:suppressLineNumbers w:val="0"/>
      </w:pPr>
      <w:r>
        <w:t>❗ 實際 ROI 難以量化</w:t>
      </w:r>
    </w:p>
    <w:p w14:paraId="17CE3EE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多數項目屬</w:t>
      </w:r>
      <w:r>
        <w:rPr>
          <w:rStyle w:val="8"/>
        </w:rPr>
        <w:t>長期回報</w:t>
      </w:r>
      <w:r>
        <w:t>，短期內難見成效。</w:t>
      </w:r>
    </w:p>
    <w:p w14:paraId="0DB7D64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缺乏統一的效益評估指標與公開報告。</w:t>
      </w:r>
    </w:p>
    <w:p w14:paraId="47F5EA6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市民無法清楚知道每筆債券資金的具體用途與成果。</w:t>
      </w:r>
    </w:p>
    <w:p w14:paraId="10F8FB8E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DD8AF">
      <w:pPr>
        <w:pStyle w:val="2"/>
        <w:keepNext w:val="0"/>
        <w:keepLines w:val="0"/>
        <w:widowControl/>
        <w:suppressLineNumbers w:val="0"/>
      </w:pPr>
      <w:r>
        <w:t>🧍‍♂️ 二、市民感受不到民生幸福感改善的原因</w:t>
      </w:r>
    </w:p>
    <w:p w14:paraId="422A9FC9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資訊不透明</w:t>
      </w:r>
    </w:p>
    <w:p w14:paraId="0BD66F0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雖然政府承諾每年發表《基建債券報告》，但市民難以理解或接觸。 </w:t>
      </w:r>
      <w:r>
        <w:fldChar w:fldCharType="begin"/>
      </w:r>
      <w:r>
        <w:instrText xml:space="preserve"> HYPERLINK "https://www.hkgb.gov.hk/sc/others/documents/Infra_bond_Framework_20240910_ch.pdf" </w:instrText>
      </w:r>
      <w:r>
        <w:fldChar w:fldCharType="separate"/>
      </w:r>
      <w:r>
        <w:rPr>
          <w:rStyle w:val="9"/>
        </w:rPr>
        <w:t>[hkgb.gov.hk]</w:t>
      </w:r>
      <w:r>
        <w:fldChar w:fldCharType="end"/>
      </w:r>
    </w:p>
    <w:p w14:paraId="32C1CB4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>項目進度、效益、地區分布等資訊未能有效傳達。</w:t>
      </w:r>
    </w:p>
    <w:p w14:paraId="364FA5C4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  <w:b/>
        </w:rPr>
        <w:t>民生項目與市民生活距離遠</w:t>
      </w:r>
    </w:p>
    <w:p w14:paraId="4B270E3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債券資金多用於大型基建（如北部都會區、洪水橋），市民未必直接受惠。</w:t>
      </w:r>
    </w:p>
    <w:p w14:paraId="3AF4A83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民生感受偏向「即時、可見」，如醫療輪候時間、交通擠塞、教育資源等。</w:t>
      </w:r>
    </w:p>
    <w:p w14:paraId="264CD7BC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  <w:b/>
        </w:rPr>
        <w:t>財赤與福利削減形成反差</w:t>
      </w:r>
    </w:p>
    <w:p w14:paraId="370DCD1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政府一方面發債投資基建，另一方面削減學生津貼、檢討兩元乘車優惠，引起市民不滿。 </w:t>
      </w:r>
      <w:r>
        <w:fldChar w:fldCharType="begin"/>
      </w:r>
      <w:r>
        <w:instrText xml:space="preserve"> HYPERLINK "https://datametas.com/en/2025%E8%B2%A1%E6%94%BF%E9%A0%90%E7%AE%97%E6%A1%88-%E5%A4%A7%E6%95%B8%E6%93%9A%E7%9C%8B%E5%B8%82%E6%B0%91%E9%97%9C%E6%B3%A8/" </w:instrText>
      </w:r>
      <w:r>
        <w:fldChar w:fldCharType="separate"/>
      </w:r>
      <w:r>
        <w:rPr>
          <w:rStyle w:val="9"/>
        </w:rPr>
        <w:t>[datametas.com]</w:t>
      </w:r>
      <w:r>
        <w:fldChar w:fldCharType="end"/>
      </w:r>
    </w:p>
    <w:p w14:paraId="72B561F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市民質疑：「政府有錢發債，卻削我福利？」</w:t>
      </w:r>
    </w:p>
    <w:p w14:paraId="0F55799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04593">
      <w:pPr>
        <w:pStyle w:val="2"/>
        <w:keepNext w:val="0"/>
        <w:keepLines w:val="0"/>
        <w:widowControl/>
        <w:suppressLineNumbers w:val="0"/>
      </w:pPr>
      <w:r>
        <w:t>🧩 解決方向：提升市民幸福感與信任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6555"/>
      </w:tblGrid>
      <w:tr w14:paraId="5045B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E39C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問題</w:t>
            </w:r>
          </w:p>
        </w:tc>
        <w:tc>
          <w:tcPr>
            <w:tcW w:w="0" w:type="auto"/>
            <w:shd w:val="clear"/>
            <w:vAlign w:val="center"/>
          </w:tcPr>
          <w:p w14:paraId="4BAE20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解決方案</w:t>
            </w:r>
          </w:p>
        </w:tc>
      </w:tr>
      <w:tr w14:paraId="6EDCD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DB0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ROI不明確</w:t>
            </w:r>
          </w:p>
        </w:tc>
        <w:tc>
          <w:tcPr>
            <w:tcW w:w="0" w:type="auto"/>
            <w:shd w:val="clear"/>
            <w:vAlign w:val="center"/>
          </w:tcPr>
          <w:p w14:paraId="57D7CC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建立公開的「項目效益儀表板」，展示每項投資的成果與回報</w:t>
            </w:r>
          </w:p>
        </w:tc>
      </w:tr>
      <w:tr w14:paraId="73CB1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4C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資訊不透明</w:t>
            </w:r>
          </w:p>
        </w:tc>
        <w:tc>
          <w:tcPr>
            <w:tcW w:w="0" w:type="auto"/>
            <w:shd w:val="clear"/>
            <w:vAlign w:val="center"/>
          </w:tcPr>
          <w:p w14:paraId="0D669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發行後公開「資金用途地圖」與「民生影響報告」</w:t>
            </w:r>
          </w:p>
        </w:tc>
      </w:tr>
      <w:tr w14:paraId="6F0A5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1A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民生感受不足</w:t>
            </w:r>
          </w:p>
        </w:tc>
        <w:tc>
          <w:tcPr>
            <w:tcW w:w="0" w:type="auto"/>
            <w:shd w:val="clear"/>
            <w:vAlign w:val="center"/>
          </w:tcPr>
          <w:p w14:paraId="3EDD3D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增加小型、地區性民生項目（如診所、社區設施）比例</w:t>
            </w:r>
          </w:p>
        </w:tc>
      </w:tr>
      <w:tr w14:paraId="1896D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753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信任缺失</w:t>
            </w:r>
          </w:p>
        </w:tc>
        <w:tc>
          <w:tcPr>
            <w:tcW w:w="0" w:type="auto"/>
            <w:shd w:val="clear"/>
            <w:vAlign w:val="center"/>
          </w:tcPr>
          <w:p w14:paraId="42152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引入市民參與機制，如投票選擇債券資金優先項目</w:t>
            </w:r>
          </w:p>
        </w:tc>
      </w:tr>
    </w:tbl>
    <w:p w14:paraId="646D73A7"/>
    <w:p w14:paraId="30D4FEA0">
      <w:r>
        <w:br w:type="page"/>
      </w:r>
    </w:p>
    <w:p w14:paraId="6BCA8663">
      <w:pPr>
        <w:pStyle w:val="5"/>
        <w:keepNext w:val="0"/>
        <w:keepLines w:val="0"/>
        <w:widowControl/>
        <w:suppressLineNumbers w:val="0"/>
      </w:pPr>
      <w:r>
        <w:t>要讓大型基建與小型地區性民生項目</w:t>
      </w:r>
      <w:r>
        <w:rPr>
          <w:rStyle w:val="8"/>
        </w:rPr>
        <w:t>同步發展</w:t>
      </w:r>
      <w:r>
        <w:t>，並提升市民的「即時、可見」幸福感，可以採取以下策略：</w:t>
      </w:r>
    </w:p>
    <w:p w14:paraId="01958A8D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3998D">
      <w:pPr>
        <w:pStyle w:val="2"/>
        <w:keepNext w:val="0"/>
        <w:keepLines w:val="0"/>
        <w:widowControl/>
        <w:suppressLineNumbers w:val="0"/>
      </w:pPr>
      <w:r>
        <w:t>🏗️ 一、整合式規劃：大型基建 + 地區民生配套</w:t>
      </w:r>
    </w:p>
    <w:p w14:paraId="054DD353">
      <w:pPr>
        <w:pStyle w:val="3"/>
        <w:keepNext w:val="0"/>
        <w:keepLines w:val="0"/>
        <w:widowControl/>
        <w:suppressLineNumbers w:val="0"/>
      </w:pPr>
      <w:r>
        <w:t>✅ 建議做法：</w:t>
      </w:r>
    </w:p>
    <w:p w14:paraId="12CA5DD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6AFEC39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每個大型基建項目都配套小型民生設施</w:t>
      </w:r>
    </w:p>
    <w:p w14:paraId="132E396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46994BB">
      <w:pPr>
        <w:keepNext w:val="0"/>
        <w:keepLines w:val="0"/>
        <w:widowControl/>
        <w:numPr>
          <w:ilvl w:val="1"/>
          <w:numId w:val="67"/>
        </w:numPr>
        <w:suppressLineNumbers w:val="0"/>
        <w:spacing w:before="0" w:beforeAutospacing="1" w:after="0" w:afterAutospacing="1"/>
        <w:ind w:left="1440" w:hanging="360"/>
      </w:pPr>
      <w:r>
        <w:t>例如：在新鐵路站附近同步建設社區診所、長者中心、綠化公園。</w:t>
      </w:r>
    </w:p>
    <w:p w14:paraId="2E6B96E8">
      <w:pPr>
        <w:keepNext w:val="0"/>
        <w:keepLines w:val="0"/>
        <w:widowControl/>
        <w:numPr>
          <w:ilvl w:val="1"/>
          <w:numId w:val="67"/>
        </w:numPr>
        <w:suppressLineNumbers w:val="0"/>
        <w:spacing w:before="0" w:beforeAutospacing="1" w:after="0" w:afterAutospacing="1"/>
        <w:ind w:left="1440" w:hanging="360"/>
      </w:pPr>
      <w:r>
        <w:t>在新市鎮規劃中，預留空間與資金給地區性設施。</w:t>
      </w:r>
    </w:p>
    <w:p w14:paraId="4FF09A2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6B5A779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設立「民生配套基金」</w:t>
      </w:r>
    </w:p>
    <w:p w14:paraId="7DAADA9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97730DB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從基本工程儲備基金中撥出一定比例（如5–10%）專門用於小型民生項目。</w:t>
      </w:r>
    </w:p>
    <w:p w14:paraId="14361211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由地區諮詢委員會或市民投票決定優先項目。</w:t>
      </w:r>
    </w:p>
    <w:p w14:paraId="258FC134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88AB9">
      <w:pPr>
        <w:pStyle w:val="2"/>
        <w:keepNext w:val="0"/>
        <w:keepLines w:val="0"/>
        <w:widowControl/>
        <w:suppressLineNumbers w:val="0"/>
      </w:pPr>
      <w:r>
        <w:t>📊 二、即時回報機制：短期成果可見</w:t>
      </w:r>
    </w:p>
    <w:p w14:paraId="3A102165">
      <w:pPr>
        <w:pStyle w:val="3"/>
        <w:keepNext w:val="0"/>
        <w:keepLines w:val="0"/>
        <w:widowControl/>
        <w:suppressLineNumbers w:val="0"/>
      </w:pPr>
      <w:r>
        <w:t>✅ 建議做法：</w:t>
      </w:r>
    </w:p>
    <w:p w14:paraId="61A2D2B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58C0BBD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分階段落成與啟用</w:t>
      </w:r>
    </w:p>
    <w:p w14:paraId="5B1E3DA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78386FF9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大型項目如鐵路、醫院可分期啟用部分設施（如候診區、社區巴士站）。</w:t>
      </w:r>
    </w:p>
    <w:p w14:paraId="5CC2DF53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提供「階段性民生成果報告」，讓市民感受到進展。</w:t>
      </w:r>
    </w:p>
    <w:p w14:paraId="5661AD2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61FC9B5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設立「民生回報儀表板」</w:t>
      </w:r>
    </w:p>
    <w:p w14:paraId="042F866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761AFA10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公開每筆債券資金對應的民生成果（如新增病床、改善交通時間）。</w:t>
      </w:r>
    </w:p>
    <w:p w14:paraId="14688839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使用互動地圖與數據圖表展示地區受惠情況。</w:t>
      </w:r>
    </w:p>
    <w:p w14:paraId="08A1E28B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6CD48">
      <w:pPr>
        <w:pStyle w:val="2"/>
        <w:keepNext w:val="0"/>
        <w:keepLines w:val="0"/>
        <w:widowControl/>
        <w:suppressLineNumbers w:val="0"/>
      </w:pPr>
      <w:r>
        <w:t>🧍‍♂️ 三、市民參與：提升認同與幸福感</w:t>
      </w:r>
    </w:p>
    <w:p w14:paraId="4002AF7B">
      <w:pPr>
        <w:pStyle w:val="3"/>
        <w:keepNext w:val="0"/>
        <w:keepLines w:val="0"/>
        <w:widowControl/>
        <w:suppressLineNumbers w:val="0"/>
      </w:pPr>
      <w:r>
        <w:t>✅ 建議做法：</w:t>
      </w:r>
    </w:p>
    <w:p w14:paraId="39A75EC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2A9FB4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設立「社區債券參與平台」</w:t>
      </w:r>
    </w:p>
    <w:p w14:paraId="4B4C730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13D07A79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讓市民投票選擇小型民生項目（如社區健身設施、兒童遊樂場）。</w:t>
      </w:r>
    </w:p>
    <w:p w14:paraId="674A3935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提供項目進度追蹤與回饋機制。</w:t>
      </w:r>
    </w:p>
    <w:p w14:paraId="71D6242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476D111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推動「社區共建計劃」</w:t>
      </w:r>
    </w:p>
    <w:p w14:paraId="59EAD07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7EE9287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鼓勵市民參與設計與監督地區項目。</w:t>
      </w:r>
    </w:p>
    <w:p w14:paraId="2B618E6B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提供志願者參與機會，建立歸屬感。</w:t>
      </w:r>
    </w:p>
    <w:p w14:paraId="66C03C18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CE5AC">
      <w:pPr>
        <w:pStyle w:val="2"/>
        <w:keepNext w:val="0"/>
        <w:keepLines w:val="0"/>
        <w:widowControl/>
        <w:suppressLineNumbers w:val="0"/>
      </w:pPr>
      <w:r>
        <w:t>📌 小結：如何同步推動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260"/>
        <w:gridCol w:w="1521"/>
      </w:tblGrid>
      <w:tr w14:paraId="35BF7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2A2B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層面</w:t>
            </w:r>
          </w:p>
        </w:tc>
        <w:tc>
          <w:tcPr>
            <w:tcW w:w="0" w:type="auto"/>
            <w:shd w:val="clear"/>
            <w:vAlign w:val="center"/>
          </w:tcPr>
          <w:p w14:paraId="486121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大型基建</w:t>
            </w:r>
          </w:p>
        </w:tc>
        <w:tc>
          <w:tcPr>
            <w:tcW w:w="0" w:type="auto"/>
            <w:shd w:val="clear"/>
            <w:vAlign w:val="center"/>
          </w:tcPr>
          <w:p w14:paraId="67E9C9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小型民生項目</w:t>
            </w:r>
          </w:p>
        </w:tc>
      </w:tr>
      <w:tr w14:paraId="68648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DDA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規劃</w:t>
            </w:r>
          </w:p>
        </w:tc>
        <w:tc>
          <w:tcPr>
            <w:tcW w:w="0" w:type="auto"/>
            <w:shd w:val="clear"/>
            <w:vAlign w:val="center"/>
          </w:tcPr>
          <w:p w14:paraId="224D62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長期、宏觀</w:t>
            </w:r>
          </w:p>
        </w:tc>
        <w:tc>
          <w:tcPr>
            <w:tcW w:w="0" w:type="auto"/>
            <w:shd w:val="clear"/>
            <w:vAlign w:val="center"/>
          </w:tcPr>
          <w:p w14:paraId="162E2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即時、地區性</w:t>
            </w:r>
          </w:p>
        </w:tc>
      </w:tr>
      <w:tr w14:paraId="4A7F8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76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資金</w:t>
            </w:r>
          </w:p>
        </w:tc>
        <w:tc>
          <w:tcPr>
            <w:tcW w:w="0" w:type="auto"/>
            <w:shd w:val="clear"/>
            <w:vAlign w:val="center"/>
          </w:tcPr>
          <w:p w14:paraId="33FB9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債券集資</w:t>
            </w:r>
          </w:p>
        </w:tc>
        <w:tc>
          <w:tcPr>
            <w:tcW w:w="0" w:type="auto"/>
            <w:shd w:val="clear"/>
            <w:vAlign w:val="center"/>
          </w:tcPr>
          <w:p w14:paraId="36224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民生配套基金</w:t>
            </w:r>
          </w:p>
        </w:tc>
      </w:tr>
      <w:tr w14:paraId="52863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509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成果</w:t>
            </w:r>
          </w:p>
        </w:tc>
        <w:tc>
          <w:tcPr>
            <w:tcW w:w="0" w:type="auto"/>
            <w:shd w:val="clear"/>
            <w:vAlign w:val="center"/>
          </w:tcPr>
          <w:p w14:paraId="0C555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經濟效益</w:t>
            </w:r>
          </w:p>
        </w:tc>
        <w:tc>
          <w:tcPr>
            <w:tcW w:w="0" w:type="auto"/>
            <w:shd w:val="clear"/>
            <w:vAlign w:val="center"/>
          </w:tcPr>
          <w:p w14:paraId="47FAE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幸福感提升</w:t>
            </w:r>
          </w:p>
        </w:tc>
      </w:tr>
      <w:tr w14:paraId="1015E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3CF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參與</w:t>
            </w:r>
          </w:p>
        </w:tc>
        <w:tc>
          <w:tcPr>
            <w:tcW w:w="0" w:type="auto"/>
            <w:shd w:val="clear"/>
            <w:vAlign w:val="center"/>
          </w:tcPr>
          <w:p w14:paraId="0D28D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政策主導</w:t>
            </w:r>
          </w:p>
        </w:tc>
        <w:tc>
          <w:tcPr>
            <w:tcW w:w="0" w:type="auto"/>
            <w:shd w:val="clear"/>
            <w:vAlign w:val="center"/>
          </w:tcPr>
          <w:p w14:paraId="620AD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市民共建</w:t>
            </w:r>
          </w:p>
        </w:tc>
      </w:tr>
    </w:tbl>
    <w:p w14:paraId="0BF826BE">
      <w:r>
        <w:br w:type="page"/>
      </w:r>
    </w:p>
    <w:p w14:paraId="78B1C2B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40320"/>
    <w:multiLevelType w:val="multilevel"/>
    <w:tmpl w:val="82E403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5FFF313"/>
    <w:multiLevelType w:val="multilevel"/>
    <w:tmpl w:val="85FFF3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66442B"/>
    <w:multiLevelType w:val="multilevel"/>
    <w:tmpl w:val="866644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851B833"/>
    <w:multiLevelType w:val="multilevel"/>
    <w:tmpl w:val="8851B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9CAF646"/>
    <w:multiLevelType w:val="multilevel"/>
    <w:tmpl w:val="89CAF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159A31C"/>
    <w:multiLevelType w:val="multilevel"/>
    <w:tmpl w:val="9159A3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4E79874"/>
    <w:multiLevelType w:val="multilevel"/>
    <w:tmpl w:val="94E798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9525AF74"/>
    <w:multiLevelType w:val="multilevel"/>
    <w:tmpl w:val="9525A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0BCD8E4"/>
    <w:multiLevelType w:val="multilevel"/>
    <w:tmpl w:val="A0BCD8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43FCEF9"/>
    <w:multiLevelType w:val="multilevel"/>
    <w:tmpl w:val="A43FC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D318D2F"/>
    <w:multiLevelType w:val="multilevel"/>
    <w:tmpl w:val="AD318D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1934CFB"/>
    <w:multiLevelType w:val="multilevel"/>
    <w:tmpl w:val="B1934C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296B21F"/>
    <w:multiLevelType w:val="multilevel"/>
    <w:tmpl w:val="B296B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BC3E0EE"/>
    <w:multiLevelType w:val="multilevel"/>
    <w:tmpl w:val="BBC3E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DAAA75C"/>
    <w:multiLevelType w:val="multilevel"/>
    <w:tmpl w:val="BDAAA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0B731E3"/>
    <w:multiLevelType w:val="multilevel"/>
    <w:tmpl w:val="C0B731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5BA204B"/>
    <w:multiLevelType w:val="multilevel"/>
    <w:tmpl w:val="C5BA20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E1C40E8"/>
    <w:multiLevelType w:val="multilevel"/>
    <w:tmpl w:val="CE1C40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EA8A420"/>
    <w:multiLevelType w:val="multilevel"/>
    <w:tmpl w:val="CEA8A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FF2EF1E"/>
    <w:multiLevelType w:val="multilevel"/>
    <w:tmpl w:val="CFF2E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32D1E29"/>
    <w:multiLevelType w:val="multilevel"/>
    <w:tmpl w:val="D32D1E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D6685ACB"/>
    <w:multiLevelType w:val="multilevel"/>
    <w:tmpl w:val="D6685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E3E64BF"/>
    <w:multiLevelType w:val="multilevel"/>
    <w:tmpl w:val="DE3E64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3F03A88"/>
    <w:multiLevelType w:val="multilevel"/>
    <w:tmpl w:val="E3F03A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618577F"/>
    <w:multiLevelType w:val="multilevel"/>
    <w:tmpl w:val="E61857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DFF0771"/>
    <w:multiLevelType w:val="multilevel"/>
    <w:tmpl w:val="EDFF0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1309EAD"/>
    <w:multiLevelType w:val="multilevel"/>
    <w:tmpl w:val="F1309E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F95319CE"/>
    <w:multiLevelType w:val="multilevel"/>
    <w:tmpl w:val="F95319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FA08F40C"/>
    <w:multiLevelType w:val="multilevel"/>
    <w:tmpl w:val="FA08F4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FF81DA5A"/>
    <w:multiLevelType w:val="multilevel"/>
    <w:tmpl w:val="FF81D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5CFE9B4"/>
    <w:multiLevelType w:val="multilevel"/>
    <w:tmpl w:val="05CFE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8E60F0C"/>
    <w:multiLevelType w:val="multilevel"/>
    <w:tmpl w:val="08E60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10FF0005"/>
    <w:multiLevelType w:val="multilevel"/>
    <w:tmpl w:val="10FF00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13E80329"/>
    <w:multiLevelType w:val="multilevel"/>
    <w:tmpl w:val="13E803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7DE2633"/>
    <w:multiLevelType w:val="multilevel"/>
    <w:tmpl w:val="17DE2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97AC8BA"/>
    <w:multiLevelType w:val="multilevel"/>
    <w:tmpl w:val="197AC8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1A766988"/>
    <w:multiLevelType w:val="multilevel"/>
    <w:tmpl w:val="1A7669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0A05F6C"/>
    <w:multiLevelType w:val="multilevel"/>
    <w:tmpl w:val="20A05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2A757088"/>
    <w:multiLevelType w:val="multilevel"/>
    <w:tmpl w:val="2A757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2A8011E9"/>
    <w:multiLevelType w:val="multilevel"/>
    <w:tmpl w:val="2A801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2DF3951D"/>
    <w:multiLevelType w:val="multilevel"/>
    <w:tmpl w:val="2DF395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3197CE31"/>
    <w:multiLevelType w:val="multilevel"/>
    <w:tmpl w:val="3197C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3D28AF86"/>
    <w:multiLevelType w:val="multilevel"/>
    <w:tmpl w:val="3D28A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3D8C4B0C"/>
    <w:multiLevelType w:val="multilevel"/>
    <w:tmpl w:val="3D8C4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43268A17"/>
    <w:multiLevelType w:val="multilevel"/>
    <w:tmpl w:val="43268A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443AAB28"/>
    <w:multiLevelType w:val="multilevel"/>
    <w:tmpl w:val="443AA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49008C1E"/>
    <w:multiLevelType w:val="multilevel"/>
    <w:tmpl w:val="49008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50F2D5D6"/>
    <w:multiLevelType w:val="multilevel"/>
    <w:tmpl w:val="50F2D5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52616DB6"/>
    <w:multiLevelType w:val="multilevel"/>
    <w:tmpl w:val="52616D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5330B449"/>
    <w:multiLevelType w:val="multilevel"/>
    <w:tmpl w:val="5330B4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53C56410"/>
    <w:multiLevelType w:val="multilevel"/>
    <w:tmpl w:val="53C564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58FF12EC"/>
    <w:multiLevelType w:val="multilevel"/>
    <w:tmpl w:val="58FF12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5CA5941E"/>
    <w:multiLevelType w:val="multilevel"/>
    <w:tmpl w:val="5CA594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5FAF227F"/>
    <w:multiLevelType w:val="multilevel"/>
    <w:tmpl w:val="5FAF2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6233CE13"/>
    <w:multiLevelType w:val="multilevel"/>
    <w:tmpl w:val="6233C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664111A3"/>
    <w:multiLevelType w:val="multilevel"/>
    <w:tmpl w:val="66411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6676453F"/>
    <w:multiLevelType w:val="multilevel"/>
    <w:tmpl w:val="66764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697C41DE"/>
    <w:multiLevelType w:val="multilevel"/>
    <w:tmpl w:val="697C4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69FD81B7"/>
    <w:multiLevelType w:val="multilevel"/>
    <w:tmpl w:val="69FD81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7179E8A6"/>
    <w:multiLevelType w:val="multilevel"/>
    <w:tmpl w:val="7179E8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74065262"/>
    <w:multiLevelType w:val="multilevel"/>
    <w:tmpl w:val="740652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7A47CAC4"/>
    <w:multiLevelType w:val="multilevel"/>
    <w:tmpl w:val="7A47CA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7C4AF1A9"/>
    <w:multiLevelType w:val="multilevel"/>
    <w:tmpl w:val="7C4AF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8"/>
  </w:num>
  <w:num w:numId="3">
    <w:abstractNumId w:val="56"/>
  </w:num>
  <w:num w:numId="4">
    <w:abstractNumId w:val="51"/>
  </w:num>
  <w:num w:numId="5">
    <w:abstractNumId w:val="3"/>
  </w:num>
  <w:num w:numId="6">
    <w:abstractNumId w:val="23"/>
  </w:num>
  <w:num w:numId="7">
    <w:abstractNumId w:val="19"/>
  </w:num>
  <w:num w:numId="8">
    <w:abstractNumId w:val="29"/>
  </w:num>
  <w:num w:numId="9">
    <w:abstractNumId w:val="14"/>
  </w:num>
  <w:num w:numId="10">
    <w:abstractNumId w:val="24"/>
  </w:num>
  <w:num w:numId="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5"/>
  </w:num>
  <w:num w:numId="13">
    <w:abstractNumId w:val="15"/>
  </w:num>
  <w:num w:numId="14">
    <w:abstractNumId w:val="2"/>
  </w:num>
  <w:num w:numId="15">
    <w:abstractNumId w:val="59"/>
  </w:num>
  <w:num w:numId="16">
    <w:abstractNumId w:val="13"/>
  </w:num>
  <w:num w:numId="17">
    <w:abstractNumId w:val="39"/>
  </w:num>
  <w:num w:numId="18">
    <w:abstractNumId w:val="31"/>
  </w:num>
  <w:num w:numId="19">
    <w:abstractNumId w:val="28"/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16"/>
  </w:num>
  <w:num w:numId="23">
    <w:abstractNumId w:val="40"/>
  </w:num>
  <w:num w:numId="24">
    <w:abstractNumId w:val="18"/>
  </w:num>
  <w:num w:numId="25">
    <w:abstractNumId w:val="50"/>
  </w:num>
  <w:num w:numId="26">
    <w:abstractNumId w:val="52"/>
  </w:num>
  <w:num w:numId="27">
    <w:abstractNumId w:val="10"/>
  </w:num>
  <w:num w:numId="28">
    <w:abstractNumId w:val="43"/>
  </w:num>
  <w:num w:numId="2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6"/>
  </w:num>
  <w:num w:numId="31">
    <w:abstractNumId w:val="22"/>
  </w:num>
  <w:num w:numId="32">
    <w:abstractNumId w:val="44"/>
  </w:num>
  <w:num w:numId="33">
    <w:abstractNumId w:val="4"/>
  </w:num>
  <w:num w:numId="34">
    <w:abstractNumId w:val="33"/>
  </w:num>
  <w:num w:numId="35">
    <w:abstractNumId w:val="12"/>
  </w:num>
  <w:num w:numId="36">
    <w:abstractNumId w:val="8"/>
  </w:num>
  <w:num w:numId="37">
    <w:abstractNumId w:val="34"/>
  </w:num>
  <w:num w:numId="38">
    <w:abstractNumId w:val="46"/>
  </w:num>
  <w:num w:numId="39">
    <w:abstractNumId w:val="42"/>
  </w:num>
  <w:num w:numId="40">
    <w:abstractNumId w:val="61"/>
  </w:num>
  <w:num w:numId="41">
    <w:abstractNumId w:val="53"/>
  </w:num>
  <w:num w:numId="42">
    <w:abstractNumId w:val="11"/>
  </w:num>
  <w:num w:numId="43">
    <w:abstractNumId w:val="21"/>
  </w:num>
  <w:num w:numId="44">
    <w:abstractNumId w:val="47"/>
  </w:num>
  <w:num w:numId="45">
    <w:abstractNumId w:val="41"/>
  </w:num>
  <w:num w:numId="46">
    <w:abstractNumId w:val="7"/>
  </w:num>
  <w:num w:numId="47">
    <w:abstractNumId w:val="57"/>
  </w:num>
  <w:num w:numId="48">
    <w:abstractNumId w:val="5"/>
  </w:num>
  <w:num w:numId="49">
    <w:abstractNumId w:val="30"/>
  </w:num>
  <w:num w:numId="50">
    <w:abstractNumId w:val="62"/>
  </w:num>
  <w:num w:numId="51">
    <w:abstractNumId w:val="38"/>
  </w:num>
  <w:num w:numId="52">
    <w:abstractNumId w:val="54"/>
  </w:num>
  <w:num w:numId="53">
    <w:abstractNumId w:val="17"/>
  </w:num>
  <w:num w:numId="54">
    <w:abstractNumId w:val="26"/>
  </w:num>
  <w:num w:numId="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7"/>
  </w:num>
  <w:num w:numId="57">
    <w:abstractNumId w:val="6"/>
  </w:num>
  <w:num w:numId="5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5"/>
  </w:num>
  <w:num w:numId="60">
    <w:abstractNumId w:val="35"/>
  </w:num>
  <w:num w:numId="6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60"/>
  </w:num>
  <w:num w:numId="63">
    <w:abstractNumId w:val="49"/>
  </w:num>
  <w:num w:numId="64">
    <w:abstractNumId w:val="58"/>
  </w:num>
  <w:num w:numId="65">
    <w:abstractNumId w:val="1"/>
  </w:num>
  <w:num w:numId="66">
    <w:abstractNumId w:val="45"/>
  </w:num>
  <w:num w:numId="67">
    <w:abstractNumId w:val="27"/>
  </w:num>
  <w:num w:numId="6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20"/>
  </w:num>
  <w:num w:numId="7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32"/>
  </w:num>
  <w:num w:numId="7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D4743D"/>
    <w:rsid w:val="02936A01"/>
    <w:rsid w:val="09B71227"/>
    <w:rsid w:val="0AFD710E"/>
    <w:rsid w:val="0B077F8D"/>
    <w:rsid w:val="0B9E269F"/>
    <w:rsid w:val="112E6273"/>
    <w:rsid w:val="132536A6"/>
    <w:rsid w:val="14237BE5"/>
    <w:rsid w:val="17AB3A62"/>
    <w:rsid w:val="197113F3"/>
    <w:rsid w:val="19874772"/>
    <w:rsid w:val="22315F6D"/>
    <w:rsid w:val="23D073EA"/>
    <w:rsid w:val="27BB7CDD"/>
    <w:rsid w:val="2EEB3364"/>
    <w:rsid w:val="32AC3044"/>
    <w:rsid w:val="3D3B56F0"/>
    <w:rsid w:val="46565349"/>
    <w:rsid w:val="49D15412"/>
    <w:rsid w:val="522D1654"/>
    <w:rsid w:val="54E22C26"/>
    <w:rsid w:val="57E9601D"/>
    <w:rsid w:val="5D9E1657"/>
    <w:rsid w:val="5F7D0400"/>
    <w:rsid w:val="60791F08"/>
    <w:rsid w:val="61EB0BE3"/>
    <w:rsid w:val="624F3EEF"/>
    <w:rsid w:val="62740BD9"/>
    <w:rsid w:val="661A6B25"/>
    <w:rsid w:val="67C1666E"/>
    <w:rsid w:val="6B5604E6"/>
    <w:rsid w:val="6C262F44"/>
    <w:rsid w:val="6C44161C"/>
    <w:rsid w:val="6CC83FFB"/>
    <w:rsid w:val="6D45389E"/>
    <w:rsid w:val="6E1312A6"/>
    <w:rsid w:val="6ED4743D"/>
    <w:rsid w:val="753366D1"/>
    <w:rsid w:val="75AB2ED7"/>
    <w:rsid w:val="77476464"/>
    <w:rsid w:val="78450BF6"/>
    <w:rsid w:val="7A6C06BC"/>
    <w:rsid w:val="7AD037C6"/>
    <w:rsid w:val="7CA26617"/>
    <w:rsid w:val="7D49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2025-10-20T08:46:00Z</dcterms:created>
  <dc:creator>kk</dc:creator>
  <cp:lastModifiedBy>kk</cp:lastModifiedBy>
  <dcterms:modified xsi:type="dcterms:W3CDTF">2025-10-20T09:50:38Z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6C57DDCEFE274524BC2F34AF57609ED3_11</vt:lpwstr>
  </property>
  <property fmtid="{D5CDD505-2E9C-101B-9397-08002B2CF9AE}" pid="4" name="KSOTemplateDocerSaveRecord">
    <vt:lpwstr>eyJoZGlkIjoiZGZmMjZkMjQ5ZWM1NWJjNjU4ZDFmZmI4OGQ3ZGJhMjciLCJ1c2VySWQiOiIzMTU4OTY3OTUifQ==</vt:lpwstr>
  </property>
</Properties>
</file>