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02F25"/>
          <w:sz w:val="60"/>
        </w:rPr>
        <w:t>AviSmart</w:t>
      </w:r>
    </w:p>
    <w:p>
      <w:r>
        <w:rPr>
          <w:color w:val="287354"/>
          <w:sz w:val="30"/>
        </w:rPr>
        <w:t>Documentación técnica del sistema</w:t>
      </w:r>
    </w:p>
    <w:p>
      <w:r>
        <w:rPr>
          <w:color w:val="637069"/>
        </w:rPr>
        <w:t>Sistema web de gestión para granjas avícolas de engorde · 17/10/2026</w:t>
      </w:r>
    </w:p>
    <w:p>
      <w:pPr>
        <w:pStyle w:val="Heading1"/>
      </w:pPr>
      <w:r>
        <w:t>1. Qué es AviSmart</w:t>
      </w:r>
    </w:p>
    <w:p>
      <w:pPr>
        <w:spacing w:after="120"/>
      </w:pPr>
      <w:r>
        <w:t>AviSmart es una plataforma web para granjas avícolas de pollos de engorde. Reúne en un solo lugar el seguimiento diario de cada lote (desde el ingreso de los pollitos hasta la venta), la sanidad con validación veterinaria, el clima del galpón, las alertas y el cierre económico de la campaña con reportes PDF y Excel.</w:t>
      </w:r>
    </w:p>
    <w:p>
      <w:pPr>
        <w:spacing w:after="120"/>
      </w:pPr>
      <w:r>
        <w:t>Funciona como servicio para varios clientes: cada cliente es una organización que solo ve sus propios datos. El propietario de la plataforma recibe solicitudes desde la web pública, crea clientes y les entrega credenciales.</w:t>
      </w:r>
    </w:p>
    <w:p>
      <w:pPr>
        <w:pStyle w:val="ListBullet"/>
      </w:pPr>
      <w:r>
        <w:rPr>
          <w:b/>
        </w:rPr>
        <w:t xml:space="preserve">Unidad de trabajo: </w:t>
      </w:r>
      <w:r>
        <w:t>el lote, que vive dentro de un galpón de una granja avícola.</w:t>
      </w:r>
    </w:p>
    <w:p>
      <w:pPr>
        <w:pStyle w:val="ListBullet"/>
      </w:pPr>
      <w:r>
        <w:rPr>
          <w:b/>
        </w:rPr>
        <w:t xml:space="preserve">Líneas genéticas: </w:t>
      </w:r>
      <w:r>
        <w:t>Ross y Cobb, con su curva de peso de referencia por día de vida.</w:t>
      </w:r>
    </w:p>
    <w:p>
      <w:pPr>
        <w:pStyle w:val="ListBullet"/>
      </w:pPr>
      <w:r>
        <w:rPr>
          <w:b/>
        </w:rPr>
        <w:t xml:space="preserve">Acceso cerrado: </w:t>
      </w:r>
      <w:r>
        <w:t>no hay registro público; las cuentas se entregan con clave temporal que se cambia al primer ingreso.</w:t>
      </w:r>
    </w:p>
    <w:p>
      <w:pPr>
        <w:pStyle w:val="Heading1"/>
      </w:pPr>
      <w:r>
        <w:t>2. Arquitectura y tecnologías</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102F25"/>
          </w:tcPr>
          <w:p>
            <w:r/>
            <w:r>
              <w:rPr>
                <w:b/>
                <w:color w:val="FFFFFF"/>
                <w:sz w:val="19"/>
              </w:rPr>
              <w:t>Capa</w:t>
            </w:r>
          </w:p>
        </w:tc>
        <w:tc>
          <w:tcPr>
            <w:tcW w:type="dxa" w:w="2835"/>
            <w:shd w:val="clear" w:color="auto" w:fill="102F25"/>
          </w:tcPr>
          <w:p>
            <w:r/>
            <w:r>
              <w:rPr>
                <w:b/>
                <w:color w:val="FFFFFF"/>
                <w:sz w:val="19"/>
              </w:rPr>
              <w:t>Tecnología</w:t>
            </w:r>
          </w:p>
        </w:tc>
        <w:tc>
          <w:tcPr>
            <w:tcW w:type="dxa" w:w="4819"/>
            <w:shd w:val="clear" w:color="auto" w:fill="102F25"/>
          </w:tcPr>
          <w:p>
            <w:r/>
            <w:r>
              <w:rPr>
                <w:b/>
                <w:color w:val="FFFFFF"/>
                <w:sz w:val="19"/>
              </w:rPr>
              <w:t>Uso</w:t>
            </w:r>
          </w:p>
        </w:tc>
      </w:tr>
      <w:tr>
        <w:tc>
          <w:tcPr>
            <w:tcW w:type="dxa" w:w="1701"/>
          </w:tcPr>
          <w:p>
            <w:r/>
            <w:r>
              <w:rPr>
                <w:sz w:val="19"/>
              </w:rPr>
              <w:t>Frontend</w:t>
            </w:r>
          </w:p>
        </w:tc>
        <w:tc>
          <w:tcPr>
            <w:tcW w:type="dxa" w:w="2835"/>
          </w:tcPr>
          <w:p>
            <w:r/>
            <w:r>
              <w:rPr>
                <w:sz w:val="19"/>
              </w:rPr>
              <w:t>React 19 + TypeScript + Vite</w:t>
            </w:r>
          </w:p>
        </w:tc>
        <w:tc>
          <w:tcPr>
            <w:tcW w:type="dxa" w:w="4819"/>
          </w:tcPr>
          <w:p>
            <w:r/>
            <w:r>
              <w:rPr>
                <w:sz w:val="19"/>
              </w:rPr>
              <w:t>Web pública, sistema interno (dashboard) y área de plataforma</w:t>
            </w:r>
          </w:p>
        </w:tc>
      </w:tr>
      <w:tr>
        <w:tc>
          <w:tcPr>
            <w:tcW w:type="dxa" w:w="1701"/>
            <w:shd w:val="clear" w:color="auto" w:fill="F2F5EF"/>
          </w:tcPr>
          <w:p>
            <w:r/>
            <w:r>
              <w:rPr>
                <w:sz w:val="19"/>
              </w:rPr>
              <w:t>Backend</w:t>
            </w:r>
          </w:p>
        </w:tc>
        <w:tc>
          <w:tcPr>
            <w:tcW w:type="dxa" w:w="2835"/>
            <w:shd w:val="clear" w:color="auto" w:fill="F2F5EF"/>
          </w:tcPr>
          <w:p>
            <w:r/>
            <w:r>
              <w:rPr>
                <w:sz w:val="19"/>
              </w:rPr>
              <w:t>Python 3.12 + FastAPI</w:t>
            </w:r>
          </w:p>
        </w:tc>
        <w:tc>
          <w:tcPr>
            <w:tcW w:type="dxa" w:w="4819"/>
            <w:shd w:val="clear" w:color="auto" w:fill="F2F5EF"/>
          </w:tcPr>
          <w:p>
            <w:r/>
            <w:r>
              <w:rPr>
                <w:sz w:val="19"/>
              </w:rPr>
              <w:t>API REST, reglas de negocio, indicadores y reportes</w:t>
            </w:r>
          </w:p>
        </w:tc>
      </w:tr>
      <w:tr>
        <w:tc>
          <w:tcPr>
            <w:tcW w:type="dxa" w:w="1701"/>
          </w:tcPr>
          <w:p>
            <w:r/>
            <w:r>
              <w:rPr>
                <w:sz w:val="19"/>
              </w:rPr>
              <w:t>Persistencia</w:t>
            </w:r>
          </w:p>
        </w:tc>
        <w:tc>
          <w:tcPr>
            <w:tcW w:type="dxa" w:w="2835"/>
          </w:tcPr>
          <w:p>
            <w:r/>
            <w:r>
              <w:rPr>
                <w:sz w:val="19"/>
              </w:rPr>
              <w:t>SQLAlchemy 2 + SQLite</w:t>
            </w:r>
          </w:p>
        </w:tc>
        <w:tc>
          <w:tcPr>
            <w:tcW w:type="dxa" w:w="4819"/>
          </w:tcPr>
          <w:p>
            <w:r/>
            <w:r>
              <w:rPr>
                <w:sz w:val="19"/>
              </w:rPr>
              <w:t>Base de datos local (backend/avismart.db). PostgreSQL previsto para el despliegue</w:t>
            </w:r>
          </w:p>
        </w:tc>
      </w:tr>
      <w:tr>
        <w:tc>
          <w:tcPr>
            <w:tcW w:type="dxa" w:w="1701"/>
            <w:shd w:val="clear" w:color="auto" w:fill="F2F5EF"/>
          </w:tcPr>
          <w:p>
            <w:r/>
            <w:r>
              <w:rPr>
                <w:sz w:val="19"/>
              </w:rPr>
              <w:t>Autenticación</w:t>
            </w:r>
          </w:p>
        </w:tc>
        <w:tc>
          <w:tcPr>
            <w:tcW w:type="dxa" w:w="2835"/>
            <w:shd w:val="clear" w:color="auto" w:fill="F2F5EF"/>
          </w:tcPr>
          <w:p>
            <w:r/>
            <w:r>
              <w:rPr>
                <w:sz w:val="19"/>
              </w:rPr>
              <w:t>JWT (HS256, 12 h) + PBKDF2</w:t>
            </w:r>
          </w:p>
        </w:tc>
        <w:tc>
          <w:tcPr>
            <w:tcW w:type="dxa" w:w="4819"/>
            <w:shd w:val="clear" w:color="auto" w:fill="F2F5EF"/>
          </w:tcPr>
          <w:p>
            <w:r/>
            <w:r>
              <w:rPr>
                <w:sz w:val="19"/>
              </w:rPr>
              <w:t>Sesiones por rol; claves con hash y sal; cambiar la clave cierra las demás sesiones</w:t>
            </w:r>
          </w:p>
        </w:tc>
      </w:tr>
      <w:tr>
        <w:tc>
          <w:tcPr>
            <w:tcW w:type="dxa" w:w="1701"/>
          </w:tcPr>
          <w:p>
            <w:r/>
            <w:r>
              <w:rPr>
                <w:sz w:val="19"/>
              </w:rPr>
              <w:t>Correo</w:t>
            </w:r>
          </w:p>
        </w:tc>
        <w:tc>
          <w:tcPr>
            <w:tcW w:type="dxa" w:w="2835"/>
          </w:tcPr>
          <w:p>
            <w:r/>
            <w:r>
              <w:rPr>
                <w:sz w:val="19"/>
              </w:rPr>
              <w:t>SMTP (por ejemplo Gmail)</w:t>
            </w:r>
          </w:p>
        </w:tc>
        <w:tc>
          <w:tcPr>
            <w:tcW w:type="dxa" w:w="4819"/>
          </w:tcPr>
          <w:p>
            <w:r/>
            <w:r>
              <w:rPr>
                <w:sz w:val="19"/>
              </w:rPr>
              <w:t>Confirmación de contacto y recuperación de clave</w:t>
            </w:r>
          </w:p>
        </w:tc>
      </w:tr>
      <w:tr>
        <w:tc>
          <w:tcPr>
            <w:tcW w:type="dxa" w:w="1701"/>
            <w:shd w:val="clear" w:color="auto" w:fill="F2F5EF"/>
          </w:tcPr>
          <w:p>
            <w:r/>
            <w:r>
              <w:rPr>
                <w:sz w:val="19"/>
              </w:rPr>
              <w:t>Antispam</w:t>
            </w:r>
          </w:p>
        </w:tc>
        <w:tc>
          <w:tcPr>
            <w:tcW w:type="dxa" w:w="2835"/>
            <w:shd w:val="clear" w:color="auto" w:fill="F2F5EF"/>
          </w:tcPr>
          <w:p>
            <w:r/>
            <w:r>
              <w:rPr>
                <w:sz w:val="19"/>
              </w:rPr>
              <w:t>dnspython + Cloudflare Turnstile</w:t>
            </w:r>
          </w:p>
        </w:tc>
        <w:tc>
          <w:tcPr>
            <w:tcW w:type="dxa" w:w="4819"/>
            <w:shd w:val="clear" w:color="auto" w:fill="F2F5EF"/>
          </w:tcPr>
          <w:p>
            <w:r/>
            <w:r>
              <w:rPr>
                <w:sz w:val="19"/>
              </w:rPr>
              <w:t>Validación de dominios de correo y verificación antibots</w:t>
            </w:r>
          </w:p>
        </w:tc>
      </w:tr>
      <w:tr>
        <w:tc>
          <w:tcPr>
            <w:tcW w:type="dxa" w:w="1701"/>
          </w:tcPr>
          <w:p>
            <w:r/>
            <w:r>
              <w:rPr>
                <w:sz w:val="19"/>
              </w:rPr>
              <w:t>Reportes</w:t>
            </w:r>
          </w:p>
        </w:tc>
        <w:tc>
          <w:tcPr>
            <w:tcW w:type="dxa" w:w="2835"/>
          </w:tcPr>
          <w:p>
            <w:r/>
            <w:r>
              <w:rPr>
                <w:sz w:val="19"/>
              </w:rPr>
              <w:t>ReportLab / openpyxl</w:t>
            </w:r>
          </w:p>
        </w:tc>
        <w:tc>
          <w:tcPr>
            <w:tcW w:type="dxa" w:w="4819"/>
          </w:tcPr>
          <w:p>
            <w:r/>
            <w:r>
              <w:rPr>
                <w:sz w:val="19"/>
              </w:rPr>
              <w:t>Cierre de lote en PDF y Excel con gráfico de peso</w:t>
            </w:r>
          </w:p>
        </w:tc>
      </w:tr>
      <w:tr>
        <w:tc>
          <w:tcPr>
            <w:tcW w:type="dxa" w:w="1701"/>
            <w:shd w:val="clear" w:color="auto" w:fill="F2F5EF"/>
          </w:tcPr>
          <w:p>
            <w:r/>
            <w:r>
              <w:rPr>
                <w:sz w:val="19"/>
              </w:rPr>
              <w:t>Notificaciones</w:t>
            </w:r>
          </w:p>
        </w:tc>
        <w:tc>
          <w:tcPr>
            <w:tcW w:type="dxa" w:w="2835"/>
            <w:shd w:val="clear" w:color="auto" w:fill="F2F5EF"/>
          </w:tcPr>
          <w:p>
            <w:r/>
            <w:r>
              <w:rPr>
                <w:sz w:val="19"/>
              </w:rPr>
              <w:t>Telegram Bot API</w:t>
            </w:r>
          </w:p>
        </w:tc>
        <w:tc>
          <w:tcPr>
            <w:tcW w:type="dxa" w:w="4819"/>
            <w:shd w:val="clear" w:color="auto" w:fill="F2F5EF"/>
          </w:tcPr>
          <w:p>
            <w:r/>
            <w:r>
              <w:rPr>
                <w:sz w:val="19"/>
              </w:rPr>
              <w:t>Un bot de AviSmart; cada cliente vincula su chat y recibe solo sus alertas</w:t>
            </w:r>
          </w:p>
        </w:tc>
      </w:tr>
    </w:tbl>
    <w:p>
      <w:pPr>
        <w:spacing w:after="40"/>
      </w:pPr>
    </w:p>
    <w:p>
      <w:pPr>
        <w:spacing w:after="120"/>
      </w:pPr>
      <w:r>
        <w:t>El frontend llama a la API mediante el proxy de Vite (/api → http://127.0.0.1:8000). Todas las consultas de datos productivos se filtran en el servidor por la organización del usuario conectado.</w:t>
      </w:r>
    </w:p>
    <w:p>
      <w:pPr>
        <w:pStyle w:val="Heading2"/>
      </w:pPr>
      <w:r>
        <w:t>Estructura del proyecto</w:t>
      </w:r>
    </w:p>
    <w:p>
      <w:pPr>
        <w:spacing w:after="160"/>
        <w:ind w:left="283"/>
      </w:pPr>
      <w:r>
        <w:rPr>
          <w:rFonts w:ascii="Consolas" w:hAnsi="Consolas"/>
          <w:sz w:val="18"/>
        </w:rPr>
        <w:t>AviSmart/</w:t>
        <w:br/>
        <w:t>├─ backend/</w:t>
        <w:br/>
        <w:t>│  ├─ app/</w:t>
        <w:br/>
        <w:t>│  │  ├─ main.py            API: endpoints, validaciones y permisos</w:t>
        <w:br/>
        <w:t>│  │  ├─ models.py          Modelo de datos (SQLAlchemy)</w:t>
        <w:br/>
        <w:t>│  │  ├─ logic.py           Curvas Ross/Cobb, indicadores, alertas, carencias</w:t>
        <w:br/>
        <w:t>│  │  ├─ security.py        JWT, hash de claves, roles</w:t>
        <w:br/>
        <w:t>│  │  ├─ db.py              Conexión y migraciones automáticas de SQLite</w:t>
        <w:br/>
        <w:t>│  │  ├─ reports.py         PDF y Excel de cierre</w:t>
        <w:br/>
        <w:t>│  │  ├─ notifications.py   Telegram</w:t>
        <w:br/>
        <w:t>│  │  ├─ correo.py          Envío de correos (confirmación, recuperación, avisos)</w:t>
        <w:br/>
        <w:t>│  │  ├─ antispam.py        Protecciones del formulario de contacto</w:t>
        <w:br/>
        <w:t>│  │  ├─ catalogo.py        Catálogo de vacunas y medicamentos</w:t>
        <w:br/>
        <w:t>│  │  ├─ bootstrap_admin.py Crea la cuenta de Propietario de la plataforma</w:t>
        <w:br/>
        <w:t>│  │  ├─ restablecer_clave.py Recuperación de emergencia de una cuenta</w:t>
        <w:br/>
        <w:t>│  │  └─ seed.py            Datos de demostración (opcional)</w:t>
        <w:br/>
        <w:t>│  ├─ tests/                Pruebas automáticas (unittest)</w:t>
        <w:br/>
        <w:t>│  └─ respaldos/            Copias de la base antes de cambios de estructura</w:t>
        <w:br/>
        <w:t>├─ frontend/src/</w:t>
        <w:br/>
        <w:t>│  ├─ pages/                Pantallas (web pública, sistema interno, plataforma/)</w:t>
        <w:br/>
        <w:t>│  ├─ components/           Layout, Shell, ui.tsx (paneles, tablas, drawer, ayudas)</w:t>
        <w:br/>
        <w:t>│  ├─ api.ts  auth.tsx  lote.tsx</w:t>
        <w:br/>
        <w:t>│  └─ styles.css            Estilos del sistema interno (mismos tokens que la web)</w:t>
        <w:br/>
        <w:t>├─ ACCESO_CERRADO.md        Política de acceso, alta de clientes y recuperación de clave</w:t>
        <w:br/>
        <w:t>├─ SEGURIDAD_CONTACTO.md    Protección del formulario de contacto</w:t>
        <w:br/>
        <w:t>└─ FLUJO_DE_PRUEBA.md       Guía de prueba por rol</w:t>
      </w:r>
    </w:p>
    <w:p>
      <w:pPr>
        <w:pStyle w:val="Heading1"/>
      </w:pPr>
      <w:r>
        <w:t>3. Instalación y ejecución</w:t>
      </w:r>
    </w:p>
    <w:p>
      <w:pPr>
        <w:pStyle w:val="Heading2"/>
      </w:pPr>
      <w:r>
        <w:t>Backend</w:t>
      </w:r>
    </w:p>
    <w:p>
      <w:pPr>
        <w:spacing w:after="160"/>
        <w:ind w:left="283"/>
      </w:pPr>
      <w:r>
        <w:rPr>
          <w:rFonts w:ascii="Consolas" w:hAnsi="Consolas"/>
          <w:sz w:val="18"/>
        </w:rPr>
        <w:t>cd AviSmart\backend</w:t>
        <w:br/>
        <w:t>py -3.12 -m venv .venv</w:t>
        <w:br/>
        <w:t>.\.venv\Scripts\python.exe -m pip install -r requirements.txt</w:t>
        <w:br/>
        <w:t>.\.venv\Scripts\python.exe -m uvicorn app.main:app --host 127.0.0.1 --port 8000</w:t>
      </w:r>
    </w:p>
    <w:p>
      <w:pPr>
        <w:pStyle w:val="Heading2"/>
      </w:pPr>
      <w:r>
        <w:t>Frontend</w:t>
      </w:r>
    </w:p>
    <w:p>
      <w:pPr>
        <w:spacing w:after="160"/>
        <w:ind w:left="283"/>
      </w:pPr>
      <w:r>
        <w:rPr>
          <w:rFonts w:ascii="Consolas" w:hAnsi="Consolas"/>
          <w:sz w:val="18"/>
        </w:rPr>
        <w:t>cd AviSmart\frontend</w:t>
        <w:br/>
        <w:t>npm install</w:t>
        <w:br/>
        <w:t>npm run dev -- --host 127.0.0.1 --port 5173</w:t>
      </w:r>
    </w:p>
    <w:p>
      <w:pPr>
        <w:spacing w:after="120"/>
      </w:pPr>
      <w:r>
        <w:t>Abrir http://127.0.0.1:5173. La API se reinicia manualmente después de cambiar código del backend (no usa --reload).</w:t>
      </w:r>
    </w:p>
    <w:p>
      <w:pPr>
        <w:pStyle w:val="Heading2"/>
      </w:pPr>
      <w:r>
        <w:t>Variables de entorno (backend/.env)</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102F25"/>
          </w:tcPr>
          <w:p>
            <w:r/>
            <w:r>
              <w:rPr>
                <w:b/>
                <w:color w:val="FFFFFF"/>
                <w:sz w:val="19"/>
              </w:rPr>
              <w:t>Variable</w:t>
            </w:r>
          </w:p>
        </w:tc>
        <w:tc>
          <w:tcPr>
            <w:tcW w:type="dxa" w:w="5953"/>
            <w:shd w:val="clear" w:color="auto" w:fill="102F25"/>
          </w:tcPr>
          <w:p>
            <w:r/>
            <w:r>
              <w:rPr>
                <w:b/>
                <w:color w:val="FFFFFF"/>
                <w:sz w:val="19"/>
              </w:rPr>
              <w:t>Para qué sirve</w:t>
            </w:r>
          </w:p>
        </w:tc>
      </w:tr>
      <w:tr>
        <w:tc>
          <w:tcPr>
            <w:tcW w:type="dxa" w:w="3402"/>
          </w:tcPr>
          <w:p>
            <w:r/>
            <w:r>
              <w:rPr>
                <w:sz w:val="19"/>
              </w:rPr>
              <w:t>AVISMART_JWT_SECRET</w:t>
            </w:r>
          </w:p>
        </w:tc>
        <w:tc>
          <w:tcPr>
            <w:tcW w:type="dxa" w:w="5953"/>
          </w:tcPr>
          <w:p>
            <w:r/>
            <w:r>
              <w:rPr>
                <w:sz w:val="19"/>
              </w:rPr>
              <w:t>Secreto fijo para firmar sesiones. Sin él, cada reinicio cierra todas las sesiones.</w:t>
            </w:r>
          </w:p>
        </w:tc>
      </w:tr>
      <w:tr>
        <w:tc>
          <w:tcPr>
            <w:tcW w:type="dxa" w:w="3402"/>
            <w:shd w:val="clear" w:color="auto" w:fill="F2F5EF"/>
          </w:tcPr>
          <w:p>
            <w:r/>
            <w:r>
              <w:rPr>
                <w:sz w:val="19"/>
              </w:rPr>
              <w:t>AVISMART_DEV</w:t>
            </w:r>
          </w:p>
        </w:tc>
        <w:tc>
          <w:tcPr>
            <w:tcW w:type="dxa" w:w="5953"/>
            <w:shd w:val="clear" w:color="auto" w:fill="F2F5EF"/>
          </w:tcPr>
          <w:p>
            <w:r/>
            <w:r>
              <w:rPr>
                <w:sz w:val="19"/>
              </w:rPr>
              <w:t>true: sin SMTP, los enlaces de confirmación y recuperación se muestran en pantalla. En producción, false.</w:t>
            </w:r>
          </w:p>
        </w:tc>
      </w:tr>
      <w:tr>
        <w:tc>
          <w:tcPr>
            <w:tcW w:type="dxa" w:w="3402"/>
          </w:tcPr>
          <w:p>
            <w:r/>
            <w:r>
              <w:rPr>
                <w:sz w:val="19"/>
              </w:rPr>
              <w:t>AVISMART_URL_PUBLICA</w:t>
            </w:r>
          </w:p>
        </w:tc>
        <w:tc>
          <w:tcPr>
            <w:tcW w:type="dxa" w:w="5953"/>
          </w:tcPr>
          <w:p>
            <w:r/>
            <w:r>
              <w:rPr>
                <w:sz w:val="19"/>
              </w:rPr>
              <w:t>Dirección de la web que va dentro de los enlaces de los correos.</w:t>
            </w:r>
          </w:p>
        </w:tc>
      </w:tr>
      <w:tr>
        <w:tc>
          <w:tcPr>
            <w:tcW w:type="dxa" w:w="3402"/>
            <w:shd w:val="clear" w:color="auto" w:fill="F2F5EF"/>
          </w:tcPr>
          <w:p>
            <w:r/>
            <w:r>
              <w:rPr>
                <w:sz w:val="19"/>
              </w:rPr>
              <w:t>SMTP_HOST / SMTP_PORT / SMTP_USER / SMTP_PASSWORD / SMTP_FROM</w:t>
            </w:r>
          </w:p>
        </w:tc>
        <w:tc>
          <w:tcPr>
            <w:tcW w:type="dxa" w:w="5953"/>
            <w:shd w:val="clear" w:color="auto" w:fill="F2F5EF"/>
          </w:tcPr>
          <w:p>
            <w:r/>
            <w:r>
              <w:rPr>
                <w:sz w:val="19"/>
              </w:rPr>
              <w:t>Cuenta que envía los correos (Gmail con contraseña de aplicación).</w:t>
            </w:r>
          </w:p>
        </w:tc>
      </w:tr>
      <w:tr>
        <w:tc>
          <w:tcPr>
            <w:tcW w:type="dxa" w:w="3402"/>
          </w:tcPr>
          <w:p>
            <w:r/>
            <w:r>
              <w:rPr>
                <w:sz w:val="19"/>
              </w:rPr>
              <w:t>TURNSTILE_SITE_KEY / TURNSTILE_SECRET_KEY</w:t>
            </w:r>
          </w:p>
        </w:tc>
        <w:tc>
          <w:tcPr>
            <w:tcW w:type="dxa" w:w="5953"/>
          </w:tcPr>
          <w:p>
            <w:r/>
            <w:r>
              <w:rPr>
                <w:sz w:val="19"/>
              </w:rPr>
              <w:t>Antibots del formulario de contacto. Vacías = desactivado.</w:t>
            </w:r>
          </w:p>
        </w:tc>
      </w:tr>
      <w:tr>
        <w:tc>
          <w:tcPr>
            <w:tcW w:type="dxa" w:w="3402"/>
            <w:shd w:val="clear" w:color="auto" w:fill="F2F5EF"/>
          </w:tcPr>
          <w:p>
            <w:r/>
            <w:r>
              <w:rPr>
                <w:sz w:val="19"/>
              </w:rPr>
              <w:t>AVISMART_VERIFICAR_DNS / AVISMART_PROXIES_CONFIABLES</w:t>
            </w:r>
          </w:p>
        </w:tc>
        <w:tc>
          <w:tcPr>
            <w:tcW w:type="dxa" w:w="5953"/>
            <w:shd w:val="clear" w:color="auto" w:fill="F2F5EF"/>
          </w:tcPr>
          <w:p>
            <w:r/>
            <w:r>
              <w:rPr>
                <w:sz w:val="19"/>
              </w:rPr>
              <w:t>Verificación del dominio del correo e IP real detrás del proxy.</w:t>
            </w:r>
          </w:p>
        </w:tc>
      </w:tr>
      <w:tr>
        <w:tc>
          <w:tcPr>
            <w:tcW w:type="dxa" w:w="3402"/>
          </w:tcPr>
          <w:p>
            <w:r/>
            <w:r>
              <w:rPr>
                <w:sz w:val="19"/>
              </w:rPr>
              <w:t>TELEGRAM_BOT_TOKEN / TELEGRAM_CHAT_ID</w:t>
            </w:r>
          </w:p>
        </w:tc>
        <w:tc>
          <w:tcPr>
            <w:tcW w:type="dxa" w:w="5953"/>
          </w:tcPr>
          <w:p>
            <w:r/>
            <w:r>
              <w:rPr>
                <w:sz w:val="19"/>
              </w:rPr>
              <w:t>Activan el envío de alertas por Telegram.</w:t>
            </w:r>
          </w:p>
        </w:tc>
      </w:tr>
      <w:tr>
        <w:tc>
          <w:tcPr>
            <w:tcW w:type="dxa" w:w="3402"/>
            <w:shd w:val="clear" w:color="auto" w:fill="F2F5EF"/>
          </w:tcPr>
          <w:p>
            <w:r/>
            <w:r>
              <w:rPr>
                <w:sz w:val="19"/>
              </w:rPr>
              <w:t>AVISMART_DEMO / AVISMART_DEMO_PASSWORD</w:t>
            </w:r>
          </w:p>
        </w:tc>
        <w:tc>
          <w:tcPr>
            <w:tcW w:type="dxa" w:w="5953"/>
            <w:shd w:val="clear" w:color="auto" w:fill="F2F5EF"/>
          </w:tcPr>
          <w:p>
            <w:r/>
            <w:r>
              <w:rPr>
                <w:sz w:val="19"/>
              </w:rPr>
              <w:t>Cargan datos de demostración en una base vacía. Desactivado por defecto.</w:t>
            </w:r>
          </w:p>
        </w:tc>
      </w:tr>
    </w:tbl>
    <w:p>
      <w:pPr>
        <w:spacing w:after="40"/>
      </w:pPr>
    </w:p>
    <w:p>
      <w:pPr>
        <w:pStyle w:val="Heading2"/>
      </w:pPr>
      <w:r>
        <w:t>Primera cuenta (Propietario de la plataforma)</w:t>
      </w:r>
    </w:p>
    <w:p>
      <w:pPr>
        <w:spacing w:after="160"/>
        <w:ind w:left="283"/>
      </w:pPr>
      <w:r>
        <w:rPr>
          <w:rFonts w:ascii="Consolas" w:hAnsi="Consolas"/>
          <w:sz w:val="18"/>
        </w:rPr>
        <w:t>.\.venv\Scripts\python.exe -m app.bootstrap_admin --nombre "Nombre" --email "correo@dominio.com"</w:t>
      </w:r>
    </w:p>
    <w:p>
      <w:pPr>
        <w:spacing w:after="120"/>
      </w:pPr>
      <w:r>
        <w:t>Muestra una clave temporal una sola vez; el sistema obliga a cambiarla al primer ingreso.</w:t>
      </w:r>
    </w:p>
    <w:p>
      <w:pPr>
        <w:pStyle w:val="Heading2"/>
      </w:pPr>
      <w:r>
        <w:t>Recuperación de emergencia de una cuenta</w:t>
      </w:r>
    </w:p>
    <w:p>
      <w:pPr>
        <w:spacing w:after="160"/>
        <w:ind w:left="283"/>
      </w:pPr>
      <w:r>
        <w:rPr>
          <w:rFonts w:ascii="Consolas" w:hAnsi="Consolas"/>
          <w:sz w:val="18"/>
        </w:rPr>
        <w:t>.\.venv\Scripts\python.exe -m app.restablecer_clave --email "correo@dominio.com"</w:t>
      </w:r>
    </w:p>
    <w:p>
      <w:pPr>
        <w:spacing w:after="120"/>
      </w:pPr>
      <w:r>
        <w:t>Genera una clave temporal nueva sin depender del correo y cierra las sesiones abiertas de esa cuenta.</w:t>
      </w:r>
    </w:p>
    <w:p>
      <w:pPr>
        <w:pStyle w:val="Heading1"/>
      </w:pPr>
      <w:r>
        <w:t>4. Roles y permisos</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02F25"/>
          </w:tcPr>
          <w:p>
            <w:r/>
            <w:r>
              <w:rPr>
                <w:b/>
                <w:color w:val="FFFFFF"/>
                <w:sz w:val="19"/>
              </w:rPr>
              <w:t>Rol</w:t>
            </w:r>
          </w:p>
        </w:tc>
        <w:tc>
          <w:tcPr>
            <w:tcW w:type="dxa" w:w="2154"/>
            <w:shd w:val="clear" w:color="auto" w:fill="102F25"/>
          </w:tcPr>
          <w:p>
            <w:r/>
            <w:r>
              <w:rPr>
                <w:b/>
                <w:color w:val="FFFFFF"/>
                <w:sz w:val="19"/>
              </w:rPr>
              <w:t>Quién es</w:t>
            </w:r>
          </w:p>
        </w:tc>
        <w:tc>
          <w:tcPr>
            <w:tcW w:type="dxa" w:w="5159"/>
            <w:shd w:val="clear" w:color="auto" w:fill="102F25"/>
          </w:tcPr>
          <w:p>
            <w:r/>
            <w:r>
              <w:rPr>
                <w:b/>
                <w:color w:val="FFFFFF"/>
                <w:sz w:val="19"/>
              </w:rPr>
              <w:t>Qué puede hacer</w:t>
            </w:r>
          </w:p>
        </w:tc>
      </w:tr>
      <w:tr>
        <w:tc>
          <w:tcPr>
            <w:tcW w:type="dxa" w:w="2041"/>
          </w:tcPr>
          <w:p>
            <w:r/>
            <w:r>
              <w:rPr>
                <w:sz w:val="19"/>
              </w:rPr>
              <w:t>Propietario de la plataforma</w:t>
            </w:r>
          </w:p>
        </w:tc>
        <w:tc>
          <w:tcPr>
            <w:tcW w:type="dxa" w:w="2154"/>
          </w:tcPr>
          <w:p>
            <w:r/>
            <w:r>
              <w:rPr>
                <w:sz w:val="19"/>
              </w:rPr>
              <w:t>Equipo AviSmart</w:t>
            </w:r>
          </w:p>
        </w:tc>
        <w:tc>
          <w:tcPr>
            <w:tcW w:type="dxa" w:w="5159"/>
          </w:tcPr>
          <w:p>
            <w:r/>
            <w:r>
              <w:rPr>
                <w:sz w:val="19"/>
              </w:rPr>
              <w:t>Ver solicitudes, crear y suspender clientes, gestionar todo el personal de cada cliente, cuentas del equipo, prueba de Telegram. No ve datos productivos.</w:t>
            </w:r>
          </w:p>
        </w:tc>
      </w:tr>
      <w:tr>
        <w:tc>
          <w:tcPr>
            <w:tcW w:type="dxa" w:w="2041"/>
            <w:shd w:val="clear" w:color="auto" w:fill="F2F5EF"/>
          </w:tcPr>
          <w:p>
            <w:r/>
            <w:r>
              <w:rPr>
                <w:sz w:val="19"/>
              </w:rPr>
              <w:t>Productor</w:t>
            </w:r>
          </w:p>
        </w:tc>
        <w:tc>
          <w:tcPr>
            <w:tcW w:type="dxa" w:w="2154"/>
            <w:shd w:val="clear" w:color="auto" w:fill="F2F5EF"/>
          </w:tcPr>
          <w:p>
            <w:r/>
            <w:r>
              <w:rPr>
                <w:sz w:val="19"/>
              </w:rPr>
              <w:t>Responsable del cliente (jefe de granja)</w:t>
            </w:r>
          </w:p>
        </w:tc>
        <w:tc>
          <w:tcPr>
            <w:tcW w:type="dxa" w:w="5159"/>
            <w:shd w:val="clear" w:color="auto" w:fill="F2F5EF"/>
          </w:tcPr>
          <w:p>
            <w:r/>
            <w:r>
              <w:rPr>
                <w:sz w:val="19"/>
              </w:rPr>
              <w:t>Granjas y galpones, abrir y cerrar lotes, registro diario, sanidad, alertas de ambiente y crecimiento, reportes, alta y baja de operarios y veterinarios.</w:t>
            </w:r>
          </w:p>
        </w:tc>
      </w:tr>
      <w:tr>
        <w:tc>
          <w:tcPr>
            <w:tcW w:type="dxa" w:w="2041"/>
          </w:tcPr>
          <w:p>
            <w:r/>
            <w:r>
              <w:rPr>
                <w:sz w:val="19"/>
              </w:rPr>
              <w:t>Operario</w:t>
            </w:r>
          </w:p>
        </w:tc>
        <w:tc>
          <w:tcPr>
            <w:tcW w:type="dxa" w:w="2154"/>
          </w:tcPr>
          <w:p>
            <w:r/>
            <w:r>
              <w:rPr>
                <w:sz w:val="19"/>
              </w:rPr>
              <w:t>Personal de galpón</w:t>
            </w:r>
          </w:p>
        </w:tc>
        <w:tc>
          <w:tcPr>
            <w:tcW w:type="dxa" w:w="5159"/>
          </w:tcPr>
          <w:p>
            <w:r/>
            <w:r>
              <w:rPr>
                <w:sz w:val="19"/>
              </w:rPr>
              <w:t>Registro diario, lecturas de clima, registrar vacunas y tratamientos, consultar panel y cámara.</w:t>
            </w:r>
          </w:p>
        </w:tc>
      </w:tr>
      <w:tr>
        <w:tc>
          <w:tcPr>
            <w:tcW w:type="dxa" w:w="2041"/>
            <w:shd w:val="clear" w:color="auto" w:fill="F2F5EF"/>
          </w:tcPr>
          <w:p>
            <w:r/>
            <w:r>
              <w:rPr>
                <w:sz w:val="19"/>
              </w:rPr>
              <w:t>Médico veterinario</w:t>
            </w:r>
          </w:p>
        </w:tc>
        <w:tc>
          <w:tcPr>
            <w:tcW w:type="dxa" w:w="2154"/>
            <w:shd w:val="clear" w:color="auto" w:fill="F2F5EF"/>
          </w:tcPr>
          <w:p>
            <w:r/>
            <w:r>
              <w:rPr>
                <w:sz w:val="19"/>
              </w:rPr>
              <w:t>Servicio veterinario del cliente</w:t>
            </w:r>
          </w:p>
        </w:tc>
        <w:tc>
          <w:tcPr>
            <w:tcW w:type="dxa" w:w="5159"/>
            <w:shd w:val="clear" w:color="auto" w:fill="F2F5EF"/>
          </w:tcPr>
          <w:p>
            <w:r/>
            <w:r>
              <w:rPr>
                <w:sz w:val="19"/>
              </w:rPr>
              <w:t>Validar u observar vacunas y tratamientos, atender alertas de salud y recordatorios, ajustar el umbral de mortalidad.</w:t>
            </w:r>
          </w:p>
        </w:tc>
      </w:tr>
      <w:tr>
        <w:tc>
          <w:tcPr>
            <w:tcW w:type="dxa" w:w="2041"/>
          </w:tcPr>
          <w:p>
            <w:r/>
            <w:r>
              <w:rPr>
                <w:sz w:val="19"/>
              </w:rPr>
              <w:t>Administrador (heredado)</w:t>
            </w:r>
          </w:p>
        </w:tc>
        <w:tc>
          <w:tcPr>
            <w:tcW w:type="dxa" w:w="2154"/>
          </w:tcPr>
          <w:p>
            <w:r/>
            <w:r>
              <w:rPr>
                <w:sz w:val="19"/>
              </w:rPr>
              <w:t>Solo organización Demostración</w:t>
            </w:r>
          </w:p>
        </w:tc>
        <w:tc>
          <w:tcPr>
            <w:tcW w:type="dxa" w:w="5159"/>
          </w:tcPr>
          <w:p>
            <w:r/>
            <w:r>
              <w:rPr>
                <w:sz w:val="19"/>
              </w:rPr>
              <w:t>Permisos de gestión del cliente; ya no se crea para clientes nuevos.</w:t>
            </w:r>
          </w:p>
        </w:tc>
      </w:tr>
    </w:tbl>
    <w:p>
      <w:pPr>
        <w:spacing w:after="40"/>
      </w:pPr>
    </w:p>
    <w:p>
      <w:pPr>
        <w:spacing w:after="120"/>
      </w:pPr>
      <w:r>
        <w:t>Reglas: siempre debe quedar al menos un Productor activo por cliente; nadie puede desactivar su propia cuenta; suspender un cliente corta el acceso de todas sus cuentas de inmediato, incluso sesiones abiertas.</w:t>
      </w:r>
    </w:p>
    <w:p>
      <w:pPr>
        <w:pStyle w:val="Heading1"/>
      </w:pPr>
      <w:r>
        <w:t>5. Flujo de alta de un cliente</w:t>
      </w:r>
    </w:p>
    <w:p>
      <w:pPr>
        <w:pStyle w:val="ListNumber"/>
      </w:pPr>
      <w:r>
        <w:t>El interesado envía el formulario de Contacto en la web pública (Perú, hasta 20 000 aves, plan Básico).</w:t>
      </w:r>
    </w:p>
    <w:p>
      <w:pPr>
        <w:pStyle w:val="ListNumber"/>
      </w:pPr>
      <w:r>
        <w:t>Recibe un correo con un enlace de confirmación; mientras no lo abra, la solicitud queda pendiente y no llega a la bandeja.</w:t>
      </w:r>
    </w:p>
    <w:p>
      <w:pPr>
        <w:pStyle w:val="ListNumber"/>
      </w:pPr>
      <w:r>
        <w:t>Al confirmar, la solicitud aparece en Plataforma → Solicitudes con un contador de nuevas.</w:t>
      </w:r>
    </w:p>
    <w:p>
      <w:pPr>
        <w:pStyle w:val="ListNumber"/>
      </w:pPr>
      <w:r>
        <w:t>El propietario abre la solicitud y pulsa «Convertir en cliente»: el formulario sale relleno con los datos del interesado.</w:t>
      </w:r>
    </w:p>
    <w:p>
      <w:pPr>
        <w:pStyle w:val="ListNumber"/>
      </w:pPr>
      <w:r>
        <w:t>Se crea la organización y la cuenta de su Productor; la clave temporal se muestra una sola vez para entregarla por un canal privado.</w:t>
      </w:r>
    </w:p>
    <w:p>
      <w:pPr>
        <w:pStyle w:val="ListNumber"/>
      </w:pPr>
      <w:r>
        <w:t>En Clientes → (cliente) → Personal del cliente se crean sus Operarios y Veterinarios (el productor también puede hacerlo).</w:t>
      </w:r>
    </w:p>
    <w:p>
      <w:pPr>
        <w:pStyle w:val="ListNumber"/>
      </w:pPr>
      <w:r>
        <w:t>El productor entra, cambia su clave, registra su granja avícola y galpones y abre su primer lote.</w:t>
      </w:r>
    </w:p>
    <w:p>
      <w:pPr>
        <w:pStyle w:val="Heading1"/>
      </w:pPr>
      <w:r>
        <w:t>6. Módulos del sistema interno</w:t>
      </w:r>
    </w:p>
    <w:p>
      <w:pPr>
        <w:spacing w:after="120"/>
      </w:pPr>
      <w:r>
        <w:t>Todas las pantallas siguen el mismo flujo: listado o tabla, botón «+ Nuevo…» y formulario en panel lateral con Cancelar / Guardar; al guardar se muestra un aviso y la lista se actualiza.</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102F25"/>
          </w:tcPr>
          <w:p>
            <w:r/>
            <w:r>
              <w:rPr>
                <w:b/>
                <w:color w:val="FFFFFF"/>
                <w:sz w:val="19"/>
              </w:rPr>
              <w:t>Módulo</w:t>
            </w:r>
          </w:p>
        </w:tc>
        <w:tc>
          <w:tcPr>
            <w:tcW w:type="dxa" w:w="7087"/>
            <w:shd w:val="clear" w:color="auto" w:fill="102F25"/>
          </w:tcPr>
          <w:p>
            <w:r/>
            <w:r>
              <w:rPr>
                <w:b/>
                <w:color w:val="FFFFFF"/>
                <w:sz w:val="19"/>
              </w:rPr>
              <w:t>Qué hace</w:t>
            </w:r>
          </w:p>
        </w:tc>
      </w:tr>
      <w:tr>
        <w:tc>
          <w:tcPr>
            <w:tcW w:type="dxa" w:w="2268"/>
          </w:tcPr>
          <w:p>
            <w:r/>
            <w:r>
              <w:rPr>
                <w:sz w:val="19"/>
              </w:rPr>
              <w:t>Panel del lote</w:t>
            </w:r>
          </w:p>
        </w:tc>
        <w:tc>
          <w:tcPr>
            <w:tcW w:type="dxa" w:w="7087"/>
          </w:tcPr>
          <w:p>
            <w:r/>
            <w:r>
              <w:rPr>
                <w:sz w:val="19"/>
              </w:rPr>
              <w:t>Aves vivas, mortalidad acumulada, peso promedio por ave frente a la curva, conversión (FCR) y eficiencia (EPEF), con ayudas «?». Gráfico interactivo de peso, avisos de carencia y vacunas vencidas, clima del galpón y últimos registros.</w:t>
            </w:r>
          </w:p>
        </w:tc>
      </w:tr>
      <w:tr>
        <w:tc>
          <w:tcPr>
            <w:tcW w:type="dxa" w:w="2268"/>
            <w:shd w:val="clear" w:color="auto" w:fill="F2F5EF"/>
          </w:tcPr>
          <w:p>
            <w:r/>
            <w:r>
              <w:rPr>
                <w:sz w:val="19"/>
              </w:rPr>
              <w:t>Registro del día</w:t>
            </w:r>
          </w:p>
        </w:tc>
        <w:tc>
          <w:tcPr>
            <w:tcW w:type="dxa" w:w="7087"/>
            <w:shd w:val="clear" w:color="auto" w:fill="F2F5EF"/>
          </w:tcPr>
          <w:p>
            <w:r/>
            <w:r>
              <w:rPr>
                <w:sz w:val="19"/>
              </w:rPr>
              <w:t>Formulario guiado: fecha, bajas, consumo de alimento y agua, pesaje. Muestra referencias (peso esperado, umbral, registro anterior) y las alertas generadas.</w:t>
            </w:r>
          </w:p>
        </w:tc>
      </w:tr>
      <w:tr>
        <w:tc>
          <w:tcPr>
            <w:tcW w:type="dxa" w:w="2268"/>
          </w:tcPr>
          <w:p>
            <w:r/>
            <w:r>
              <w:rPr>
                <w:sz w:val="19"/>
              </w:rPr>
              <w:t>Alertas</w:t>
            </w:r>
          </w:p>
        </w:tc>
        <w:tc>
          <w:tcPr>
            <w:tcW w:type="dxa" w:w="7087"/>
          </w:tcPr>
          <w:p>
            <w:r/>
            <w:r>
              <w:rPr>
                <w:sz w:val="19"/>
              </w:rPr>
              <w:t>Pestañas Abiertas / Atendidas, filtro por tipo y atención con nota de lo que se hizo.</w:t>
            </w:r>
          </w:p>
        </w:tc>
      </w:tr>
      <w:tr>
        <w:tc>
          <w:tcPr>
            <w:tcW w:type="dxa" w:w="2268"/>
            <w:shd w:val="clear" w:color="auto" w:fill="F2F5EF"/>
          </w:tcPr>
          <w:p>
            <w:r/>
            <w:r>
              <w:rPr>
                <w:sz w:val="19"/>
              </w:rPr>
              <w:t>Cámara</w:t>
            </w:r>
          </w:p>
        </w:tc>
        <w:tc>
          <w:tcPr>
            <w:tcW w:type="dxa" w:w="7087"/>
            <w:shd w:val="clear" w:color="auto" w:fill="F2F5EF"/>
          </w:tcPr>
          <w:p>
            <w:r/>
            <w:r>
              <w:rPr>
                <w:sz w:val="19"/>
              </w:rPr>
              <w:t>Vista del galpón (actualmente OFFLINE / sin señal) con la última lectura ambiental.</w:t>
            </w:r>
          </w:p>
        </w:tc>
      </w:tr>
      <w:tr>
        <w:tc>
          <w:tcPr>
            <w:tcW w:type="dxa" w:w="2268"/>
          </w:tcPr>
          <w:p>
            <w:r/>
            <w:r>
              <w:rPr>
                <w:sz w:val="19"/>
              </w:rPr>
              <w:t>Vacunas y tratamientos</w:t>
            </w:r>
          </w:p>
        </w:tc>
        <w:tc>
          <w:tcPr>
            <w:tcW w:type="dxa" w:w="7087"/>
          </w:tcPr>
          <w:p>
            <w:r/>
            <w:r>
              <w:rPr>
                <w:sz w:val="19"/>
              </w:rPr>
              <w:t>Vacunas y medicamentos elegidos de un catálogo (dosis, vía y carencia sugeridas). Vacunas en dos revisiones del veterinario: aprueba la fecha y, tras registrar la aplicación en el galpón, da su conformidad. Tratamientos con revisión veterinaria (validar u observar).</w:t>
            </w:r>
          </w:p>
        </w:tc>
      </w:tr>
      <w:tr>
        <w:tc>
          <w:tcPr>
            <w:tcW w:type="dxa" w:w="2268"/>
            <w:shd w:val="clear" w:color="auto" w:fill="F2F5EF"/>
          </w:tcPr>
          <w:p>
            <w:r/>
            <w:r>
              <w:rPr>
                <w:sz w:val="19"/>
              </w:rPr>
              <w:t>Lotes</w:t>
            </w:r>
          </w:p>
        </w:tc>
        <w:tc>
          <w:tcPr>
            <w:tcW w:type="dxa" w:w="7087"/>
            <w:shd w:val="clear" w:color="auto" w:fill="F2F5EF"/>
          </w:tcPr>
          <w:p>
            <w:r/>
            <w:r>
              <w:rPr>
                <w:sz w:val="19"/>
              </w:rPr>
              <w:t>Abrir lote con la recepción completa (proveedor, guía, sexo, recibidos, descartados, peso de llegada, precio por pollito, meta de saca); un solo lote activo por galpón; cerrar lote con venta y costos (margen en vivo) y descargar PDF/Excel.</w:t>
            </w:r>
          </w:p>
        </w:tc>
      </w:tr>
      <w:tr>
        <w:tc>
          <w:tcPr>
            <w:tcW w:type="dxa" w:w="2268"/>
          </w:tcPr>
          <w:p>
            <w:r/>
            <w:r>
              <w:rPr>
                <w:sz w:val="19"/>
              </w:rPr>
              <w:t>Granjas y galpones</w:t>
            </w:r>
          </w:p>
        </w:tc>
        <w:tc>
          <w:tcPr>
            <w:tcW w:type="dxa" w:w="7087"/>
          </w:tcPr>
          <w:p>
            <w:r/>
            <w:r>
              <w:rPr>
                <w:sz w:val="19"/>
              </w:rPr>
              <w:t>Alta y edición de granjas avícolas y galpones con su capacidad y ocupación.</w:t>
            </w:r>
          </w:p>
        </w:tc>
      </w:tr>
      <w:tr>
        <w:tc>
          <w:tcPr>
            <w:tcW w:type="dxa" w:w="2268"/>
            <w:shd w:val="clear" w:color="auto" w:fill="F2F5EF"/>
          </w:tcPr>
          <w:p>
            <w:r/>
            <w:r>
              <w:rPr>
                <w:sz w:val="19"/>
              </w:rPr>
              <w:t>Personal y ajustes</w:t>
            </w:r>
          </w:p>
        </w:tc>
        <w:tc>
          <w:tcPr>
            <w:tcW w:type="dxa" w:w="7087"/>
            <w:shd w:val="clear" w:color="auto" w:fill="F2F5EF"/>
          </w:tcPr>
          <w:p>
            <w:r/>
            <w:r>
              <w:rPr>
                <w:sz w:val="19"/>
              </w:rPr>
              <w:t>Cuentas del personal (productor) y umbral de mortalidad (veterinario).</w:t>
            </w:r>
          </w:p>
        </w:tc>
      </w:tr>
      <w:tr>
        <w:tc>
          <w:tcPr>
            <w:tcW w:type="dxa" w:w="2268"/>
          </w:tcPr>
          <w:p>
            <w:r/>
            <w:r>
              <w:rPr>
                <w:sz w:val="19"/>
              </w:rPr>
              <w:t>Plataforma</w:t>
            </w:r>
          </w:p>
        </w:tc>
        <w:tc>
          <w:tcPr>
            <w:tcW w:type="dxa" w:w="7087"/>
          </w:tcPr>
          <w:p>
            <w:r/>
            <w:r>
              <w:rPr>
                <w:sz w:val="19"/>
              </w:rPr>
              <w:t>Clientes (ficha con personal), Solicitudes (con pestaña Sospechosas) y Cuentas de plataforma.</w:t>
            </w:r>
          </w:p>
        </w:tc>
      </w:tr>
      <w:tr>
        <w:tc>
          <w:tcPr>
            <w:tcW w:type="dxa" w:w="2268"/>
            <w:shd w:val="clear" w:color="auto" w:fill="F2F5EF"/>
          </w:tcPr>
          <w:p>
            <w:r/>
            <w:r>
              <w:rPr>
                <w:sz w:val="19"/>
              </w:rPr>
              <w:t>Acceso</w:t>
            </w:r>
          </w:p>
        </w:tc>
        <w:tc>
          <w:tcPr>
            <w:tcW w:type="dxa" w:w="7087"/>
            <w:shd w:val="clear" w:color="auto" w:fill="F2F5EF"/>
          </w:tcPr>
          <w:p>
            <w:r/>
            <w:r>
              <w:rPr>
                <w:sz w:val="19"/>
              </w:rPr>
              <w:t>Login con botón para ver la clave y aviso de Bloq Mayús; «¿Olvidaste tu clave?»; cambio obligatorio de la clave temporal.</w:t>
            </w:r>
          </w:p>
        </w:tc>
      </w:tr>
    </w:tbl>
    <w:p>
      <w:pPr>
        <w:spacing w:after="40"/>
      </w:pPr>
    </w:p>
    <w:p>
      <w:pPr>
        <w:pStyle w:val="Heading1"/>
      </w:pPr>
      <w:r>
        <w:t>7. Reglas de negocio</w:t>
      </w:r>
    </w:p>
    <w:p>
      <w:pPr>
        <w:pStyle w:val="Heading2"/>
      </w:pPr>
      <w:r>
        <w:t>Alertas automáticas</w:t>
      </w:r>
    </w:p>
    <w:tbl>
      <w:tblPr>
        <w:tblStyle w:val="TableGrid"/>
        <w:tblW w:type="auto" w:w="0"/>
        <w:jc w:val="center"/>
        <w:tblLook w:firstColumn="1" w:firstRow="1" w:lastColumn="0" w:lastRow="0" w:noHBand="0" w:noVBand="1" w:val="04A0"/>
      </w:tblPr>
      <w:tblGrid>
        <w:gridCol w:w="3249"/>
        <w:gridCol w:w="3249"/>
        <w:gridCol w:w="3249"/>
      </w:tblGrid>
      <w:tr>
        <w:tc>
          <w:tcPr>
            <w:tcW w:type="dxa" w:w="5669"/>
            <w:shd w:val="clear" w:color="auto" w:fill="102F25"/>
          </w:tcPr>
          <w:p>
            <w:r/>
            <w:r>
              <w:rPr>
                <w:b/>
                <w:color w:val="FFFFFF"/>
                <w:sz w:val="19"/>
              </w:rPr>
              <w:t>Regla</w:t>
            </w:r>
          </w:p>
        </w:tc>
        <w:tc>
          <w:tcPr>
            <w:tcW w:type="dxa" w:w="1531"/>
            <w:shd w:val="clear" w:color="auto" w:fill="102F25"/>
          </w:tcPr>
          <w:p>
            <w:r/>
            <w:r>
              <w:rPr>
                <w:b/>
                <w:color w:val="FFFFFF"/>
                <w:sz w:val="19"/>
              </w:rPr>
              <w:t>Tipo</w:t>
            </w:r>
          </w:p>
        </w:tc>
        <w:tc>
          <w:tcPr>
            <w:tcW w:type="dxa" w:w="2154"/>
            <w:shd w:val="clear" w:color="auto" w:fill="102F25"/>
          </w:tcPr>
          <w:p>
            <w:r/>
            <w:r>
              <w:rPr>
                <w:b/>
                <w:color w:val="FFFFFF"/>
                <w:sz w:val="19"/>
              </w:rPr>
              <w:t>La atiende</w:t>
            </w:r>
          </w:p>
        </w:tc>
      </w:tr>
      <w:tr>
        <w:tc>
          <w:tcPr>
            <w:tcW w:type="dxa" w:w="5669"/>
          </w:tcPr>
          <w:p>
            <w:r/>
            <w:r>
              <w:rPr>
                <w:sz w:val="19"/>
              </w:rPr>
              <w:t>Mortalidad del día mayor al umbral (20 aves por defecto, configurable)</w:t>
            </w:r>
          </w:p>
        </w:tc>
        <w:tc>
          <w:tcPr>
            <w:tcW w:type="dxa" w:w="1531"/>
          </w:tcPr>
          <w:p>
            <w:r/>
            <w:r>
              <w:rPr>
                <w:sz w:val="19"/>
              </w:rPr>
              <w:t>Salud</w:t>
            </w:r>
          </w:p>
        </w:tc>
        <w:tc>
          <w:tcPr>
            <w:tcW w:type="dxa" w:w="2154"/>
          </w:tcPr>
          <w:p>
            <w:r/>
            <w:r>
              <w:rPr>
                <w:sz w:val="19"/>
              </w:rPr>
              <w:t>Veterinario</w:t>
            </w:r>
          </w:p>
        </w:tc>
      </w:tr>
      <w:tr>
        <w:tc>
          <w:tcPr>
            <w:tcW w:type="dxa" w:w="5669"/>
            <w:shd w:val="clear" w:color="auto" w:fill="F2F5EF"/>
          </w:tcPr>
          <w:p>
            <w:r/>
            <w:r>
              <w:rPr>
                <w:sz w:val="19"/>
              </w:rPr>
              <w:t>Consumo de alimento o agua 15 % menor al promedio de los 3 días anteriores</w:t>
            </w:r>
          </w:p>
        </w:tc>
        <w:tc>
          <w:tcPr>
            <w:tcW w:type="dxa" w:w="1531"/>
            <w:shd w:val="clear" w:color="auto" w:fill="F2F5EF"/>
          </w:tcPr>
          <w:p>
            <w:r/>
            <w:r>
              <w:rPr>
                <w:sz w:val="19"/>
              </w:rPr>
              <w:t>Salud</w:t>
            </w:r>
          </w:p>
        </w:tc>
        <w:tc>
          <w:tcPr>
            <w:tcW w:type="dxa" w:w="2154"/>
            <w:shd w:val="clear" w:color="auto" w:fill="F2F5EF"/>
          </w:tcPr>
          <w:p>
            <w:r/>
            <w:r>
              <w:rPr>
                <w:sz w:val="19"/>
              </w:rPr>
              <w:t>Veterinario</w:t>
            </w:r>
          </w:p>
        </w:tc>
      </w:tr>
      <w:tr>
        <w:tc>
          <w:tcPr>
            <w:tcW w:type="dxa" w:w="5669"/>
          </w:tcPr>
          <w:p>
            <w:r/>
            <w:r>
              <w:rPr>
                <w:sz w:val="19"/>
              </w:rPr>
              <w:t>Peso de la muestra con desvío mayor a 10 % respecto de la curva</w:t>
            </w:r>
          </w:p>
        </w:tc>
        <w:tc>
          <w:tcPr>
            <w:tcW w:type="dxa" w:w="1531"/>
          </w:tcPr>
          <w:p>
            <w:r/>
            <w:r>
              <w:rPr>
                <w:sz w:val="19"/>
              </w:rPr>
              <w:t>Crecimiento</w:t>
            </w:r>
          </w:p>
        </w:tc>
        <w:tc>
          <w:tcPr>
            <w:tcW w:type="dxa" w:w="2154"/>
          </w:tcPr>
          <w:p>
            <w:r/>
            <w:r>
              <w:rPr>
                <w:sz w:val="19"/>
              </w:rPr>
              <w:t>Productor</w:t>
            </w:r>
          </w:p>
        </w:tc>
      </w:tr>
      <w:tr>
        <w:tc>
          <w:tcPr>
            <w:tcW w:type="dxa" w:w="5669"/>
            <w:shd w:val="clear" w:color="auto" w:fill="F2F5EF"/>
          </w:tcPr>
          <w:p>
            <w:r/>
            <w:r>
              <w:rPr>
                <w:sz w:val="19"/>
              </w:rPr>
              <w:t>Temperatura fuera del rango de la semana de vida o humedad fuera de 50–70 %</w:t>
            </w:r>
          </w:p>
        </w:tc>
        <w:tc>
          <w:tcPr>
            <w:tcW w:type="dxa" w:w="1531"/>
            <w:shd w:val="clear" w:color="auto" w:fill="F2F5EF"/>
          </w:tcPr>
          <w:p>
            <w:r/>
            <w:r>
              <w:rPr>
                <w:sz w:val="19"/>
              </w:rPr>
              <w:t>Ambiente</w:t>
            </w:r>
          </w:p>
        </w:tc>
        <w:tc>
          <w:tcPr>
            <w:tcW w:type="dxa" w:w="2154"/>
            <w:shd w:val="clear" w:color="auto" w:fill="F2F5EF"/>
          </w:tcPr>
          <w:p>
            <w:r/>
            <w:r>
              <w:rPr>
                <w:sz w:val="19"/>
              </w:rPr>
              <w:t>Productor</w:t>
            </w:r>
          </w:p>
        </w:tc>
      </w:tr>
      <w:tr>
        <w:tc>
          <w:tcPr>
            <w:tcW w:type="dxa" w:w="5669"/>
          </w:tcPr>
          <w:p>
            <w:r/>
            <w:r>
              <w:rPr>
                <w:sz w:val="19"/>
              </w:rPr>
              <w:t>Vacuna con fecha vencida y sin validar</w:t>
            </w:r>
          </w:p>
        </w:tc>
        <w:tc>
          <w:tcPr>
            <w:tcW w:type="dxa" w:w="1531"/>
          </w:tcPr>
          <w:p>
            <w:r/>
            <w:r>
              <w:rPr>
                <w:sz w:val="19"/>
              </w:rPr>
              <w:t>Recordatorio</w:t>
            </w:r>
          </w:p>
        </w:tc>
        <w:tc>
          <w:tcPr>
            <w:tcW w:type="dxa" w:w="2154"/>
          </w:tcPr>
          <w:p>
            <w:r/>
            <w:r>
              <w:rPr>
                <w:sz w:val="19"/>
              </w:rPr>
              <w:t>Veterinario</w:t>
            </w:r>
          </w:p>
        </w:tc>
      </w:tr>
    </w:tbl>
    <w:p>
      <w:pPr>
        <w:spacing w:after="40"/>
      </w:pPr>
    </w:p>
    <w:p>
      <w:pPr>
        <w:pStyle w:val="Heading2"/>
      </w:pPr>
      <w:r>
        <w:t>Indicadores</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102F25"/>
          </w:tcPr>
          <w:p>
            <w:r/>
            <w:r>
              <w:rPr>
                <w:b/>
                <w:color w:val="FFFFFF"/>
                <w:sz w:val="19"/>
              </w:rPr>
              <w:t>Indicador</w:t>
            </w:r>
          </w:p>
        </w:tc>
        <w:tc>
          <w:tcPr>
            <w:tcW w:type="dxa" w:w="6520"/>
            <w:shd w:val="clear" w:color="auto" w:fill="102F25"/>
          </w:tcPr>
          <w:p>
            <w:r/>
            <w:r>
              <w:rPr>
                <w:b/>
                <w:color w:val="FFFFFF"/>
                <w:sz w:val="19"/>
              </w:rPr>
              <w:t>Cálculo</w:t>
            </w:r>
          </w:p>
        </w:tc>
      </w:tr>
      <w:tr>
        <w:tc>
          <w:tcPr>
            <w:tcW w:type="dxa" w:w="2835"/>
          </w:tcPr>
          <w:p>
            <w:r/>
            <w:r>
              <w:rPr>
                <w:sz w:val="19"/>
              </w:rPr>
              <w:t>Mortalidad acumulada (%)</w:t>
            </w:r>
          </w:p>
        </w:tc>
        <w:tc>
          <w:tcPr>
            <w:tcW w:type="dxa" w:w="6520"/>
          </w:tcPr>
          <w:p>
            <w:r/>
            <w:r>
              <w:rPr>
                <w:sz w:val="19"/>
              </w:rPr>
              <w:t>Muertes totales ÷ población inicial × 100</w:t>
            </w:r>
          </w:p>
        </w:tc>
      </w:tr>
      <w:tr>
        <w:tc>
          <w:tcPr>
            <w:tcW w:type="dxa" w:w="2835"/>
            <w:shd w:val="clear" w:color="auto" w:fill="F2F5EF"/>
          </w:tcPr>
          <w:p>
            <w:r/>
            <w:r>
              <w:rPr>
                <w:sz w:val="19"/>
              </w:rPr>
              <w:t>Conversión alimenticia (FCR)</w:t>
            </w:r>
          </w:p>
        </w:tc>
        <w:tc>
          <w:tcPr>
            <w:tcW w:type="dxa" w:w="6520"/>
            <w:shd w:val="clear" w:color="auto" w:fill="F2F5EF"/>
          </w:tcPr>
          <w:p>
            <w:r/>
            <w:r>
              <w:rPr>
                <w:sz w:val="19"/>
              </w:rPr>
              <w:t>Alimento total (kg) ÷ kg de peso ganado por las aves vivas</w:t>
            </w:r>
          </w:p>
        </w:tc>
      </w:tr>
      <w:tr>
        <w:tc>
          <w:tcPr>
            <w:tcW w:type="dxa" w:w="2835"/>
          </w:tcPr>
          <w:p>
            <w:r/>
            <w:r>
              <w:rPr>
                <w:sz w:val="19"/>
              </w:rPr>
              <w:t>Ganancia diaria (g)</w:t>
            </w:r>
          </w:p>
        </w:tc>
        <w:tc>
          <w:tcPr>
            <w:tcW w:type="dxa" w:w="6520"/>
          </w:tcPr>
          <w:p>
            <w:r/>
            <w:r>
              <w:rPr>
                <w:sz w:val="19"/>
              </w:rPr>
              <w:t>(Peso promedio actual − peso inicial) ÷ días de vida</w:t>
            </w:r>
          </w:p>
        </w:tc>
      </w:tr>
      <w:tr>
        <w:tc>
          <w:tcPr>
            <w:tcW w:type="dxa" w:w="2835"/>
            <w:shd w:val="clear" w:color="auto" w:fill="F2F5EF"/>
          </w:tcPr>
          <w:p>
            <w:r/>
            <w:r>
              <w:rPr>
                <w:sz w:val="19"/>
              </w:rPr>
              <w:t>EPEF</w:t>
            </w:r>
          </w:p>
        </w:tc>
        <w:tc>
          <w:tcPr>
            <w:tcW w:type="dxa" w:w="6520"/>
            <w:shd w:val="clear" w:color="auto" w:fill="F2F5EF"/>
          </w:tcPr>
          <w:p>
            <w:r/>
            <w:r>
              <w:rPr>
                <w:sz w:val="19"/>
              </w:rPr>
              <w:t>(Viabilidad % × peso en kg) ÷ (días × FCR) × 100</w:t>
            </w:r>
          </w:p>
        </w:tc>
      </w:tr>
    </w:tbl>
    <w:p>
      <w:pPr>
        <w:spacing w:after="40"/>
      </w:pPr>
    </w:p>
    <w:p>
      <w:pPr>
        <w:pStyle w:val="Heading2"/>
      </w:pPr>
      <w:r>
        <w:t>Validación de datos</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102F25"/>
          </w:tcPr>
          <w:p>
            <w:r/>
            <w:r>
              <w:rPr>
                <w:b/>
                <w:color w:val="FFFFFF"/>
                <w:sz w:val="19"/>
              </w:rPr>
              <w:t>Dato</w:t>
            </w:r>
          </w:p>
        </w:tc>
        <w:tc>
          <w:tcPr>
            <w:tcW w:type="dxa" w:w="6520"/>
            <w:shd w:val="clear" w:color="auto" w:fill="102F25"/>
          </w:tcPr>
          <w:p>
            <w:r/>
            <w:r>
              <w:rPr>
                <w:b/>
                <w:color w:val="FFFFFF"/>
                <w:sz w:val="19"/>
              </w:rPr>
              <w:t>Regla</w:t>
            </w:r>
          </w:p>
        </w:tc>
      </w:tr>
      <w:tr>
        <w:tc>
          <w:tcPr>
            <w:tcW w:type="dxa" w:w="2835"/>
          </w:tcPr>
          <w:p>
            <w:r/>
            <w:r>
              <w:rPr>
                <w:sz w:val="19"/>
              </w:rPr>
              <w:t>Peso por ave (registro diario)</w:t>
            </w:r>
          </w:p>
        </w:tc>
        <w:tc>
          <w:tcPr>
            <w:tcW w:type="dxa" w:w="6520"/>
          </w:tcPr>
          <w:p>
            <w:r/>
            <w:r>
              <w:rPr>
                <w:sz w:val="19"/>
              </w:rPr>
              <w:t>Entre 25 y 6 000 g y entre 40 % y 200 % del peso esperado por la curva para la edad</w:t>
            </w:r>
          </w:p>
        </w:tc>
      </w:tr>
      <w:tr>
        <w:tc>
          <w:tcPr>
            <w:tcW w:type="dxa" w:w="2835"/>
            <w:shd w:val="clear" w:color="auto" w:fill="F2F5EF"/>
          </w:tcPr>
          <w:p>
            <w:r/>
            <w:r>
              <w:rPr>
                <w:sz w:val="19"/>
              </w:rPr>
              <w:t>Alimento y agua del día</w:t>
            </w:r>
          </w:p>
        </w:tc>
        <w:tc>
          <w:tcPr>
            <w:tcW w:type="dxa" w:w="6520"/>
            <w:shd w:val="clear" w:color="auto" w:fill="F2F5EF"/>
          </w:tcPr>
          <w:p>
            <w:r/>
            <w:r>
              <w:rPr>
                <w:sz w:val="19"/>
              </w:rPr>
              <w:t>Como máximo 350 g de alimento y 800 mL de agua por ave viva</w:t>
            </w:r>
          </w:p>
        </w:tc>
      </w:tr>
      <w:tr>
        <w:tc>
          <w:tcPr>
            <w:tcW w:type="dxa" w:w="2835"/>
          </w:tcPr>
          <w:p>
            <w:r/>
            <w:r>
              <w:rPr>
                <w:sz w:val="19"/>
              </w:rPr>
              <w:t>Aves muertas o tratadas</w:t>
            </w:r>
          </w:p>
        </w:tc>
        <w:tc>
          <w:tcPr>
            <w:tcW w:type="dxa" w:w="6520"/>
          </w:tcPr>
          <w:p>
            <w:r/>
            <w:r>
              <w:rPr>
                <w:sz w:val="19"/>
              </w:rPr>
              <w:t>No pueden superar las aves vivas del lote</w:t>
            </w:r>
          </w:p>
        </w:tc>
      </w:tr>
      <w:tr>
        <w:tc>
          <w:tcPr>
            <w:tcW w:type="dxa" w:w="2835"/>
            <w:shd w:val="clear" w:color="auto" w:fill="F2F5EF"/>
          </w:tcPr>
          <w:p>
            <w:r/>
            <w:r>
              <w:rPr>
                <w:sz w:val="19"/>
              </w:rPr>
              <w:t>Temperatura y humedad</w:t>
            </w:r>
          </w:p>
        </w:tc>
        <w:tc>
          <w:tcPr>
            <w:tcW w:type="dxa" w:w="6520"/>
            <w:shd w:val="clear" w:color="auto" w:fill="F2F5EF"/>
          </w:tcPr>
          <w:p>
            <w:r/>
            <w:r>
              <w:rPr>
                <w:sz w:val="19"/>
              </w:rPr>
              <w:t>Temperatura entre −10 y 50 °C; humedad entre 0 y 100 %</w:t>
            </w:r>
          </w:p>
        </w:tc>
      </w:tr>
      <w:tr>
        <w:tc>
          <w:tcPr>
            <w:tcW w:type="dxa" w:w="2835"/>
          </w:tcPr>
          <w:p>
            <w:r/>
            <w:r>
              <w:rPr>
                <w:sz w:val="19"/>
              </w:rPr>
              <w:t>Tratamientos</w:t>
            </w:r>
          </w:p>
        </w:tc>
        <w:tc>
          <w:tcPr>
            <w:tcW w:type="dxa" w:w="6520"/>
          </w:tcPr>
          <w:p>
            <w:r/>
            <w:r>
              <w:rPr>
                <w:sz w:val="19"/>
              </w:rPr>
              <w:t>Inicio entre el ingreso del lote y hoy</w:t>
            </w:r>
          </w:p>
        </w:tc>
      </w:tr>
      <w:tr>
        <w:tc>
          <w:tcPr>
            <w:tcW w:type="dxa" w:w="2835"/>
            <w:shd w:val="clear" w:color="auto" w:fill="F2F5EF"/>
          </w:tcPr>
          <w:p>
            <w:r/>
            <w:r>
              <w:rPr>
                <w:sz w:val="19"/>
              </w:rPr>
              <w:t>Vacunas</w:t>
            </w:r>
          </w:p>
        </w:tc>
        <w:tc>
          <w:tcPr>
            <w:tcW w:type="dxa" w:w="6520"/>
            <w:shd w:val="clear" w:color="auto" w:fill="F2F5EF"/>
          </w:tcPr>
          <w:p>
            <w:r/>
            <w:r>
              <w:rPr>
                <w:sz w:val="19"/>
              </w:rPr>
              <w:t>Fecha programada entre el ingreso del lote y 70 días después</w:t>
            </w:r>
          </w:p>
        </w:tc>
      </w:tr>
      <w:tr>
        <w:tc>
          <w:tcPr>
            <w:tcW w:type="dxa" w:w="2835"/>
          </w:tcPr>
          <w:p>
            <w:r/>
            <w:r>
              <w:rPr>
                <w:sz w:val="19"/>
              </w:rPr>
              <w:t>Cierre</w:t>
            </w:r>
          </w:p>
        </w:tc>
        <w:tc>
          <w:tcPr>
            <w:tcW w:type="dxa" w:w="6520"/>
          </w:tcPr>
          <w:p>
            <w:r/>
            <w:r>
              <w:rPr>
                <w:sz w:val="19"/>
              </w:rPr>
              <w:t>Peso promedio de venta entre 500 y 6 000 g por ave; precio por kg hasta S/ 50</w:t>
            </w:r>
          </w:p>
        </w:tc>
      </w:tr>
    </w:tbl>
    <w:p>
      <w:pPr>
        <w:spacing w:after="40"/>
      </w:pPr>
    </w:p>
    <w:p>
      <w:pPr>
        <w:spacing w:after="120"/>
      </w:pPr>
      <w:r>
        <w:t>Los errores de validación y los errores inesperados del servidor se responden siempre con un mensaje en español; dos registros del mismo día enviados a la vez ya no producen un error 500.</w:t>
      </w:r>
    </w:p>
    <w:p>
      <w:pPr>
        <w:pStyle w:val="Heading2"/>
      </w:pPr>
      <w:r>
        <w:t>Ciclo de una vacuna</w:t>
      </w:r>
    </w:p>
    <w:tbl>
      <w:tblPr>
        <w:tblStyle w:val="TableGrid"/>
        <w:tblW w:type="auto" w:w="0"/>
        <w:jc w:val="center"/>
        <w:tblLook w:firstColumn="1" w:firstRow="1" w:lastColumn="0" w:lastRow="0" w:noHBand="0" w:noVBand="1" w:val="04A0"/>
      </w:tblPr>
      <w:tblGrid>
        <w:gridCol w:w="3249"/>
        <w:gridCol w:w="3249"/>
        <w:gridCol w:w="3249"/>
      </w:tblGrid>
      <w:tr>
        <w:tc>
          <w:tcPr>
            <w:tcW w:type="dxa" w:w="2608"/>
            <w:shd w:val="clear" w:color="auto" w:fill="102F25"/>
          </w:tcPr>
          <w:p>
            <w:r/>
            <w:r>
              <w:rPr>
                <w:b/>
                <w:color w:val="FFFFFF"/>
                <w:sz w:val="19"/>
              </w:rPr>
              <w:t>Estado</w:t>
            </w:r>
          </w:p>
        </w:tc>
        <w:tc>
          <w:tcPr>
            <w:tcW w:type="dxa" w:w="2948"/>
            <w:shd w:val="clear" w:color="auto" w:fill="102F25"/>
          </w:tcPr>
          <w:p>
            <w:r/>
            <w:r>
              <w:rPr>
                <w:b/>
                <w:color w:val="FFFFFF"/>
                <w:sz w:val="19"/>
              </w:rPr>
              <w:t>Qué significa</w:t>
            </w:r>
          </w:p>
        </w:tc>
        <w:tc>
          <w:tcPr>
            <w:tcW w:type="dxa" w:w="3798"/>
            <w:shd w:val="clear" w:color="auto" w:fill="102F25"/>
          </w:tcPr>
          <w:p>
            <w:r/>
            <w:r>
              <w:rPr>
                <w:b/>
                <w:color w:val="FFFFFF"/>
                <w:sz w:val="19"/>
              </w:rPr>
              <w:t>Siguiente paso</w:t>
            </w:r>
          </w:p>
        </w:tc>
      </w:tr>
      <w:tr>
        <w:tc>
          <w:tcPr>
            <w:tcW w:type="dxa" w:w="2608"/>
          </w:tcPr>
          <w:p>
            <w:r/>
            <w:r>
              <w:rPr>
                <w:sz w:val="19"/>
              </w:rPr>
              <w:t>Fecha por aprobar (PENDIENTE)</w:t>
            </w:r>
          </w:p>
        </w:tc>
        <w:tc>
          <w:tcPr>
            <w:tcW w:type="dxa" w:w="2948"/>
          </w:tcPr>
          <w:p>
            <w:r/>
            <w:r>
              <w:rPr>
                <w:sz w:val="19"/>
              </w:rPr>
              <w:t>El personal propuso la fecha</w:t>
            </w:r>
          </w:p>
        </w:tc>
        <w:tc>
          <w:tcPr>
            <w:tcW w:type="dxa" w:w="3798"/>
          </w:tcPr>
          <w:p>
            <w:r/>
            <w:r>
              <w:rPr>
                <w:sz w:val="19"/>
              </w:rPr>
              <w:t>El veterinario aprueba la fecha u observa</w:t>
            </w:r>
          </w:p>
        </w:tc>
      </w:tr>
      <w:tr>
        <w:tc>
          <w:tcPr>
            <w:tcW w:type="dxa" w:w="2608"/>
            <w:shd w:val="clear" w:color="auto" w:fill="F2F5EF"/>
          </w:tcPr>
          <w:p>
            <w:r/>
            <w:r>
              <w:rPr>
                <w:sz w:val="19"/>
              </w:rPr>
              <w:t>Programada (PROGRAMADA)</w:t>
            </w:r>
          </w:p>
        </w:tc>
        <w:tc>
          <w:tcPr>
            <w:tcW w:type="dxa" w:w="2948"/>
            <w:shd w:val="clear" w:color="auto" w:fill="F2F5EF"/>
          </w:tcPr>
          <w:p>
            <w:r/>
            <w:r>
              <w:rPr>
                <w:sz w:val="19"/>
              </w:rPr>
              <w:t>Fecha aprobada</w:t>
            </w:r>
          </w:p>
        </w:tc>
        <w:tc>
          <w:tcPr>
            <w:tcW w:type="dxa" w:w="3798"/>
            <w:shd w:val="clear" w:color="auto" w:fill="F2F5EF"/>
          </w:tcPr>
          <w:p>
            <w:r/>
            <w:r>
              <w:rPr>
                <w:sz w:val="19"/>
              </w:rPr>
              <w:t>El personal registra la aplicación (fecha y nota)</w:t>
            </w:r>
          </w:p>
        </w:tc>
      </w:tr>
      <w:tr>
        <w:tc>
          <w:tcPr>
            <w:tcW w:type="dxa" w:w="2608"/>
          </w:tcPr>
          <w:p>
            <w:r/>
            <w:r>
              <w:rPr>
                <w:sz w:val="19"/>
              </w:rPr>
              <w:t>Aplicada · por revisar (APLICADA)</w:t>
            </w:r>
          </w:p>
        </w:tc>
        <w:tc>
          <w:tcPr>
            <w:tcW w:type="dxa" w:w="2948"/>
          </w:tcPr>
          <w:p>
            <w:r/>
            <w:r>
              <w:rPr>
                <w:sz w:val="19"/>
              </w:rPr>
              <w:t>Se aplicó en el galpón</w:t>
            </w:r>
          </w:p>
        </w:tc>
        <w:tc>
          <w:tcPr>
            <w:tcW w:type="dxa" w:w="3798"/>
          </w:tcPr>
          <w:p>
            <w:r/>
            <w:r>
              <w:rPr>
                <w:sz w:val="19"/>
              </w:rPr>
              <w:t>El veterinario da su conformidad u observa</w:t>
            </w:r>
          </w:p>
        </w:tc>
      </w:tr>
      <w:tr>
        <w:tc>
          <w:tcPr>
            <w:tcW w:type="dxa" w:w="2608"/>
            <w:shd w:val="clear" w:color="auto" w:fill="F2F5EF"/>
          </w:tcPr>
          <w:p>
            <w:r/>
            <w:r>
              <w:rPr>
                <w:sz w:val="19"/>
              </w:rPr>
              <w:t>Conforme (VALIDADA)</w:t>
            </w:r>
          </w:p>
        </w:tc>
        <w:tc>
          <w:tcPr>
            <w:tcW w:type="dxa" w:w="2948"/>
            <w:shd w:val="clear" w:color="auto" w:fill="F2F5EF"/>
          </w:tcPr>
          <w:p>
            <w:r/>
            <w:r>
              <w:rPr>
                <w:sz w:val="19"/>
              </w:rPr>
              <w:t>Aplicación revisada por el veterinario</w:t>
            </w:r>
          </w:p>
        </w:tc>
        <w:tc>
          <w:tcPr>
            <w:tcW w:type="dxa" w:w="3798"/>
            <w:shd w:val="clear" w:color="auto" w:fill="F2F5EF"/>
          </w:tcPr>
          <w:p>
            <w:r/>
            <w:r>
              <w:rPr>
                <w:sz w:val="19"/>
              </w:rPr>
              <w:t>—</w:t>
            </w:r>
          </w:p>
        </w:tc>
      </w:tr>
      <w:tr>
        <w:tc>
          <w:tcPr>
            <w:tcW w:type="dxa" w:w="2608"/>
          </w:tcPr>
          <w:p>
            <w:r/>
            <w:r>
              <w:rPr>
                <w:sz w:val="19"/>
              </w:rPr>
              <w:t>Observada (OBSERVADA)</w:t>
            </w:r>
          </w:p>
        </w:tc>
        <w:tc>
          <w:tcPr>
            <w:tcW w:type="dxa" w:w="2948"/>
          </w:tcPr>
          <w:p>
            <w:r/>
            <w:r>
              <w:rPr>
                <w:sz w:val="19"/>
              </w:rPr>
              <w:t>El veterinario no dio conformidad</w:t>
            </w:r>
          </w:p>
        </w:tc>
        <w:tc>
          <w:tcPr>
            <w:tcW w:type="dxa" w:w="3798"/>
          </w:tcPr>
          <w:p>
            <w:r/>
            <w:r>
              <w:rPr>
                <w:sz w:val="19"/>
              </w:rPr>
              <w:t>Queda registrada con su observación</w:t>
            </w:r>
          </w:p>
        </w:tc>
      </w:tr>
    </w:tbl>
    <w:p>
      <w:pPr>
        <w:spacing w:after="40"/>
      </w:pPr>
    </w:p>
    <w:p>
      <w:pPr>
        <w:spacing w:after="120"/>
      </w:pPr>
      <w:r>
        <w:t>Recordatorios: si la fecha vence sin aprobar, el aviso va al veterinario; si vence sin aplicar, al productor. Cada recordatorio está vinculado a su vacuna, se cierra solo al avanzar de etapa, no reaparece si se atiende a mano y se cierra al cerrar el lote. Los lotes cerrados no generan recordatorios nuevos.</w:t>
      </w:r>
    </w:p>
    <w:p>
      <w:pPr>
        <w:pStyle w:val="Heading2"/>
      </w:pPr>
      <w:r>
        <w:t>Sanidad y cierre</w:t>
      </w:r>
    </w:p>
    <w:p>
      <w:pPr>
        <w:pStyle w:val="ListBullet"/>
      </w:pPr>
      <w:r>
        <w:t>La carencia se cuenta desde la última dosis del tratamiento y se compara con la fecha de faena (no con la fecha de hoy): no se puede cerrar el lote con una fecha de faena dentro de la carencia.</w:t>
      </w:r>
    </w:p>
    <w:p>
      <w:pPr>
        <w:pStyle w:val="ListBullet"/>
      </w:pPr>
      <w:r>
        <w:t>Un tratamiento observado por el veterinario sigue contando para la carencia: el medicamento ya se aplicó.</w:t>
      </w:r>
    </w:p>
    <w:p>
      <w:pPr>
        <w:pStyle w:val="ListBullet"/>
      </w:pPr>
      <w:r>
        <w:t>Un tratamiento revisado no puede volver a revisarse para cambiar la decisión.</w:t>
      </w:r>
    </w:p>
    <w:p>
      <w:pPr>
        <w:pStyle w:val="ListBullet"/>
      </w:pPr>
      <w:r>
        <w:t>La fecha de faena se elige al cerrar; no puede ser anterior al último registro diario y el lote debe tener al menos un registro.</w:t>
      </w:r>
    </w:p>
    <w:p>
      <w:pPr>
        <w:pStyle w:val="ListBullet"/>
      </w:pPr>
      <w:r>
        <w:t>El reporte de cierre muestra el peso promedio de venta (peso total vendido ÷ aves vendidas) además del último pesaje.</w:t>
      </w:r>
    </w:p>
    <w:p>
      <w:pPr>
        <w:pStyle w:val="ListBullet"/>
      </w:pPr>
      <w:r>
        <w:t>Al cerrar un lote se registran aves vendidas, kg, precio por kg y costos; el sistema calcula ingreso, costos y margen y habilita los reportes.</w:t>
      </w:r>
    </w:p>
    <w:p>
      <w:pPr>
        <w:pStyle w:val="ListBullet"/>
      </w:pPr>
      <w:r>
        <w:t>Un lote cerrado no admite nuevos registros.</w:t>
      </w:r>
    </w:p>
    <w:p>
      <w:pPr>
        <w:pStyle w:val="ListBullet"/>
      </w:pPr>
      <w:r>
        <w:t>El reporte de cierre (PDF y Excel) incluye la recepción de los pollitos: proveedor, guía, sexo, recibidos, descartados, alojados, peso al llegar, precio y costo de pollitos y meta de saca.</w:t>
      </w:r>
    </w:p>
    <w:p>
      <w:pPr>
        <w:pStyle w:val="ListBullet"/>
      </w:pPr>
      <w:r>
        <w:t>Cuando una solicitud de contacto se confirma, la plataforma recibe un aviso por Telegram (canal de la plataforma) y por correo.</w:t>
      </w:r>
    </w:p>
    <w:p>
      <w:pPr>
        <w:pStyle w:val="ListBullet"/>
      </w:pPr>
      <w:r>
        <w:t>Un galpón solo admite un lote activo; la población alojada (recibidos − descartados) no puede superar su capacidad.</w:t>
      </w:r>
    </w:p>
    <w:p>
      <w:pPr>
        <w:pStyle w:val="ListBullet"/>
      </w:pPr>
      <w:r>
        <w:t>Nombres, dosis y vías de vacunas y tratamientos solo se aceptan si están en el catálogo (catalogo.py).</w:t>
      </w:r>
    </w:p>
    <w:p>
      <w:pPr>
        <w:pStyle w:val="Heading1"/>
      </w:pPr>
      <w:r>
        <w:t>8. Modelo de datos</w:t>
      </w:r>
    </w:p>
    <w:tbl>
      <w:tblPr>
        <w:tblStyle w:val="TableGrid"/>
        <w:tblW w:type="auto" w:w="0"/>
        <w:jc w:val="center"/>
        <w:tblLook w:firstColumn="1" w:firstRow="1" w:lastColumn="0" w:lastRow="0" w:noHBand="0" w:noVBand="1" w:val="04A0"/>
      </w:tblPr>
      <w:tblGrid>
        <w:gridCol w:w="4873"/>
        <w:gridCol w:w="4873"/>
      </w:tblGrid>
      <w:tr>
        <w:tc>
          <w:tcPr>
            <w:tcW w:type="dxa" w:w="2381"/>
            <w:shd w:val="clear" w:color="auto" w:fill="102F25"/>
          </w:tcPr>
          <w:p>
            <w:r/>
            <w:r>
              <w:rPr>
                <w:b/>
                <w:color w:val="FFFFFF"/>
                <w:sz w:val="19"/>
              </w:rPr>
              <w:t>Entidad</w:t>
            </w:r>
          </w:p>
        </w:tc>
        <w:tc>
          <w:tcPr>
            <w:tcW w:type="dxa" w:w="6973"/>
            <w:shd w:val="clear" w:color="auto" w:fill="102F25"/>
          </w:tcPr>
          <w:p>
            <w:r/>
            <w:r>
              <w:rPr>
                <w:b/>
                <w:color w:val="FFFFFF"/>
                <w:sz w:val="19"/>
              </w:rPr>
              <w:t>Contenido principal</w:t>
            </w:r>
          </w:p>
        </w:tc>
      </w:tr>
      <w:tr>
        <w:tc>
          <w:tcPr>
            <w:tcW w:type="dxa" w:w="2381"/>
          </w:tcPr>
          <w:p>
            <w:r/>
            <w:r>
              <w:rPr>
                <w:sz w:val="19"/>
              </w:rPr>
              <w:t>Organizacion</w:t>
            </w:r>
          </w:p>
        </w:tc>
        <w:tc>
          <w:tcPr>
            <w:tcW w:type="dxa" w:w="6973"/>
          </w:tcPr>
          <w:p>
            <w:r/>
            <w:r>
              <w:rPr>
                <w:sz w:val="19"/>
              </w:rPr>
              <w:t>Cliente: nombre, estado (ACTIVA/SUSPENDIDA), solicitud de origen, chat de Telegram vinculado</w:t>
            </w:r>
          </w:p>
        </w:tc>
      </w:tr>
      <w:tr>
        <w:tc>
          <w:tcPr>
            <w:tcW w:type="dxa" w:w="2381"/>
            <w:shd w:val="clear" w:color="auto" w:fill="F2F5EF"/>
          </w:tcPr>
          <w:p>
            <w:r/>
            <w:r>
              <w:rPr>
                <w:sz w:val="19"/>
              </w:rPr>
              <w:t>IntentoLogin</w:t>
            </w:r>
          </w:p>
        </w:tc>
        <w:tc>
          <w:tcPr>
            <w:tcW w:type="dxa" w:w="6973"/>
            <w:shd w:val="clear" w:color="auto" w:fill="F2F5EF"/>
          </w:tcPr>
          <w:p>
            <w:r/>
            <w:r>
              <w:rPr>
                <w:sz w:val="19"/>
              </w:rPr>
              <w:t>Intentos fallidos de ingreso por correo e IP, para el bloqueo temporal</w:t>
            </w:r>
          </w:p>
        </w:tc>
      </w:tr>
      <w:tr>
        <w:tc>
          <w:tcPr>
            <w:tcW w:type="dxa" w:w="2381"/>
          </w:tcPr>
          <w:p>
            <w:r/>
            <w:r>
              <w:rPr>
                <w:sz w:val="19"/>
              </w:rPr>
              <w:t>Usuario</w:t>
            </w:r>
          </w:p>
        </w:tc>
        <w:tc>
          <w:tcPr>
            <w:tcW w:type="dxa" w:w="6973"/>
          </w:tcPr>
          <w:p>
            <w:r/>
            <w:r>
              <w:rPr>
                <w:sz w:val="19"/>
              </w:rPr>
              <w:t>Nombre, correo, hash de clave, rol, activo, clave temporal, versión de sesión, enlace de recuperación (hash y vencimiento), organización (vacía para PLATAFORMA)</w:t>
            </w:r>
          </w:p>
        </w:tc>
      </w:tr>
      <w:tr>
        <w:tc>
          <w:tcPr>
            <w:tcW w:type="dxa" w:w="2381"/>
            <w:shd w:val="clear" w:color="auto" w:fill="F2F5EF"/>
          </w:tcPr>
          <w:p>
            <w:r/>
            <w:r>
              <w:rPr>
                <w:sz w:val="19"/>
              </w:rPr>
              <w:t>IntentoRecuperacion</w:t>
            </w:r>
          </w:p>
        </w:tc>
        <w:tc>
          <w:tcPr>
            <w:tcW w:type="dxa" w:w="6973"/>
            <w:shd w:val="clear" w:color="auto" w:fill="F2F5EF"/>
          </w:tcPr>
          <w:p>
            <w:r/>
            <w:r>
              <w:rPr>
                <w:sz w:val="19"/>
              </w:rPr>
              <w:t>Pedidos de «¿Olvidaste tu clave?» por correo e IP, para los límites</w:t>
            </w:r>
          </w:p>
        </w:tc>
      </w:tr>
      <w:tr>
        <w:tc>
          <w:tcPr>
            <w:tcW w:type="dxa" w:w="2381"/>
          </w:tcPr>
          <w:p>
            <w:r/>
            <w:r>
              <w:rPr>
                <w:sz w:val="19"/>
              </w:rPr>
              <w:t>Granja → Galpon</w:t>
            </w:r>
          </w:p>
        </w:tc>
        <w:tc>
          <w:tcPr>
            <w:tcW w:type="dxa" w:w="6973"/>
          </w:tcPr>
          <w:p>
            <w:r/>
            <w:r>
              <w:rPr>
                <w:sz w:val="19"/>
              </w:rPr>
              <w:t>Granja avícola de una organización; galpones con capacidad y datos de cámara</w:t>
            </w:r>
          </w:p>
        </w:tc>
      </w:tr>
      <w:tr>
        <w:tc>
          <w:tcPr>
            <w:tcW w:type="dxa" w:w="2381"/>
            <w:shd w:val="clear" w:color="auto" w:fill="F2F5EF"/>
          </w:tcPr>
          <w:p>
            <w:r/>
            <w:r>
              <w:rPr>
                <w:sz w:val="19"/>
              </w:rPr>
              <w:t>Lote</w:t>
            </w:r>
          </w:p>
        </w:tc>
        <w:tc>
          <w:tcPr>
            <w:tcW w:type="dxa" w:w="6973"/>
            <w:shd w:val="clear" w:color="auto" w:fill="F2F5EF"/>
          </w:tcPr>
          <w:p>
            <w:r/>
            <w:r>
              <w:rPr>
                <w:sz w:val="19"/>
              </w:rPr>
              <w:t>Galpón, línea, sexo, fecha de ingreso, proveedor, guía, recibidos, descartados, peso de llegada, precio por pollito, población inicial, meta de peso y edad de saca, estado, fecha de cierre</w:t>
            </w:r>
          </w:p>
        </w:tc>
      </w:tr>
      <w:tr>
        <w:tc>
          <w:tcPr>
            <w:tcW w:type="dxa" w:w="2381"/>
          </w:tcPr>
          <w:p>
            <w:r/>
            <w:r>
              <w:rPr>
                <w:sz w:val="19"/>
              </w:rPr>
              <w:t>RegistroDiario</w:t>
            </w:r>
          </w:p>
        </w:tc>
        <w:tc>
          <w:tcPr>
            <w:tcW w:type="dxa" w:w="6973"/>
          </w:tcPr>
          <w:p>
            <w:r/>
            <w:r>
              <w:rPr>
                <w:sz w:val="19"/>
              </w:rPr>
              <w:t>Fecha, mortalidad, alimento, agua, peso de muestra (uno por lote y fecha)</w:t>
            </w:r>
          </w:p>
        </w:tc>
      </w:tr>
      <w:tr>
        <w:tc>
          <w:tcPr>
            <w:tcW w:type="dxa" w:w="2381"/>
            <w:shd w:val="clear" w:color="auto" w:fill="F2F5EF"/>
          </w:tcPr>
          <w:p>
            <w:r/>
            <w:r>
              <w:rPr>
                <w:sz w:val="19"/>
              </w:rPr>
              <w:t>Vacunacion</w:t>
            </w:r>
          </w:p>
        </w:tc>
        <w:tc>
          <w:tcPr>
            <w:tcW w:type="dxa" w:w="6973"/>
            <w:shd w:val="clear" w:color="auto" w:fill="F2F5EF"/>
          </w:tcPr>
          <w:p>
            <w:r/>
            <w:r>
              <w:rPr>
                <w:sz w:val="19"/>
              </w:rPr>
              <w:t>Vacuna, fecha programada, quién aprobó la fecha, fecha y nota de aplicación, quién la aplicó, conformidad del veterinario y estado</w:t>
            </w:r>
          </w:p>
        </w:tc>
      </w:tr>
      <w:tr>
        <w:tc>
          <w:tcPr>
            <w:tcW w:type="dxa" w:w="2381"/>
          </w:tcPr>
          <w:p>
            <w:r/>
            <w:r>
              <w:rPr>
                <w:sz w:val="19"/>
              </w:rPr>
              <w:t>Tratamiento</w:t>
            </w:r>
          </w:p>
        </w:tc>
        <w:tc>
          <w:tcPr>
            <w:tcW w:type="dxa" w:w="6973"/>
          </w:tcPr>
          <w:p>
            <w:r/>
            <w:r>
              <w:rPr>
                <w:sz w:val="19"/>
              </w:rPr>
              <w:t>Medicamento, dosis, vía, días de tratamiento y de carencia, aves tratadas, diagnóstico y estado</w:t>
            </w:r>
          </w:p>
        </w:tc>
      </w:tr>
      <w:tr>
        <w:tc>
          <w:tcPr>
            <w:tcW w:type="dxa" w:w="2381"/>
            <w:shd w:val="clear" w:color="auto" w:fill="F2F5EF"/>
          </w:tcPr>
          <w:p>
            <w:r/>
            <w:r>
              <w:rPr>
                <w:sz w:val="19"/>
              </w:rPr>
              <w:t>LecturaAmbiental</w:t>
            </w:r>
          </w:p>
        </w:tc>
        <w:tc>
          <w:tcPr>
            <w:tcW w:type="dxa" w:w="6973"/>
            <w:shd w:val="clear" w:color="auto" w:fill="F2F5EF"/>
          </w:tcPr>
          <w:p>
            <w:r/>
            <w:r>
              <w:rPr>
                <w:sz w:val="19"/>
              </w:rPr>
              <w:t>Temperatura y humedad por galpón</w:t>
            </w:r>
          </w:p>
        </w:tc>
      </w:tr>
      <w:tr>
        <w:tc>
          <w:tcPr>
            <w:tcW w:type="dxa" w:w="2381"/>
          </w:tcPr>
          <w:p>
            <w:r/>
            <w:r>
              <w:rPr>
                <w:sz w:val="19"/>
              </w:rPr>
              <w:t>Alerta</w:t>
            </w:r>
          </w:p>
        </w:tc>
        <w:tc>
          <w:tcPr>
            <w:tcW w:type="dxa" w:w="6973"/>
          </w:tcPr>
          <w:p>
            <w:r/>
            <w:r>
              <w:rPr>
                <w:sz w:val="19"/>
              </w:rPr>
              <w:t>Tipo, mensaje, estado, si requiere veterinario, vacuna a la que pertenece (recordatorios), estado de notificación Telegram</w:t>
            </w:r>
          </w:p>
        </w:tc>
      </w:tr>
      <w:tr>
        <w:tc>
          <w:tcPr>
            <w:tcW w:type="dxa" w:w="2381"/>
            <w:shd w:val="clear" w:color="auto" w:fill="F2F5EF"/>
          </w:tcPr>
          <w:p>
            <w:r/>
            <w:r>
              <w:rPr>
                <w:sz w:val="19"/>
              </w:rPr>
              <w:t>CierreLote</w:t>
            </w:r>
          </w:p>
        </w:tc>
        <w:tc>
          <w:tcPr>
            <w:tcW w:type="dxa" w:w="6973"/>
            <w:shd w:val="clear" w:color="auto" w:fill="F2F5EF"/>
          </w:tcPr>
          <w:p>
            <w:r/>
            <w:r>
              <w:rPr>
                <w:sz w:val="19"/>
              </w:rPr>
              <w:t>Venta, costos, ingreso, margen y observaciones</w:t>
            </w:r>
          </w:p>
        </w:tc>
      </w:tr>
      <w:tr>
        <w:tc>
          <w:tcPr>
            <w:tcW w:type="dxa" w:w="2381"/>
          </w:tcPr>
          <w:p>
            <w:r/>
            <w:r>
              <w:rPr>
                <w:sz w:val="19"/>
              </w:rPr>
              <w:t>SolicitudContacto</w:t>
            </w:r>
          </w:p>
        </w:tc>
        <w:tc>
          <w:tcPr>
            <w:tcW w:type="dxa" w:w="6973"/>
          </w:tcPr>
          <w:p>
            <w:r/>
            <w:r>
              <w:rPr>
                <w:sz w:val="19"/>
              </w:rPr>
              <w:t>Datos del formulario público, IP, enlace de confirmación (hash y vencimiento), motivo de sospecha y estado (PENDIENTE, NUEVA, CONTACTADA, CLIENTE, DESCARTADA, SOSPECHOSA)</w:t>
            </w:r>
          </w:p>
        </w:tc>
      </w:tr>
      <w:tr>
        <w:tc>
          <w:tcPr>
            <w:tcW w:type="dxa" w:w="2381"/>
            <w:shd w:val="clear" w:color="auto" w:fill="F2F5EF"/>
          </w:tcPr>
          <w:p>
            <w:r/>
            <w:r>
              <w:rPr>
                <w:sz w:val="19"/>
              </w:rPr>
              <w:t>Configuracion</w:t>
            </w:r>
          </w:p>
        </w:tc>
        <w:tc>
          <w:tcPr>
            <w:tcW w:type="dxa" w:w="6973"/>
            <w:shd w:val="clear" w:color="auto" w:fill="F2F5EF"/>
          </w:tcPr>
          <w:p>
            <w:r/>
            <w:r>
              <w:rPr>
                <w:sz w:val="19"/>
              </w:rPr>
              <w:t>Parámetros como el umbral de mortalidad por organización</w:t>
            </w:r>
          </w:p>
        </w:tc>
      </w:tr>
    </w:tbl>
    <w:p>
      <w:pPr>
        <w:spacing w:after="40"/>
      </w:pPr>
    </w:p>
    <w:p>
      <w:pPr>
        <w:pStyle w:val="Heading1"/>
      </w:pPr>
      <w:r>
        <w:t>9. API REST (55 endpoints)</w:t>
      </w:r>
    </w:p>
    <w:p>
      <w:pPr>
        <w:spacing w:after="120"/>
      </w:pPr>
      <w:r>
        <w:t>Todas las rutas empiezan con /api y, salvo las públicas, requieren el encabezado Authorization: Bearer &lt;token&gt;.</w:t>
      </w:r>
    </w:p>
    <w:tbl>
      <w:tblPr>
        <w:tblStyle w:val="TableGrid"/>
        <w:tblW w:type="auto" w:w="0"/>
        <w:jc w:val="center"/>
        <w:tblLook w:firstColumn="1" w:firstRow="1" w:lastColumn="0" w:lastRow="0" w:noHBand="0" w:noVBand="1" w:val="04A0"/>
      </w:tblPr>
      <w:tblGrid>
        <w:gridCol w:w="4873"/>
        <w:gridCol w:w="4873"/>
      </w:tblGrid>
      <w:tr>
        <w:tc>
          <w:tcPr>
            <w:tcW w:type="dxa" w:w="1871"/>
            <w:shd w:val="clear" w:color="auto" w:fill="102F25"/>
          </w:tcPr>
          <w:p>
            <w:r/>
            <w:r>
              <w:rPr>
                <w:b/>
                <w:color w:val="FFFFFF"/>
                <w:sz w:val="19"/>
              </w:rPr>
              <w:t>Grupo</w:t>
            </w:r>
          </w:p>
        </w:tc>
        <w:tc>
          <w:tcPr>
            <w:tcW w:type="dxa" w:w="7483"/>
            <w:shd w:val="clear" w:color="auto" w:fill="102F25"/>
          </w:tcPr>
          <w:p>
            <w:r/>
            <w:r>
              <w:rPr>
                <w:b/>
                <w:color w:val="FFFFFF"/>
                <w:sz w:val="19"/>
              </w:rPr>
              <w:t>Endpoints</w:t>
            </w:r>
          </w:p>
        </w:tc>
      </w:tr>
      <w:tr>
        <w:tc>
          <w:tcPr>
            <w:tcW w:type="dxa" w:w="1871"/>
          </w:tcPr>
          <w:p>
            <w:r/>
            <w:r>
              <w:rPr>
                <w:sz w:val="19"/>
              </w:rPr>
              <w:t>Públicos</w:t>
            </w:r>
          </w:p>
        </w:tc>
        <w:tc>
          <w:tcPr>
            <w:tcW w:type="dxa" w:w="7483"/>
          </w:tcPr>
          <w:p>
            <w:r/>
            <w:r>
              <w:rPr>
                <w:sz w:val="19"/>
              </w:rPr>
              <w:t>GET /salud · GET /contacto/config · POST /contacto · POST /contacto/confirmar · POST /auth/login · POST /auth/olvide-clave · POST /auth/restablecer-clave</w:t>
            </w:r>
          </w:p>
        </w:tc>
      </w:tr>
      <w:tr>
        <w:tc>
          <w:tcPr>
            <w:tcW w:type="dxa" w:w="1871"/>
            <w:shd w:val="clear" w:color="auto" w:fill="F2F5EF"/>
          </w:tcPr>
          <w:p>
            <w:r/>
            <w:r>
              <w:rPr>
                <w:sz w:val="19"/>
              </w:rPr>
              <w:t>Sesión</w:t>
            </w:r>
          </w:p>
        </w:tc>
        <w:tc>
          <w:tcPr>
            <w:tcW w:type="dxa" w:w="7483"/>
            <w:shd w:val="clear" w:color="auto" w:fill="F2F5EF"/>
          </w:tcPr>
          <w:p>
            <w:r/>
            <w:r>
              <w:rPr>
                <w:sz w:val="19"/>
              </w:rPr>
              <w:t>GET /me · POST /auth/cambiar-clave</w:t>
            </w:r>
          </w:p>
        </w:tc>
      </w:tr>
      <w:tr>
        <w:tc>
          <w:tcPr>
            <w:tcW w:type="dxa" w:w="1871"/>
          </w:tcPr>
          <w:p>
            <w:r/>
            <w:r>
              <w:rPr>
                <w:sz w:val="19"/>
              </w:rPr>
              <w:t>Instalaciones</w:t>
            </w:r>
          </w:p>
        </w:tc>
        <w:tc>
          <w:tcPr>
            <w:tcW w:type="dxa" w:w="7483"/>
          </w:tcPr>
          <w:p>
            <w:r/>
            <w:r>
              <w:rPr>
                <w:sz w:val="19"/>
              </w:rPr>
              <w:t>GET /resumen · GET, POST /granjas · PUT /granjas/{id} · POST /granjas/{id}/galpones · PUT /galpones/{id}</w:t>
            </w:r>
          </w:p>
        </w:tc>
      </w:tr>
      <w:tr>
        <w:tc>
          <w:tcPr>
            <w:tcW w:type="dxa" w:w="1871"/>
            <w:shd w:val="clear" w:color="auto" w:fill="F2F5EF"/>
          </w:tcPr>
          <w:p>
            <w:r/>
            <w:r>
              <w:rPr>
                <w:sz w:val="19"/>
              </w:rPr>
              <w:t>Lotes</w:t>
            </w:r>
          </w:p>
        </w:tc>
        <w:tc>
          <w:tcPr>
            <w:tcW w:type="dxa" w:w="7483"/>
            <w:shd w:val="clear" w:color="auto" w:fill="F2F5EF"/>
          </w:tcPr>
          <w:p>
            <w:r/>
            <w:r>
              <w:rPr>
                <w:sz w:val="19"/>
              </w:rPr>
              <w:t>POST /lotes · GET /lotes/{id}/panel · GET /lotes/{id}/camara · POST /lotes/{id}/registros · POST /lotes/{id}/clima</w:t>
            </w:r>
          </w:p>
        </w:tc>
      </w:tr>
      <w:tr>
        <w:tc>
          <w:tcPr>
            <w:tcW w:type="dxa" w:w="1871"/>
          </w:tcPr>
          <w:p>
            <w:r/>
            <w:r>
              <w:rPr>
                <w:sz w:val="19"/>
              </w:rPr>
              <w:t>Sanidad</w:t>
            </w:r>
          </w:p>
        </w:tc>
        <w:tc>
          <w:tcPr>
            <w:tcW w:type="dxa" w:w="7483"/>
          </w:tcPr>
          <w:p>
            <w:r/>
            <w:r>
              <w:rPr>
                <w:sz w:val="19"/>
              </w:rPr>
              <w:t>GET /catalogo/sanidad · GET, POST /lotes/{id}/sanidad · POST /lotes/{id}/tratamientos · POST /tratamientos/{id}/validar · POST /vacunas/{id}/validar · POST /vacunas/{id}/aplicar</w:t>
            </w:r>
          </w:p>
        </w:tc>
      </w:tr>
      <w:tr>
        <w:tc>
          <w:tcPr>
            <w:tcW w:type="dxa" w:w="1871"/>
            <w:shd w:val="clear" w:color="auto" w:fill="F2F5EF"/>
          </w:tcPr>
          <w:p>
            <w:r/>
            <w:r>
              <w:rPr>
                <w:sz w:val="19"/>
              </w:rPr>
              <w:t>Alertas</w:t>
            </w:r>
          </w:p>
        </w:tc>
        <w:tc>
          <w:tcPr>
            <w:tcW w:type="dxa" w:w="7483"/>
            <w:shd w:val="clear" w:color="auto" w:fill="F2F5EF"/>
          </w:tcPr>
          <w:p>
            <w:r/>
            <w:r>
              <w:rPr>
                <w:sz w:val="19"/>
              </w:rPr>
              <w:t>GET /alertas · POST /alertas/{id}/atender · PUT /umbral</w:t>
            </w:r>
          </w:p>
        </w:tc>
      </w:tr>
      <w:tr>
        <w:tc>
          <w:tcPr>
            <w:tcW w:type="dxa" w:w="1871"/>
          </w:tcPr>
          <w:p>
            <w:r/>
            <w:r>
              <w:rPr>
                <w:sz w:val="19"/>
              </w:rPr>
              <w:t>Cierre y reportes</w:t>
            </w:r>
          </w:p>
        </w:tc>
        <w:tc>
          <w:tcPr>
            <w:tcW w:type="dxa" w:w="7483"/>
          </w:tcPr>
          <w:p>
            <w:r/>
            <w:r>
              <w:rPr>
                <w:sz w:val="19"/>
              </w:rPr>
              <w:t>POST /lotes/{id}/cerrar · GET /lotes/{id}/cierre · GET /lotes/{id}/reporte.pdf · GET /lotes/{id}/reporte.xlsx</w:t>
            </w:r>
          </w:p>
        </w:tc>
      </w:tr>
      <w:tr>
        <w:tc>
          <w:tcPr>
            <w:tcW w:type="dxa" w:w="1871"/>
            <w:shd w:val="clear" w:color="auto" w:fill="F2F5EF"/>
          </w:tcPr>
          <w:p>
            <w:r/>
            <w:r>
              <w:rPr>
                <w:sz w:val="19"/>
              </w:rPr>
              <w:t>Cuentas</w:t>
            </w:r>
          </w:p>
        </w:tc>
        <w:tc>
          <w:tcPr>
            <w:tcW w:type="dxa" w:w="7483"/>
            <w:shd w:val="clear" w:color="auto" w:fill="F2F5EF"/>
          </w:tcPr>
          <w:p>
            <w:r/>
            <w:r>
              <w:rPr>
                <w:sz w:val="19"/>
              </w:rPr>
              <w:t>GET, POST /usuarios · POST /usuarios/{id}/restablecer-clave · PATCH /usuarios/{id}/estado</w:t>
            </w:r>
          </w:p>
        </w:tc>
      </w:tr>
      <w:tr>
        <w:tc>
          <w:tcPr>
            <w:tcW w:type="dxa" w:w="1871"/>
          </w:tcPr>
          <w:p>
            <w:r/>
            <w:r>
              <w:rPr>
                <w:sz w:val="19"/>
              </w:rPr>
              <w:t>Notificaciones</w:t>
            </w:r>
          </w:p>
        </w:tc>
        <w:tc>
          <w:tcPr>
            <w:tcW w:type="dxa" w:w="7483"/>
          </w:tcPr>
          <w:p>
            <w:r/>
            <w:r>
              <w:rPr>
                <w:sz w:val="19"/>
              </w:rPr>
              <w:t>Plataforma: GET /notificaciones/estado · POST /notificaciones/probar. Cliente: GET, DELETE /organizacion/telegram · POST /organizacion/telegram/vincular · POST …/verificar · POST …/probar</w:t>
            </w:r>
          </w:p>
        </w:tc>
      </w:tr>
      <w:tr>
        <w:tc>
          <w:tcPr>
            <w:tcW w:type="dxa" w:w="1871"/>
            <w:shd w:val="clear" w:color="auto" w:fill="F2F5EF"/>
          </w:tcPr>
          <w:p>
            <w:r/>
            <w:r>
              <w:rPr>
                <w:sz w:val="19"/>
              </w:rPr>
              <w:t>Plataforma</w:t>
            </w:r>
          </w:p>
        </w:tc>
        <w:tc>
          <w:tcPr>
            <w:tcW w:type="dxa" w:w="7483"/>
            <w:shd w:val="clear" w:color="auto" w:fill="F2F5EF"/>
          </w:tcPr>
          <w:p>
            <w:r/>
            <w:r>
              <w:rPr>
                <w:sz w:val="19"/>
              </w:rPr>
              <w:t>GET, PATCH /plataforma/solicitudes[/{id}] · GET, POST /plataforma/organizaciones · GET, PATCH /plataforma/organizaciones/{id} · GET, POST /plataforma/organizaciones/{id}/usuarios · POST …/usuarios/{uid}/restablecer-clave · PATCH …/usuarios/{uid}/estado</w:t>
            </w:r>
          </w:p>
        </w:tc>
      </w:tr>
    </w:tbl>
    <w:p>
      <w:pPr>
        <w:spacing w:after="40"/>
      </w:pPr>
    </w:p>
    <w:p>
      <w:pPr>
        <w:spacing w:after="120"/>
      </w:pPr>
      <w:r>
        <w:t>La documentación interactiva de la API está en http://127.0.0.1:8000/docs mientras el backend está encendido.</w:t>
      </w:r>
    </w:p>
    <w:p>
      <w:pPr>
        <w:pStyle w:val="Heading1"/>
      </w:pPr>
      <w:r>
        <w:t>10. Seguridad</w:t>
      </w:r>
    </w:p>
    <w:p>
      <w:pPr>
        <w:pStyle w:val="ListBullet"/>
      </w:pPr>
      <w:r>
        <w:t>Claves guardadas con PBKDF2-SHA256 y sal; nunca en texto legible.</w:t>
      </w:r>
    </w:p>
    <w:p>
      <w:pPr>
        <w:pStyle w:val="ListBullet"/>
      </w:pPr>
      <w:r>
        <w:t>Clave temporal obligatoria de cambiar en el primer ingreso; las temporales se muestran una sola vez.</w:t>
      </w:r>
    </w:p>
    <w:p>
      <w:pPr>
        <w:pStyle w:val="ListBullet"/>
      </w:pPr>
      <w:r>
        <w:t>Separación por organización en el servidor: pedir datos de otro cliente responde «no encontrado».</w:t>
      </w:r>
    </w:p>
    <w:p>
      <w:pPr>
        <w:pStyle w:val="ListBullet"/>
      </w:pPr>
      <w:r>
        <w:t>Permisos por rol validados en el backend, no solo ocultos en pantalla.</w:t>
      </w:r>
    </w:p>
    <w:p>
      <w:pPr>
        <w:pStyle w:val="ListBullet"/>
      </w:pPr>
      <w:r>
        <w:t>Suspender un cliente invalida el acceso de todas sus cuentas de inmediato.</w:t>
      </w:r>
    </w:p>
    <w:p>
      <w:pPr>
        <w:pStyle w:val="ListBullet"/>
      </w:pPr>
      <w:r>
        <w:t>Cambiar o restablecer una clave cierra todas las sesiones abiertas de esa cuenta (versión de sesión en el token).</w:t>
      </w:r>
    </w:p>
    <w:p>
      <w:pPr>
        <w:pStyle w:val="ListBullet"/>
      </w:pPr>
      <w:r>
        <w:t>«¿Olvidaste tu clave?»: respuesta idéntica exista o no la cuenta, enlace de un solo uso válido 30 minutos, límites por correo e IP y correo de aviso tras el cambio.</w:t>
      </w:r>
    </w:p>
    <w:p>
      <w:pPr>
        <w:pStyle w:val="ListBullet"/>
      </w:pPr>
      <w:r>
        <w:t>Las claves no pueden empezar ni terminar con espacios.</w:t>
      </w:r>
    </w:p>
    <w:p>
      <w:pPr>
        <w:pStyle w:val="ListBullet"/>
      </w:pPr>
      <w:r>
        <w:t>Login con límite de intentos: 5 fallos por correo bloquean ese correo 15 minutos (máximo 20 fallos por IP), con el mismo trato exista o no la cuenta.</w:t>
      </w:r>
    </w:p>
    <w:p>
      <w:pPr>
        <w:pStyle w:val="ListBullet"/>
      </w:pPr>
      <w:r>
        <w:t>Telegram por cliente: cada organización vincula su chat con un código de un solo uso; las alertas no se envían a chats de otros clientes ni al canal de la plataforma.</w:t>
      </w:r>
    </w:p>
    <w:p>
      <w:pPr>
        <w:pStyle w:val="ListBullet"/>
      </w:pPr>
      <w:r>
        <w:t>Formulario de contacto con seis capas: formato y DNS del correo, Turnstile, límites, campo trampa, detección de contenido y confirmación por correo (ver SEGURIDAD_CONTACTO.md).</w:t>
      </w:r>
    </w:p>
    <w:p>
      <w:pPr>
        <w:pStyle w:val="Heading1"/>
      </w:pPr>
      <w:r>
        <w:t>11. Pruebas</w:t>
      </w:r>
    </w:p>
    <w:p>
      <w:pPr>
        <w:spacing w:after="160"/>
        <w:ind w:left="283"/>
      </w:pPr>
      <w:r>
        <w:rPr>
          <w:rFonts w:ascii="Consolas" w:hAnsi="Consolas"/>
          <w:sz w:val="18"/>
        </w:rPr>
        <w:t>cd AviSmart\backend</w:t>
        <w:br/>
        <w:t>.\.venv\Scripts\python.exe -m unittest discover -s tests -t .</w:t>
      </w:r>
    </w:p>
    <w:p>
      <w:pPr>
        <w:spacing w:after="120"/>
      </w:pPr>
      <w:r>
        <w:t>62 pruebas automáticas: curvas y alertas, notificaciones, cuentas y clave temporal, cierre y reportes, aislamiento entre clientes, alta de clientes, suspensión, permisos por rol, catálogo sanitario, un lote por galpón, protecciones del formulario de contacto, recuperación de clave, carencia contra la fecha de faena, ciclo de vacunas con sus recordatorios, validación de datos, errores del servidor, reglas del cierre, límite de intentos del login, recepción en los reportes, aviso de solicitudes y Telegram por cliente. El frontend se valida con «npx tsc --noEmit» y «npm run build».</w:t>
      </w:r>
    </w:p>
    <w:p>
      <w:pPr>
        <w:pStyle w:val="Heading1"/>
      </w:pPr>
      <w:r>
        <w:t>12. Cuentas de demostración</w:t>
      </w:r>
    </w:p>
    <w:p>
      <w:pPr>
        <w:spacing w:after="120"/>
      </w:pPr>
      <w:r>
        <w:t>Organización «Demostración» (Granja de engorde Puno, Galpón 1, lote Ross). Clave de todas: avismart123.</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102F25"/>
          </w:tcPr>
          <w:p>
            <w:r/>
            <w:r>
              <w:rPr>
                <w:b/>
                <w:color w:val="FFFFFF"/>
                <w:sz w:val="19"/>
              </w:rPr>
              <w:t>Rol</w:t>
            </w:r>
          </w:p>
        </w:tc>
        <w:tc>
          <w:tcPr>
            <w:tcW w:type="dxa" w:w="5953"/>
            <w:shd w:val="clear" w:color="auto" w:fill="102F25"/>
          </w:tcPr>
          <w:p>
            <w:r/>
            <w:r>
              <w:rPr>
                <w:b/>
                <w:color w:val="FFFFFF"/>
                <w:sz w:val="19"/>
              </w:rPr>
              <w:t>Correo</w:t>
            </w:r>
          </w:p>
        </w:tc>
      </w:tr>
      <w:tr>
        <w:tc>
          <w:tcPr>
            <w:tcW w:type="dxa" w:w="3402"/>
          </w:tcPr>
          <w:p>
            <w:r/>
            <w:r>
              <w:rPr>
                <w:sz w:val="19"/>
              </w:rPr>
              <w:t>Administrador (heredado)</w:t>
            </w:r>
          </w:p>
        </w:tc>
        <w:tc>
          <w:tcPr>
            <w:tcW w:type="dxa" w:w="5953"/>
          </w:tcPr>
          <w:p>
            <w:r/>
            <w:r>
              <w:rPr>
                <w:sz w:val="19"/>
              </w:rPr>
              <w:t>admin@avismart.local</w:t>
            </w:r>
          </w:p>
        </w:tc>
      </w:tr>
      <w:tr>
        <w:tc>
          <w:tcPr>
            <w:tcW w:type="dxa" w:w="3402"/>
            <w:shd w:val="clear" w:color="auto" w:fill="F2F5EF"/>
          </w:tcPr>
          <w:p>
            <w:r/>
            <w:r>
              <w:rPr>
                <w:sz w:val="19"/>
              </w:rPr>
              <w:t>Productor</w:t>
            </w:r>
          </w:p>
        </w:tc>
        <w:tc>
          <w:tcPr>
            <w:tcW w:type="dxa" w:w="5953"/>
            <w:shd w:val="clear" w:color="auto" w:fill="F2F5EF"/>
          </w:tcPr>
          <w:p>
            <w:r/>
            <w:r>
              <w:rPr>
                <w:sz w:val="19"/>
              </w:rPr>
              <w:t>productor@avismart.local</w:t>
            </w:r>
          </w:p>
        </w:tc>
      </w:tr>
      <w:tr>
        <w:tc>
          <w:tcPr>
            <w:tcW w:type="dxa" w:w="3402"/>
          </w:tcPr>
          <w:p>
            <w:r/>
            <w:r>
              <w:rPr>
                <w:sz w:val="19"/>
              </w:rPr>
              <w:t>Operario</w:t>
            </w:r>
          </w:p>
        </w:tc>
        <w:tc>
          <w:tcPr>
            <w:tcW w:type="dxa" w:w="5953"/>
          </w:tcPr>
          <w:p>
            <w:r/>
            <w:r>
              <w:rPr>
                <w:sz w:val="19"/>
              </w:rPr>
              <w:t>operario@avismart.local</w:t>
            </w:r>
          </w:p>
        </w:tc>
      </w:tr>
      <w:tr>
        <w:tc>
          <w:tcPr>
            <w:tcW w:type="dxa" w:w="3402"/>
            <w:shd w:val="clear" w:color="auto" w:fill="F2F5EF"/>
          </w:tcPr>
          <w:p>
            <w:r/>
            <w:r>
              <w:rPr>
                <w:sz w:val="19"/>
              </w:rPr>
              <w:t>Médico veterinario</w:t>
            </w:r>
          </w:p>
        </w:tc>
        <w:tc>
          <w:tcPr>
            <w:tcW w:type="dxa" w:w="5953"/>
            <w:shd w:val="clear" w:color="auto" w:fill="F2F5EF"/>
          </w:tcPr>
          <w:p>
            <w:r/>
            <w:r>
              <w:rPr>
                <w:sz w:val="19"/>
              </w:rPr>
              <w:t>veterinario@avismart.local</w:t>
            </w:r>
          </w:p>
        </w:tc>
      </w:tr>
    </w:tbl>
    <w:p>
      <w:pPr>
        <w:spacing w:after="40"/>
      </w:pPr>
    </w:p>
    <w:p>
      <w:pPr>
        <w:spacing w:after="120"/>
      </w:pPr>
      <w:r>
        <w:t>La cuenta de Propietario de la plataforma se crea con bootstrap_admin y su clave no se documenta.</w:t>
      </w:r>
    </w:p>
    <w:p>
      <w:pPr>
        <w:pStyle w:val="Heading1"/>
      </w:pPr>
      <w:r>
        <w:t>13. Pendientes conocidos</w:t>
      </w:r>
    </w:p>
    <w:p>
      <w:pPr>
        <w:pStyle w:val="ListBullet"/>
      </w:pPr>
      <w:r>
        <w:t>Configurar el envío real de correos (SMTP) y las claves de Turnstile.</w:t>
      </w:r>
    </w:p>
    <w:p>
      <w:pPr>
        <w:pStyle w:val="ListBullet"/>
      </w:pPr>
      <w:r>
        <w:t>Migrar a PostgreSQL con Alembic, Docker y HTTPS para el despliegue.</w:t>
      </w:r>
    </w:p>
    <w:p>
      <w:pPr>
        <w:pStyle w:val="ListBullet"/>
      </w:pPr>
      <w:r>
        <w:t>Fase 2: contabilidad interna, precios MIDAGRI e interpretación asistida por IA.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02F2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8735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