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CONFIGURAÇÃO DE PLACA DE REDE DEBIAN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/etc/network/interfaces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auto eth0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iface eth0 inet static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address 192.168.200.10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network 192.168.200.0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netmask 255.255.255.0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broadcast 192.168.200.255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service networking restart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